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F8" w:rsidRPr="000A75F8" w:rsidRDefault="00CD68EB" w:rsidP="000A75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u w:val="single"/>
          <w:lang w:eastAsia="de-DE"/>
        </w:rPr>
        <w:t>Extrait de la l</w:t>
      </w:r>
      <w:r w:rsidR="000A75F8" w:rsidRPr="000A75F8">
        <w:rPr>
          <w:rFonts w:ascii="Times New Roman" w:eastAsia="Times New Roman" w:hAnsi="Times New Roman" w:cs="Times New Roman"/>
          <w:b/>
          <w:bCs/>
          <w:sz w:val="27"/>
          <w:szCs w:val="27"/>
          <w:u w:val="single"/>
          <w:lang w:eastAsia="de-DE"/>
        </w:rPr>
        <w:t xml:space="preserve">oi spéciale </w:t>
      </w:r>
      <w:r>
        <w:rPr>
          <w:rFonts w:ascii="Times New Roman" w:eastAsia="Times New Roman" w:hAnsi="Times New Roman" w:cs="Times New Roman"/>
          <w:b/>
          <w:bCs/>
          <w:sz w:val="27"/>
          <w:szCs w:val="27"/>
          <w:u w:val="single"/>
          <w:lang w:eastAsia="de-DE"/>
        </w:rPr>
        <w:t xml:space="preserve">du 6 janvier 2014 </w:t>
      </w:r>
      <w:r w:rsidR="000A75F8" w:rsidRPr="000A75F8">
        <w:rPr>
          <w:rFonts w:ascii="Times New Roman" w:eastAsia="Times New Roman" w:hAnsi="Times New Roman" w:cs="Times New Roman"/>
          <w:b/>
          <w:bCs/>
          <w:sz w:val="27"/>
          <w:szCs w:val="27"/>
          <w:u w:val="single"/>
          <w:lang w:eastAsia="de-DE"/>
        </w:rPr>
        <w:t xml:space="preserve">portant réforme du financement des communautés et des régions, élargissement de l'autonomie fiscale des régions et financement des nouvelles compétences </w:t>
      </w:r>
      <w:r>
        <w:rPr>
          <w:rFonts w:ascii="Times New Roman" w:eastAsia="Times New Roman" w:hAnsi="Times New Roman" w:cs="Times New Roman"/>
          <w:b/>
          <w:bCs/>
          <w:sz w:val="27"/>
          <w:szCs w:val="27"/>
          <w:u w:val="single"/>
          <w:lang w:eastAsia="de-DE"/>
        </w:rPr>
        <w:t>(Moniteur belge du 31/1/2014).</w:t>
      </w:r>
    </w:p>
    <w:p w:rsidR="000A75F8" w:rsidRDefault="000A75F8"/>
    <w:p w:rsidR="00785B6A" w:rsidRDefault="00AE5D45">
      <w:r>
        <w:t>Art. 68. Dans la même loi spéciale, il est inséré un article 65quater rédigé comme suit :</w:t>
      </w:r>
      <w:r>
        <w:br/>
        <w:t>"Art. 65quater. § 1</w:t>
      </w:r>
      <w:r>
        <w:rPr>
          <w:vertAlign w:val="superscript"/>
        </w:rPr>
        <w:t>er</w:t>
      </w:r>
      <w:r>
        <w:t>. Un mécanisme est instauré dans le cadre d'une stratégie climatique nationale s'inscrivant dans les objectifs internationaux et européens en matière de politique climatique.</w:t>
      </w:r>
      <w:r>
        <w:br/>
        <w:t>§ 2. Une trajectoire pluriannuelle d'objectifs de réduction d'émissions de gaz à effet de serre dans les bâtiments des secteurs résidentiel et tertiaire quelle que soit leur taille, est définie pour chaque région, par arrêté royal délibéré en Conseil des ministres et après accord des gouvernements des régions, sur la base d'une proposition de la Commission nationale Climat, selon les modalités fixées par la loi ordinaire. Si la Commission nationale Climat ne fait aucune proposition dans le délai prescrit par cette loi ordinaire, il est passé outre.</w:t>
      </w:r>
      <w:r>
        <w:br/>
        <w:t>A défaut d'arrêté royal fixant la trajectoire conformément à l'alinéa 1</w:t>
      </w:r>
      <w:r>
        <w:rPr>
          <w:vertAlign w:val="superscript"/>
        </w:rPr>
        <w:t>er</w:t>
      </w:r>
      <w:r>
        <w:t>, les trajectoires pour la période du 1</w:t>
      </w:r>
      <w:r>
        <w:rPr>
          <w:vertAlign w:val="superscript"/>
        </w:rPr>
        <w:t>er</w:t>
      </w:r>
      <w:r>
        <w:t xml:space="preserve"> janvier 2015 au 31 décembre 2030 sont celles fixées conformément à l'annexe à la présente loi.</w:t>
      </w:r>
      <w:r>
        <w:br/>
        <w:t>§ 3. Les trajectoires pluriannuelles établies conformément au § 2, alinéa 1</w:t>
      </w:r>
      <w:r>
        <w:rPr>
          <w:vertAlign w:val="superscript"/>
        </w:rPr>
        <w:t>er</w:t>
      </w:r>
      <w:r>
        <w:t>, sont établies pour une période de quatre années et sont en outre adaptées lors de chaque révision de l'objectif belge applicable et en toute hypothèse tous les quatre ans.</w:t>
      </w:r>
      <w:r>
        <w:br/>
        <w:t>Par dérogation à l'alinéa 1</w:t>
      </w:r>
      <w:r>
        <w:rPr>
          <w:vertAlign w:val="superscript"/>
        </w:rPr>
        <w:t>er</w:t>
      </w:r>
      <w:r>
        <w:t>, les premières trajectoires pluriannuelles établies conformément au § 2, alinéa 1</w:t>
      </w:r>
      <w:r>
        <w:rPr>
          <w:vertAlign w:val="superscript"/>
        </w:rPr>
        <w:t>er</w:t>
      </w:r>
      <w:r>
        <w:t>, sont établies pour la période du 1</w:t>
      </w:r>
      <w:r>
        <w:rPr>
          <w:vertAlign w:val="superscript"/>
        </w:rPr>
        <w:t>er</w:t>
      </w:r>
      <w:r>
        <w:t xml:space="preserve"> janvier 2015 au 31 décembre 2020.</w:t>
      </w:r>
      <w:r>
        <w:br/>
        <w:t>§ 4. Les premières trajectoires pluriannuelles établies conformément au § 2, alinéa 1</w:t>
      </w:r>
      <w:r>
        <w:rPr>
          <w:vertAlign w:val="superscript"/>
        </w:rPr>
        <w:t>er</w:t>
      </w:r>
      <w:r>
        <w:t>, sont définies au plus tard le 1</w:t>
      </w:r>
      <w:r>
        <w:rPr>
          <w:vertAlign w:val="superscript"/>
        </w:rPr>
        <w:t>er</w:t>
      </w:r>
      <w:r>
        <w:t xml:space="preserve"> juillet 2014.</w:t>
      </w:r>
      <w:r>
        <w:br/>
        <w:t>Les trajectoires pour les périodes suivantes sont définies au moins deux ans avant la fin de la période précédente.</w:t>
      </w:r>
      <w:r>
        <w:br/>
        <w:t>§ 5. Pour chaque année, l'écart entre, d'une part, les émissions annuelles de gaz à effet de serre dans chaque région, telles que rapportées dans les inventaires que les régions transmettent à la Commission nationale Climat pour les bâtiments des secteurs résidentiel et tertiaire, et d'autre part, l'objectif fixé par la trajectoire pluriannuelle de chaque région pour cette même année, est constaté par arrêté royal délibéré en Conseil des ministres et après concertation avec les gouvernements des régions, sur proposition de la Commission nationale Climat, compte tenu d'une correction à apporter en fonction des degrés-jours de l'année considérée communiqués par l'Institut royal de Météorologie. Si la Commission nationale Climat ne fait aucune proposition dans le délai prescrit par la loi, il peut être passé outre.</w:t>
      </w:r>
      <w:r>
        <w:br/>
        <w:t>Chaque année, à partir de l'année budgétaire 2016, est attribué un montant :</w:t>
      </w:r>
      <w:r>
        <w:br/>
        <w:t>1° à la région qui a dépassé son objectif au cours de l'année qui précède l'année concernée, par le prélèvement de ce montant provenant de la part fédérale des recettes de la mise aux enchères des quotas d'émission;</w:t>
      </w:r>
      <w:r>
        <w:br/>
        <w:t>2° à l'autorité fédérale lorsqu'une région n'atteint pas son objectif au cours de l'année qui précède l'année concernée par la déduction de ce montant sur les moyens attribués à la région concernée et visés au titre IV, chapitre II, section 4.</w:t>
      </w:r>
      <w:r>
        <w:br/>
        <w:t xml:space="preserve">§ 6. Les montants visés au § 5, alinéa 2, sont fixés sur la base de l'écart, au cours de l'année qui précède l'année budgétaire, entre les émissions de gaz à effet de serre et les objectifs visés au § 2, </w:t>
      </w:r>
      <w:r>
        <w:lastRenderedPageBreak/>
        <w:t>multipliés par le prix moyen par quota d'émission sur une base annuelle des quotas d'émission mis aux enchères par la Belgique pour l'année au cours de laquelle l'écart s'est produit.</w:t>
      </w:r>
      <w:r>
        <w:br/>
        <w:t>Ces montants sont compris dans la part de cinquante pour cent des recettes tirées de la mise aux enchères des quotas visée à l'article 10, § 2, de la Directive 2003/87/CE du Parlement européen et du Conseil du 13 octobre 2003 établissant un système d'échange de quotas d'émission de gaz à effet de serre dans la Communauté et modifiant la Directive 96/61/CE du Conseil, qui, conformément au § 3 du même article, doit être utilisée pour une ou plusieurs des fins déterminées dans ce § 3.</w:t>
      </w:r>
      <w:r>
        <w:br/>
        <w:t>§ 7. Les recettes de la mise aux enchères des quotas d'émission de gaz à effet de serre sont réparties entre l'autorité fédérale et les régions, selon les modalités fixées par un accord de coopération conclu entre ces entités.</w:t>
      </w:r>
      <w:r>
        <w:br/>
        <w:t>A moins qu'un accord de coopération conclu entre l'autorité fédérale, les communautés et les régions n'en décide autrement, le service responsable de la mise aux enchères, ainsi que de la perception des recettes et de leur répartition conformément à l'accord de coopération visé à l'alinéa 1</w:t>
      </w:r>
      <w:r>
        <w:rPr>
          <w:vertAlign w:val="superscript"/>
        </w:rPr>
        <w:t>er</w:t>
      </w:r>
      <w:r>
        <w:t>, est l'administrateur du registre désigné conformément à l'article 3, § 1</w:t>
      </w:r>
      <w:r>
        <w:rPr>
          <w:vertAlign w:val="superscript"/>
        </w:rPr>
        <w:t>er</w:t>
      </w:r>
      <w:r>
        <w:t>, de l'accord de coopération du 18 juin 2008 entre l'autorité fédérale, la Région flamande, la Région wallonne et la Région de Bruxelles-Capitale relatif à l'organisation et à la gestion administrative du système de registre normalisé et sécurisé de la Belgique conformément à la Directive 2003/87/EG du Parlement européen et du Conseil et de la Décision n° 280/2004/CE du Parlement européen et du Conseil.</w:t>
      </w:r>
      <w:r>
        <w:br/>
        <w:t>§ 8. Les montants visés au § 5, alinéa 2, 1°, sont limités à un plafond égal à la part fédérale des recettes de la mise aux enchères au cours de l'année budgétaire au cours de laquelle l'écart s'est produit. Si les montants calculés conformément au § 6 excèdent ce plafond, le montant plafonné est réparti entre les régions au marc le franc.</w:t>
      </w:r>
      <w:r>
        <w:br/>
        <w:t>Les montants visés au § 5, alinéa 2, 2°, sont, pour chaque région, limités à 50 % de leur part respective dans les recettes de la mise aux enchères au cours de l'année budgétaire au cours de laquelle l'écart s'est produit.</w:t>
      </w:r>
      <w:r>
        <w:br/>
        <w:t>§ 9. Si, au cours d'une année budgétaire, les écarts visés au § 5, alinéa 1</w:t>
      </w:r>
      <w:r>
        <w:rPr>
          <w:vertAlign w:val="superscript"/>
        </w:rPr>
        <w:t>er</w:t>
      </w:r>
      <w:r>
        <w:t>, pour l'année précédente ne peuvent être définitivement constatés, ces montants sont provisoirement fixés par arrêté royal délibéré en Conseil des ministres, sur la base des données provisoires rapportées par les régions. Lorsque ces écarts sont définitivement fixés, les montants à verser aux régions ou à payer par les régions font l'objet d'une régularisation au cours de l'année budgétaire au cours de laquelle ces écarts sont définitivement constatés.</w:t>
      </w:r>
      <w:r>
        <w:br/>
        <w:t>§ 10. La loi détermine la procédure d'adoption des objectifs de réduction d'émissions de gaz à effet de serre visés au § 2 et les modalités complémentaires de leur évaluation annuelle, ainsi que celles du calcul des montants mentionnés au § 6 et de leur prélèvement.</w:t>
      </w:r>
      <w:r>
        <w:br/>
        <w:t xml:space="preserve">La loi peut </w:t>
      </w:r>
      <w:proofErr w:type="gramStart"/>
      <w:r>
        <w:t>:</w:t>
      </w:r>
      <w:proofErr w:type="gramEnd"/>
      <w:r>
        <w:br/>
        <w:t>1° modifier la trajectoire établie conformément au § 2, si des normes européennes ou internationales imposent une autre trajectoire;</w:t>
      </w:r>
      <w:r>
        <w:br/>
        <w:t>2° modifier les autres modalités fixées par le présent article si ces modifications sont rendues nécessaires par des normes européennes ou internationales.</w:t>
      </w:r>
      <w:r>
        <w:br/>
        <w:t>§ 11. Le présent article fera l'objet d'une évaluation législative dans le courant de l'année 2020, suite à laquelle il sera modifié le cas échéant.".</w:t>
      </w:r>
    </w:p>
    <w:p w:rsidR="00A158BC" w:rsidRDefault="00A158BC" w:rsidP="00A158BC">
      <w:pPr>
        <w:autoSpaceDE w:val="0"/>
        <w:autoSpaceDN w:val="0"/>
        <w:adjustRightInd w:val="0"/>
        <w:spacing w:after="0" w:line="240" w:lineRule="auto"/>
        <w:rPr>
          <w:rFonts w:cs="Palatino-Bold"/>
          <w:b/>
          <w:bCs/>
        </w:rPr>
      </w:pPr>
      <w:r w:rsidRPr="00A158BC">
        <w:rPr>
          <w:rFonts w:cs="Palatino-Bold"/>
          <w:b/>
          <w:bCs/>
        </w:rPr>
        <w:t>Annexe à la loi spéciale du 6 janvier 2014 portant réforme du</w:t>
      </w:r>
      <w:r>
        <w:rPr>
          <w:rFonts w:cs="Palatino-Bold"/>
          <w:b/>
          <w:bCs/>
        </w:rPr>
        <w:t xml:space="preserve"> financement des Communautés et </w:t>
      </w:r>
      <w:r w:rsidRPr="00A158BC">
        <w:rPr>
          <w:rFonts w:cs="Palatino-Bold"/>
          <w:b/>
          <w:bCs/>
        </w:rPr>
        <w:t>des Régions, élargissement de</w:t>
      </w:r>
      <w:r>
        <w:rPr>
          <w:rFonts w:cs="Palatino-Bold"/>
          <w:b/>
          <w:bCs/>
        </w:rPr>
        <w:t xml:space="preserve"> </w:t>
      </w:r>
      <w:r w:rsidRPr="00A158BC">
        <w:rPr>
          <w:rFonts w:cs="Palatino-Bold"/>
          <w:b/>
          <w:bCs/>
        </w:rPr>
        <w:t>l’autonomie fiscale des Régions et financement des nouvelles</w:t>
      </w:r>
      <w:r>
        <w:rPr>
          <w:rFonts w:cs="Palatino-Bold"/>
          <w:b/>
          <w:bCs/>
        </w:rPr>
        <w:t xml:space="preserve"> </w:t>
      </w:r>
      <w:r w:rsidRPr="00A158BC">
        <w:rPr>
          <w:rFonts w:cs="Palatino-Bold"/>
          <w:b/>
          <w:bCs/>
        </w:rPr>
        <w:t>compétences</w:t>
      </w:r>
    </w:p>
    <w:p w:rsidR="005409C7" w:rsidRPr="00A158BC" w:rsidRDefault="005409C7" w:rsidP="00A158BC">
      <w:pPr>
        <w:autoSpaceDE w:val="0"/>
        <w:autoSpaceDN w:val="0"/>
        <w:adjustRightInd w:val="0"/>
        <w:spacing w:after="0" w:line="240" w:lineRule="auto"/>
        <w:rPr>
          <w:rFonts w:cs="Palatino-Bold"/>
          <w:b/>
          <w:bCs/>
        </w:rPr>
      </w:pPr>
    </w:p>
    <w:p w:rsidR="00A158BC" w:rsidRPr="00A158BC" w:rsidRDefault="00A158BC" w:rsidP="00A158BC">
      <w:pPr>
        <w:autoSpaceDE w:val="0"/>
        <w:autoSpaceDN w:val="0"/>
        <w:adjustRightInd w:val="0"/>
        <w:spacing w:after="0" w:line="240" w:lineRule="auto"/>
        <w:rPr>
          <w:rFonts w:cs="Palatino-Roman"/>
        </w:rPr>
      </w:pPr>
      <w:r w:rsidRPr="00A158BC">
        <w:rPr>
          <w:rFonts w:cs="Palatino-Roman"/>
        </w:rPr>
        <w:lastRenderedPageBreak/>
        <w:t>Annexe à la loi spéciale du 16 janvier 1989 relative</w:t>
      </w:r>
      <w:r>
        <w:rPr>
          <w:rFonts w:cs="Palatino-Roman"/>
        </w:rPr>
        <w:t xml:space="preserve"> </w:t>
      </w:r>
      <w:r w:rsidRPr="00A158BC">
        <w:rPr>
          <w:rFonts w:cs="Palatino-Roman"/>
        </w:rPr>
        <w:t>au financement des Communautés et des Régions</w:t>
      </w:r>
    </w:p>
    <w:p w:rsidR="00A158BC" w:rsidRDefault="00A158BC" w:rsidP="00A158BC">
      <w:pPr>
        <w:autoSpaceDE w:val="0"/>
        <w:autoSpaceDN w:val="0"/>
        <w:adjustRightInd w:val="0"/>
        <w:spacing w:after="0" w:line="240" w:lineRule="auto"/>
        <w:rPr>
          <w:rFonts w:cs="Palatino-Roman"/>
        </w:rPr>
      </w:pPr>
      <w:r w:rsidRPr="00A158BC">
        <w:rPr>
          <w:rFonts w:cs="Palatino-Roman"/>
        </w:rPr>
        <w:t>Trajectoires pour la période du 1er janvier 2015 au 31 décembre 2030,</w:t>
      </w:r>
      <w:r>
        <w:rPr>
          <w:rFonts w:cs="Palatino-Roman"/>
        </w:rPr>
        <w:t xml:space="preserve"> </w:t>
      </w:r>
      <w:r w:rsidRPr="00A158BC">
        <w:rPr>
          <w:rFonts w:cs="Palatino-Roman"/>
        </w:rPr>
        <w:t>visées à l’article 65</w:t>
      </w:r>
      <w:r w:rsidRPr="00A158BC">
        <w:rPr>
          <w:rFonts w:cs="Palatino-Italic"/>
          <w:i/>
          <w:iCs/>
        </w:rPr>
        <w:t>quater</w:t>
      </w:r>
      <w:r w:rsidRPr="00A158BC">
        <w:rPr>
          <w:rFonts w:cs="Palatino-Roman"/>
        </w:rPr>
        <w:t>, § 2, alinéa 2</w:t>
      </w:r>
    </w:p>
    <w:p w:rsidR="005409C7" w:rsidRPr="00A158BC" w:rsidRDefault="005409C7" w:rsidP="00A158BC">
      <w:pPr>
        <w:autoSpaceDE w:val="0"/>
        <w:autoSpaceDN w:val="0"/>
        <w:adjustRightInd w:val="0"/>
        <w:spacing w:after="0" w:line="240" w:lineRule="auto"/>
        <w:rPr>
          <w:rFonts w:cs="Palatino-Roman"/>
        </w:rPr>
      </w:pPr>
    </w:p>
    <w:p w:rsidR="00A158BC" w:rsidRDefault="00A158BC" w:rsidP="00A158BC">
      <w:pPr>
        <w:autoSpaceDE w:val="0"/>
        <w:autoSpaceDN w:val="0"/>
        <w:adjustRightInd w:val="0"/>
        <w:spacing w:after="0" w:line="240" w:lineRule="auto"/>
        <w:rPr>
          <w:rFonts w:cs="Palatino-Roman"/>
        </w:rPr>
      </w:pPr>
      <w:r w:rsidRPr="00A158BC">
        <w:rPr>
          <w:rFonts w:cs="Palatino-Roman"/>
        </w:rPr>
        <w:t>Objectifs de réductions d’émissions de gaz à effet de serre dans les</w:t>
      </w:r>
      <w:r>
        <w:rPr>
          <w:rFonts w:cs="Palatino-Roman"/>
        </w:rPr>
        <w:t xml:space="preserve"> bâtiments des secteurs </w:t>
      </w:r>
      <w:r w:rsidRPr="00A158BC">
        <w:rPr>
          <w:rFonts w:cs="Palatino-Roman"/>
        </w:rPr>
        <w:t xml:space="preserve">résidentiels et tertiaires (en </w:t>
      </w:r>
      <w:proofErr w:type="spellStart"/>
      <w:r w:rsidRPr="00A158BC">
        <w:rPr>
          <w:rFonts w:cs="Palatino-Roman"/>
        </w:rPr>
        <w:t>kilo-tonnes</w:t>
      </w:r>
      <w:proofErr w:type="spellEnd"/>
      <w:r w:rsidRPr="00A158BC">
        <w:rPr>
          <w:rFonts w:cs="Palatino-Roman"/>
        </w:rPr>
        <w:t xml:space="preserve"> de CO2)</w:t>
      </w:r>
    </w:p>
    <w:p w:rsidR="005409C7" w:rsidRDefault="005409C7" w:rsidP="00A158BC">
      <w:pPr>
        <w:autoSpaceDE w:val="0"/>
        <w:autoSpaceDN w:val="0"/>
        <w:adjustRightInd w:val="0"/>
        <w:spacing w:after="0" w:line="240" w:lineRule="auto"/>
        <w:rPr>
          <w:rFonts w:cs="Palatino-Roman"/>
        </w:rPr>
      </w:pPr>
    </w:p>
    <w:p w:rsidR="00A158BC" w:rsidRDefault="00A158BC" w:rsidP="00A158BC">
      <w:pPr>
        <w:autoSpaceDE w:val="0"/>
        <w:autoSpaceDN w:val="0"/>
        <w:adjustRightInd w:val="0"/>
        <w:spacing w:after="0" w:line="240" w:lineRule="auto"/>
        <w:rPr>
          <w:rFonts w:cs="Palatino-Roman"/>
        </w:rPr>
      </w:pPr>
    </w:p>
    <w:tbl>
      <w:tblPr>
        <w:tblStyle w:val="Grilledutableau"/>
        <w:tblW w:w="0" w:type="auto"/>
        <w:tblLook w:val="04A0"/>
      </w:tblPr>
      <w:tblGrid>
        <w:gridCol w:w="1626"/>
        <w:gridCol w:w="1087"/>
        <w:gridCol w:w="1087"/>
        <w:gridCol w:w="1087"/>
        <w:gridCol w:w="1088"/>
        <w:gridCol w:w="1088"/>
        <w:gridCol w:w="1088"/>
        <w:gridCol w:w="1137"/>
      </w:tblGrid>
      <w:tr w:rsidR="00A158BC" w:rsidTr="00942915">
        <w:tc>
          <w:tcPr>
            <w:tcW w:w="1626" w:type="dxa"/>
          </w:tcPr>
          <w:p w:rsidR="00A158BC" w:rsidRDefault="003A225C" w:rsidP="00A158BC">
            <w:pPr>
              <w:autoSpaceDE w:val="0"/>
              <w:autoSpaceDN w:val="0"/>
              <w:adjustRightInd w:val="0"/>
              <w:rPr>
                <w:rFonts w:cs="Palatino-Roman"/>
              </w:rPr>
            </w:pPr>
            <w:proofErr w:type="spellStart"/>
            <w:r>
              <w:rPr>
                <w:rFonts w:cs="Palatino-Roman"/>
              </w:rPr>
              <w:t>Jaren</w:t>
            </w:r>
            <w:proofErr w:type="spellEnd"/>
          </w:p>
        </w:tc>
        <w:tc>
          <w:tcPr>
            <w:tcW w:w="1087" w:type="dxa"/>
          </w:tcPr>
          <w:p w:rsidR="00A158BC" w:rsidRDefault="00A158BC" w:rsidP="00A158BC">
            <w:pPr>
              <w:autoSpaceDE w:val="0"/>
              <w:autoSpaceDN w:val="0"/>
              <w:adjustRightInd w:val="0"/>
              <w:rPr>
                <w:rFonts w:cs="Palatino-Roman"/>
              </w:rPr>
            </w:pPr>
            <w:r>
              <w:rPr>
                <w:rFonts w:cs="Palatino-Roman"/>
              </w:rPr>
              <w:t>2015</w:t>
            </w:r>
          </w:p>
        </w:tc>
        <w:tc>
          <w:tcPr>
            <w:tcW w:w="1087" w:type="dxa"/>
          </w:tcPr>
          <w:p w:rsidR="00A158BC" w:rsidRDefault="00A158BC" w:rsidP="00A158BC">
            <w:pPr>
              <w:autoSpaceDE w:val="0"/>
              <w:autoSpaceDN w:val="0"/>
              <w:adjustRightInd w:val="0"/>
              <w:rPr>
                <w:rFonts w:cs="Palatino-Roman"/>
              </w:rPr>
            </w:pPr>
            <w:r>
              <w:rPr>
                <w:rFonts w:cs="Palatino-Roman"/>
              </w:rPr>
              <w:t>2016</w:t>
            </w:r>
          </w:p>
        </w:tc>
        <w:tc>
          <w:tcPr>
            <w:tcW w:w="1087" w:type="dxa"/>
          </w:tcPr>
          <w:p w:rsidR="00A158BC" w:rsidRDefault="00A158BC" w:rsidP="00A158BC">
            <w:pPr>
              <w:autoSpaceDE w:val="0"/>
              <w:autoSpaceDN w:val="0"/>
              <w:adjustRightInd w:val="0"/>
              <w:rPr>
                <w:rFonts w:cs="Palatino-Roman"/>
              </w:rPr>
            </w:pPr>
            <w:r>
              <w:rPr>
                <w:rFonts w:cs="Palatino-Roman"/>
              </w:rPr>
              <w:t>2017</w:t>
            </w:r>
          </w:p>
        </w:tc>
        <w:tc>
          <w:tcPr>
            <w:tcW w:w="1088" w:type="dxa"/>
          </w:tcPr>
          <w:p w:rsidR="00A158BC" w:rsidRDefault="00A158BC" w:rsidP="00A158BC">
            <w:pPr>
              <w:autoSpaceDE w:val="0"/>
              <w:autoSpaceDN w:val="0"/>
              <w:adjustRightInd w:val="0"/>
              <w:rPr>
                <w:rFonts w:cs="Palatino-Roman"/>
              </w:rPr>
            </w:pPr>
            <w:r>
              <w:rPr>
                <w:rFonts w:cs="Palatino-Roman"/>
              </w:rPr>
              <w:t>2018</w:t>
            </w:r>
          </w:p>
        </w:tc>
        <w:tc>
          <w:tcPr>
            <w:tcW w:w="1088" w:type="dxa"/>
          </w:tcPr>
          <w:p w:rsidR="00A158BC" w:rsidRDefault="00A158BC" w:rsidP="00A158BC">
            <w:pPr>
              <w:autoSpaceDE w:val="0"/>
              <w:autoSpaceDN w:val="0"/>
              <w:adjustRightInd w:val="0"/>
              <w:rPr>
                <w:rFonts w:cs="Palatino-Roman"/>
              </w:rPr>
            </w:pPr>
            <w:r>
              <w:rPr>
                <w:rFonts w:cs="Palatino-Roman"/>
              </w:rPr>
              <w:t>2019</w:t>
            </w:r>
          </w:p>
        </w:tc>
        <w:tc>
          <w:tcPr>
            <w:tcW w:w="1088" w:type="dxa"/>
          </w:tcPr>
          <w:p w:rsidR="00A158BC" w:rsidRDefault="00A158BC" w:rsidP="00A158BC">
            <w:pPr>
              <w:autoSpaceDE w:val="0"/>
              <w:autoSpaceDN w:val="0"/>
              <w:adjustRightInd w:val="0"/>
              <w:rPr>
                <w:rFonts w:cs="Palatino-Roman"/>
              </w:rPr>
            </w:pPr>
            <w:r>
              <w:rPr>
                <w:rFonts w:cs="Palatino-Roman"/>
              </w:rPr>
              <w:t>2020</w:t>
            </w:r>
          </w:p>
        </w:tc>
        <w:tc>
          <w:tcPr>
            <w:tcW w:w="1137" w:type="dxa"/>
          </w:tcPr>
          <w:p w:rsidR="00A158BC" w:rsidRDefault="00A158BC" w:rsidP="00A158BC">
            <w:pPr>
              <w:autoSpaceDE w:val="0"/>
              <w:autoSpaceDN w:val="0"/>
              <w:adjustRightInd w:val="0"/>
              <w:rPr>
                <w:rFonts w:cs="Palatino-Roman"/>
              </w:rPr>
            </w:pPr>
            <w:r>
              <w:rPr>
                <w:rFonts w:cs="Palatino-Roman"/>
              </w:rPr>
              <w:t>Années</w:t>
            </w:r>
          </w:p>
        </w:tc>
      </w:tr>
      <w:tr w:rsidR="00A158BC" w:rsidTr="00942915">
        <w:tc>
          <w:tcPr>
            <w:tcW w:w="1626" w:type="dxa"/>
          </w:tcPr>
          <w:p w:rsidR="00A158BC" w:rsidRDefault="00A158BC" w:rsidP="00A158BC">
            <w:pPr>
              <w:autoSpaceDE w:val="0"/>
              <w:autoSpaceDN w:val="0"/>
              <w:adjustRightInd w:val="0"/>
              <w:rPr>
                <w:rFonts w:cs="Palatino-Roman"/>
              </w:rPr>
            </w:pPr>
            <w:proofErr w:type="spellStart"/>
            <w:r w:rsidRPr="00A158BC">
              <w:rPr>
                <w:rFonts w:cs="Palatino-Roman"/>
              </w:rPr>
              <w:t>Vlaamse</w:t>
            </w:r>
            <w:proofErr w:type="spellEnd"/>
            <w:r w:rsidRPr="00A158BC">
              <w:rPr>
                <w:rFonts w:cs="Palatino-Roman"/>
              </w:rPr>
              <w:t xml:space="preserve"> </w:t>
            </w:r>
            <w:proofErr w:type="spellStart"/>
            <w:r w:rsidRPr="00A158BC">
              <w:rPr>
                <w:rFonts w:cs="Palatino-Roman"/>
              </w:rPr>
              <w:t>Gewest</w:t>
            </w:r>
            <w:proofErr w:type="spellEnd"/>
          </w:p>
        </w:tc>
        <w:tc>
          <w:tcPr>
            <w:tcW w:w="1087" w:type="dxa"/>
          </w:tcPr>
          <w:p w:rsidR="00A158BC" w:rsidRDefault="00A158BC" w:rsidP="00A158BC">
            <w:pPr>
              <w:autoSpaceDE w:val="0"/>
              <w:autoSpaceDN w:val="0"/>
              <w:adjustRightInd w:val="0"/>
              <w:rPr>
                <w:rFonts w:cs="Palatino-Roman"/>
              </w:rPr>
            </w:pPr>
            <w:r w:rsidRPr="00A158BC">
              <w:rPr>
                <w:rFonts w:cs="Palatino-Roman"/>
              </w:rPr>
              <w:t>14206</w:t>
            </w:r>
          </w:p>
        </w:tc>
        <w:tc>
          <w:tcPr>
            <w:tcW w:w="1087" w:type="dxa"/>
          </w:tcPr>
          <w:p w:rsidR="00A158BC" w:rsidRDefault="00A158BC" w:rsidP="00A158BC">
            <w:pPr>
              <w:autoSpaceDE w:val="0"/>
              <w:autoSpaceDN w:val="0"/>
              <w:adjustRightInd w:val="0"/>
              <w:rPr>
                <w:rFonts w:cs="Palatino-Roman"/>
              </w:rPr>
            </w:pPr>
            <w:r w:rsidRPr="00A158BC">
              <w:rPr>
                <w:rFonts w:cs="Palatino-Roman"/>
              </w:rPr>
              <w:t>14081</w:t>
            </w:r>
          </w:p>
        </w:tc>
        <w:tc>
          <w:tcPr>
            <w:tcW w:w="1087" w:type="dxa"/>
          </w:tcPr>
          <w:p w:rsidR="00A158BC" w:rsidRDefault="00A158BC" w:rsidP="00A158BC">
            <w:pPr>
              <w:autoSpaceDE w:val="0"/>
              <w:autoSpaceDN w:val="0"/>
              <w:adjustRightInd w:val="0"/>
              <w:rPr>
                <w:rFonts w:cs="Palatino-Roman"/>
              </w:rPr>
            </w:pPr>
            <w:r w:rsidRPr="00A158BC">
              <w:rPr>
                <w:rFonts w:cs="Palatino-Roman"/>
              </w:rPr>
              <w:t>13956</w:t>
            </w:r>
          </w:p>
        </w:tc>
        <w:tc>
          <w:tcPr>
            <w:tcW w:w="1088" w:type="dxa"/>
          </w:tcPr>
          <w:p w:rsidR="00A158BC" w:rsidRDefault="00A158BC" w:rsidP="00A158BC">
            <w:pPr>
              <w:autoSpaceDE w:val="0"/>
              <w:autoSpaceDN w:val="0"/>
              <w:adjustRightInd w:val="0"/>
              <w:rPr>
                <w:rFonts w:cs="Palatino-Roman"/>
              </w:rPr>
            </w:pPr>
            <w:r w:rsidRPr="00A158BC">
              <w:rPr>
                <w:rFonts w:cs="Palatino-Roman"/>
              </w:rPr>
              <w:t>13830</w:t>
            </w:r>
          </w:p>
        </w:tc>
        <w:tc>
          <w:tcPr>
            <w:tcW w:w="1088" w:type="dxa"/>
          </w:tcPr>
          <w:p w:rsidR="00A158BC" w:rsidRDefault="00A158BC" w:rsidP="00A158BC">
            <w:pPr>
              <w:autoSpaceDE w:val="0"/>
              <w:autoSpaceDN w:val="0"/>
              <w:adjustRightInd w:val="0"/>
              <w:rPr>
                <w:rFonts w:cs="Palatino-Roman"/>
              </w:rPr>
            </w:pPr>
            <w:r w:rsidRPr="00A158BC">
              <w:rPr>
                <w:rFonts w:cs="Palatino-Roman"/>
              </w:rPr>
              <w:t>13705</w:t>
            </w:r>
          </w:p>
        </w:tc>
        <w:tc>
          <w:tcPr>
            <w:tcW w:w="1088" w:type="dxa"/>
          </w:tcPr>
          <w:p w:rsidR="00A158BC" w:rsidRDefault="00A158BC" w:rsidP="00A158BC">
            <w:pPr>
              <w:autoSpaceDE w:val="0"/>
              <w:autoSpaceDN w:val="0"/>
              <w:adjustRightInd w:val="0"/>
              <w:rPr>
                <w:rFonts w:cs="Palatino-Roman"/>
              </w:rPr>
            </w:pPr>
            <w:r w:rsidRPr="00A158BC">
              <w:rPr>
                <w:rFonts w:cs="Palatino-Roman"/>
              </w:rPr>
              <w:t>13580</w:t>
            </w:r>
          </w:p>
        </w:tc>
        <w:tc>
          <w:tcPr>
            <w:tcW w:w="1137" w:type="dxa"/>
          </w:tcPr>
          <w:p w:rsidR="00A158BC" w:rsidRDefault="00A158BC" w:rsidP="00A158BC">
            <w:pPr>
              <w:autoSpaceDE w:val="0"/>
              <w:autoSpaceDN w:val="0"/>
              <w:adjustRightInd w:val="0"/>
              <w:rPr>
                <w:rFonts w:cs="Palatino-Roman"/>
              </w:rPr>
            </w:pPr>
            <w:r w:rsidRPr="00A158BC">
              <w:rPr>
                <w:rFonts w:cs="Palatino-Roman"/>
              </w:rPr>
              <w:t>Région flamande</w:t>
            </w:r>
          </w:p>
        </w:tc>
      </w:tr>
      <w:tr w:rsidR="00A158BC" w:rsidTr="00942915">
        <w:tc>
          <w:tcPr>
            <w:tcW w:w="1626" w:type="dxa"/>
          </w:tcPr>
          <w:p w:rsidR="00A158BC" w:rsidRDefault="00A158BC" w:rsidP="00A158BC">
            <w:pPr>
              <w:autoSpaceDE w:val="0"/>
              <w:autoSpaceDN w:val="0"/>
              <w:adjustRightInd w:val="0"/>
              <w:rPr>
                <w:rFonts w:cs="Palatino-Roman"/>
              </w:rPr>
            </w:pPr>
            <w:proofErr w:type="spellStart"/>
            <w:r w:rsidRPr="00A158BC">
              <w:rPr>
                <w:rFonts w:cs="Palatino-Roman"/>
              </w:rPr>
              <w:t>Waalse</w:t>
            </w:r>
            <w:proofErr w:type="spellEnd"/>
            <w:r w:rsidRPr="00A158BC">
              <w:rPr>
                <w:rFonts w:cs="Palatino-Roman"/>
              </w:rPr>
              <w:t xml:space="preserve"> </w:t>
            </w:r>
            <w:proofErr w:type="spellStart"/>
            <w:r w:rsidRPr="00A158BC">
              <w:rPr>
                <w:rFonts w:cs="Palatino-Roman"/>
              </w:rPr>
              <w:t>Gewest</w:t>
            </w:r>
            <w:proofErr w:type="spellEnd"/>
          </w:p>
        </w:tc>
        <w:tc>
          <w:tcPr>
            <w:tcW w:w="1087" w:type="dxa"/>
          </w:tcPr>
          <w:p w:rsidR="00A158BC" w:rsidRDefault="00A158BC" w:rsidP="00A158BC">
            <w:pPr>
              <w:autoSpaceDE w:val="0"/>
              <w:autoSpaceDN w:val="0"/>
              <w:adjustRightInd w:val="0"/>
              <w:rPr>
                <w:rFonts w:cs="Palatino-Roman"/>
              </w:rPr>
            </w:pPr>
            <w:r w:rsidRPr="00A158BC">
              <w:rPr>
                <w:rFonts w:cs="Palatino-Roman"/>
              </w:rPr>
              <w:t>7119</w:t>
            </w:r>
          </w:p>
        </w:tc>
        <w:tc>
          <w:tcPr>
            <w:tcW w:w="1087" w:type="dxa"/>
          </w:tcPr>
          <w:p w:rsidR="00A158BC" w:rsidRDefault="00A158BC" w:rsidP="00A158BC">
            <w:pPr>
              <w:autoSpaceDE w:val="0"/>
              <w:autoSpaceDN w:val="0"/>
              <w:adjustRightInd w:val="0"/>
              <w:rPr>
                <w:rFonts w:cs="Palatino-Roman"/>
              </w:rPr>
            </w:pPr>
            <w:r w:rsidRPr="00A158BC">
              <w:rPr>
                <w:rFonts w:cs="Palatino-Roman"/>
              </w:rPr>
              <w:t>7089</w:t>
            </w:r>
          </w:p>
        </w:tc>
        <w:tc>
          <w:tcPr>
            <w:tcW w:w="1087" w:type="dxa"/>
          </w:tcPr>
          <w:p w:rsidR="00A158BC" w:rsidRDefault="00A158BC" w:rsidP="00A158BC">
            <w:pPr>
              <w:autoSpaceDE w:val="0"/>
              <w:autoSpaceDN w:val="0"/>
              <w:adjustRightInd w:val="0"/>
              <w:rPr>
                <w:rFonts w:cs="Palatino-Roman"/>
              </w:rPr>
            </w:pPr>
            <w:r w:rsidRPr="00A158BC">
              <w:rPr>
                <w:rFonts w:cs="Palatino-Roman"/>
              </w:rPr>
              <w:t>7059</w:t>
            </w:r>
          </w:p>
        </w:tc>
        <w:tc>
          <w:tcPr>
            <w:tcW w:w="1088" w:type="dxa"/>
          </w:tcPr>
          <w:p w:rsidR="00A158BC" w:rsidRDefault="00A158BC" w:rsidP="00A158BC">
            <w:pPr>
              <w:autoSpaceDE w:val="0"/>
              <w:autoSpaceDN w:val="0"/>
              <w:adjustRightInd w:val="0"/>
              <w:rPr>
                <w:rFonts w:cs="Palatino-Roman"/>
              </w:rPr>
            </w:pPr>
            <w:r w:rsidRPr="00A158BC">
              <w:rPr>
                <w:rFonts w:cs="Palatino-Roman"/>
              </w:rPr>
              <w:t>7029</w:t>
            </w:r>
          </w:p>
        </w:tc>
        <w:tc>
          <w:tcPr>
            <w:tcW w:w="1088" w:type="dxa"/>
          </w:tcPr>
          <w:p w:rsidR="00A158BC" w:rsidRDefault="00A158BC" w:rsidP="00A158BC">
            <w:pPr>
              <w:autoSpaceDE w:val="0"/>
              <w:autoSpaceDN w:val="0"/>
              <w:adjustRightInd w:val="0"/>
              <w:rPr>
                <w:rFonts w:cs="Palatino-Roman"/>
              </w:rPr>
            </w:pPr>
            <w:r w:rsidRPr="00A158BC">
              <w:rPr>
                <w:rFonts w:cs="Palatino-Roman"/>
              </w:rPr>
              <w:t>6999</w:t>
            </w:r>
          </w:p>
        </w:tc>
        <w:tc>
          <w:tcPr>
            <w:tcW w:w="1088" w:type="dxa"/>
          </w:tcPr>
          <w:p w:rsidR="00A158BC" w:rsidRDefault="00A158BC" w:rsidP="00A158BC">
            <w:pPr>
              <w:autoSpaceDE w:val="0"/>
              <w:autoSpaceDN w:val="0"/>
              <w:adjustRightInd w:val="0"/>
              <w:rPr>
                <w:rFonts w:cs="Palatino-Roman"/>
              </w:rPr>
            </w:pPr>
            <w:r w:rsidRPr="00A158BC">
              <w:rPr>
                <w:rFonts w:cs="Palatino-Roman"/>
              </w:rPr>
              <w:t>6969</w:t>
            </w:r>
          </w:p>
        </w:tc>
        <w:tc>
          <w:tcPr>
            <w:tcW w:w="1137" w:type="dxa"/>
          </w:tcPr>
          <w:p w:rsidR="00A158BC" w:rsidRPr="00A158BC" w:rsidRDefault="00A158BC" w:rsidP="00A158BC">
            <w:pPr>
              <w:autoSpaceDE w:val="0"/>
              <w:autoSpaceDN w:val="0"/>
              <w:adjustRightInd w:val="0"/>
              <w:rPr>
                <w:rFonts w:cs="Palatino-Roman"/>
              </w:rPr>
            </w:pPr>
            <w:r w:rsidRPr="00A158BC">
              <w:rPr>
                <w:rFonts w:cs="Palatino-Roman"/>
              </w:rPr>
              <w:t>Région wallonne</w:t>
            </w:r>
          </w:p>
          <w:p w:rsidR="00A158BC" w:rsidRDefault="00A158BC" w:rsidP="00A158BC">
            <w:pPr>
              <w:autoSpaceDE w:val="0"/>
              <w:autoSpaceDN w:val="0"/>
              <w:adjustRightInd w:val="0"/>
              <w:rPr>
                <w:rFonts w:cs="Palatino-Roman"/>
              </w:rPr>
            </w:pPr>
          </w:p>
        </w:tc>
      </w:tr>
      <w:tr w:rsidR="00A158BC" w:rsidTr="00942915">
        <w:tc>
          <w:tcPr>
            <w:tcW w:w="1626" w:type="dxa"/>
          </w:tcPr>
          <w:p w:rsidR="00A158BC" w:rsidRDefault="00A158BC" w:rsidP="00A158BC">
            <w:pPr>
              <w:autoSpaceDE w:val="0"/>
              <w:autoSpaceDN w:val="0"/>
              <w:adjustRightInd w:val="0"/>
              <w:rPr>
                <w:rFonts w:cs="Palatino-Roman"/>
              </w:rPr>
            </w:pPr>
            <w:r w:rsidRPr="00A158BC">
              <w:rPr>
                <w:rFonts w:cs="Palatino-Roman"/>
                <w:lang w:val="nl-BE"/>
              </w:rPr>
              <w:t>Brusselse Hoofdstedelijke Gewest</w:t>
            </w:r>
          </w:p>
        </w:tc>
        <w:tc>
          <w:tcPr>
            <w:tcW w:w="1087" w:type="dxa"/>
          </w:tcPr>
          <w:p w:rsidR="00A158BC" w:rsidRDefault="00A158BC" w:rsidP="00A158BC">
            <w:pPr>
              <w:autoSpaceDE w:val="0"/>
              <w:autoSpaceDN w:val="0"/>
              <w:adjustRightInd w:val="0"/>
              <w:rPr>
                <w:rFonts w:cs="Palatino-Roman"/>
              </w:rPr>
            </w:pPr>
            <w:r w:rsidRPr="00A158BC">
              <w:rPr>
                <w:rFonts w:cs="Palatino-Roman"/>
                <w:lang w:val="nl-BE"/>
              </w:rPr>
              <w:t>2325</w:t>
            </w:r>
          </w:p>
        </w:tc>
        <w:tc>
          <w:tcPr>
            <w:tcW w:w="1087" w:type="dxa"/>
          </w:tcPr>
          <w:p w:rsidR="00A158BC" w:rsidRDefault="00A158BC" w:rsidP="00A158BC">
            <w:pPr>
              <w:autoSpaceDE w:val="0"/>
              <w:autoSpaceDN w:val="0"/>
              <w:adjustRightInd w:val="0"/>
              <w:rPr>
                <w:rFonts w:cs="Palatino-Roman"/>
              </w:rPr>
            </w:pPr>
            <w:r w:rsidRPr="00A158BC">
              <w:rPr>
                <w:rFonts w:cs="Palatino-Roman"/>
                <w:lang w:val="nl-BE"/>
              </w:rPr>
              <w:t>2317</w:t>
            </w:r>
          </w:p>
        </w:tc>
        <w:tc>
          <w:tcPr>
            <w:tcW w:w="1087" w:type="dxa"/>
          </w:tcPr>
          <w:p w:rsidR="00A158BC" w:rsidRDefault="00A158BC" w:rsidP="00A158BC">
            <w:pPr>
              <w:autoSpaceDE w:val="0"/>
              <w:autoSpaceDN w:val="0"/>
              <w:adjustRightInd w:val="0"/>
              <w:rPr>
                <w:rFonts w:cs="Palatino-Roman"/>
              </w:rPr>
            </w:pPr>
            <w:r w:rsidRPr="00A158BC">
              <w:rPr>
                <w:rFonts w:cs="Palatino-Roman"/>
                <w:lang w:val="nl-BE"/>
              </w:rPr>
              <w:t>2309</w:t>
            </w:r>
          </w:p>
        </w:tc>
        <w:tc>
          <w:tcPr>
            <w:tcW w:w="1088" w:type="dxa"/>
          </w:tcPr>
          <w:p w:rsidR="00A158BC" w:rsidRDefault="00A158BC" w:rsidP="00A158BC">
            <w:pPr>
              <w:autoSpaceDE w:val="0"/>
              <w:autoSpaceDN w:val="0"/>
              <w:adjustRightInd w:val="0"/>
              <w:rPr>
                <w:rFonts w:cs="Palatino-Roman"/>
              </w:rPr>
            </w:pPr>
            <w:r w:rsidRPr="00A158BC">
              <w:rPr>
                <w:rFonts w:cs="Palatino-Roman"/>
                <w:lang w:val="nl-BE"/>
              </w:rPr>
              <w:t>2301</w:t>
            </w:r>
          </w:p>
        </w:tc>
        <w:tc>
          <w:tcPr>
            <w:tcW w:w="1088" w:type="dxa"/>
          </w:tcPr>
          <w:p w:rsidR="00A158BC" w:rsidRDefault="00A158BC" w:rsidP="00A158BC">
            <w:pPr>
              <w:autoSpaceDE w:val="0"/>
              <w:autoSpaceDN w:val="0"/>
              <w:adjustRightInd w:val="0"/>
              <w:rPr>
                <w:rFonts w:cs="Palatino-Roman"/>
              </w:rPr>
            </w:pPr>
            <w:r w:rsidRPr="00A158BC">
              <w:rPr>
                <w:rFonts w:cs="Palatino-Roman"/>
                <w:lang w:val="nl-BE"/>
              </w:rPr>
              <w:t>2293</w:t>
            </w:r>
          </w:p>
        </w:tc>
        <w:tc>
          <w:tcPr>
            <w:tcW w:w="1088" w:type="dxa"/>
          </w:tcPr>
          <w:p w:rsidR="00A158BC" w:rsidRDefault="00A158BC" w:rsidP="00A158BC">
            <w:pPr>
              <w:autoSpaceDE w:val="0"/>
              <w:autoSpaceDN w:val="0"/>
              <w:adjustRightInd w:val="0"/>
              <w:rPr>
                <w:rFonts w:cs="Palatino-Roman"/>
              </w:rPr>
            </w:pPr>
            <w:r w:rsidRPr="00A158BC">
              <w:rPr>
                <w:rFonts w:cs="Palatino-Roman"/>
                <w:lang w:val="nl-BE"/>
              </w:rPr>
              <w:t>2285</w:t>
            </w:r>
          </w:p>
        </w:tc>
        <w:tc>
          <w:tcPr>
            <w:tcW w:w="1137" w:type="dxa"/>
          </w:tcPr>
          <w:p w:rsidR="00A158BC" w:rsidRDefault="005409C7" w:rsidP="00A158BC">
            <w:pPr>
              <w:autoSpaceDE w:val="0"/>
              <w:autoSpaceDN w:val="0"/>
              <w:adjustRightInd w:val="0"/>
              <w:rPr>
                <w:rFonts w:cs="Palatino-Roman"/>
              </w:rPr>
            </w:pPr>
            <w:proofErr w:type="spellStart"/>
            <w:r w:rsidRPr="00A158BC">
              <w:rPr>
                <w:rFonts w:cs="Palatino-Roman"/>
                <w:lang w:val="de-DE"/>
              </w:rPr>
              <w:t>Région</w:t>
            </w:r>
            <w:proofErr w:type="spellEnd"/>
            <w:r w:rsidRPr="00A158BC">
              <w:rPr>
                <w:rFonts w:cs="Palatino-Roman"/>
                <w:lang w:val="de-DE"/>
              </w:rPr>
              <w:t xml:space="preserve"> de Bruxelles-</w:t>
            </w:r>
            <w:proofErr w:type="spellStart"/>
            <w:r w:rsidRPr="00A158BC">
              <w:rPr>
                <w:rFonts w:cs="Palatino-Roman"/>
                <w:lang w:val="de-DE"/>
              </w:rPr>
              <w:t>Capitale</w:t>
            </w:r>
            <w:proofErr w:type="spellEnd"/>
          </w:p>
        </w:tc>
      </w:tr>
    </w:tbl>
    <w:p w:rsidR="00A158BC" w:rsidRPr="00A158BC" w:rsidRDefault="00A158BC" w:rsidP="00A158BC">
      <w:pPr>
        <w:autoSpaceDE w:val="0"/>
        <w:autoSpaceDN w:val="0"/>
        <w:adjustRightInd w:val="0"/>
        <w:spacing w:after="0" w:line="240" w:lineRule="auto"/>
        <w:rPr>
          <w:rFonts w:cs="Palatino-Roman"/>
        </w:rPr>
      </w:pPr>
    </w:p>
    <w:p w:rsidR="00A158BC" w:rsidRDefault="00A158BC" w:rsidP="00A158BC">
      <w:pPr>
        <w:autoSpaceDE w:val="0"/>
        <w:autoSpaceDN w:val="0"/>
        <w:adjustRightInd w:val="0"/>
        <w:spacing w:after="0" w:line="240" w:lineRule="auto"/>
        <w:rPr>
          <w:rFonts w:cs="Palatino-Bold"/>
          <w:b/>
          <w:bCs/>
        </w:rPr>
      </w:pPr>
    </w:p>
    <w:tbl>
      <w:tblPr>
        <w:tblStyle w:val="Grilledutableau"/>
        <w:tblW w:w="0" w:type="auto"/>
        <w:tblLayout w:type="fixed"/>
        <w:tblLook w:val="04A0"/>
      </w:tblPr>
      <w:tblGrid>
        <w:gridCol w:w="1101"/>
        <w:gridCol w:w="708"/>
        <w:gridCol w:w="709"/>
        <w:gridCol w:w="709"/>
        <w:gridCol w:w="709"/>
        <w:gridCol w:w="708"/>
        <w:gridCol w:w="709"/>
        <w:gridCol w:w="709"/>
        <w:gridCol w:w="709"/>
        <w:gridCol w:w="708"/>
        <w:gridCol w:w="709"/>
        <w:gridCol w:w="1100"/>
      </w:tblGrid>
      <w:tr w:rsidR="003A225C" w:rsidTr="005409C7">
        <w:tc>
          <w:tcPr>
            <w:tcW w:w="1101" w:type="dxa"/>
          </w:tcPr>
          <w:p w:rsidR="003A225C" w:rsidRDefault="003A225C" w:rsidP="00A158BC">
            <w:pPr>
              <w:autoSpaceDE w:val="0"/>
              <w:autoSpaceDN w:val="0"/>
              <w:adjustRightInd w:val="0"/>
              <w:rPr>
                <w:rFonts w:cs="Palatino-Bold"/>
                <w:b/>
                <w:bCs/>
              </w:rPr>
            </w:pPr>
            <w:proofErr w:type="spellStart"/>
            <w:r>
              <w:rPr>
                <w:rFonts w:cs="Palatino-Bold"/>
                <w:b/>
                <w:bCs/>
              </w:rPr>
              <w:t>Jaren</w:t>
            </w:r>
            <w:proofErr w:type="spellEnd"/>
          </w:p>
        </w:tc>
        <w:tc>
          <w:tcPr>
            <w:tcW w:w="708" w:type="dxa"/>
          </w:tcPr>
          <w:p w:rsidR="003A225C" w:rsidRDefault="003A225C" w:rsidP="00A158BC">
            <w:pPr>
              <w:autoSpaceDE w:val="0"/>
              <w:autoSpaceDN w:val="0"/>
              <w:adjustRightInd w:val="0"/>
              <w:rPr>
                <w:rFonts w:cs="Palatino-Bold"/>
                <w:b/>
                <w:bCs/>
              </w:rPr>
            </w:pPr>
            <w:r>
              <w:rPr>
                <w:rFonts w:cs="Palatino-Bold"/>
                <w:b/>
                <w:bCs/>
              </w:rPr>
              <w:t>2021</w:t>
            </w:r>
          </w:p>
        </w:tc>
        <w:tc>
          <w:tcPr>
            <w:tcW w:w="709" w:type="dxa"/>
          </w:tcPr>
          <w:p w:rsidR="003A225C" w:rsidRDefault="003A225C" w:rsidP="00A158BC">
            <w:pPr>
              <w:autoSpaceDE w:val="0"/>
              <w:autoSpaceDN w:val="0"/>
              <w:adjustRightInd w:val="0"/>
              <w:rPr>
                <w:rFonts w:cs="Palatino-Bold"/>
                <w:b/>
                <w:bCs/>
              </w:rPr>
            </w:pPr>
            <w:r>
              <w:rPr>
                <w:rFonts w:cs="Palatino-Bold"/>
                <w:b/>
                <w:bCs/>
              </w:rPr>
              <w:t>2022</w:t>
            </w:r>
          </w:p>
        </w:tc>
        <w:tc>
          <w:tcPr>
            <w:tcW w:w="709" w:type="dxa"/>
          </w:tcPr>
          <w:p w:rsidR="003A225C" w:rsidRDefault="003A225C" w:rsidP="00A158BC">
            <w:pPr>
              <w:autoSpaceDE w:val="0"/>
              <w:autoSpaceDN w:val="0"/>
              <w:adjustRightInd w:val="0"/>
              <w:rPr>
                <w:rFonts w:cs="Palatino-Bold"/>
                <w:b/>
                <w:bCs/>
              </w:rPr>
            </w:pPr>
            <w:r>
              <w:rPr>
                <w:rFonts w:cs="Palatino-Bold"/>
                <w:b/>
                <w:bCs/>
              </w:rPr>
              <w:t>2023</w:t>
            </w:r>
          </w:p>
        </w:tc>
        <w:tc>
          <w:tcPr>
            <w:tcW w:w="709" w:type="dxa"/>
          </w:tcPr>
          <w:p w:rsidR="003A225C" w:rsidRDefault="003A225C" w:rsidP="00A158BC">
            <w:pPr>
              <w:autoSpaceDE w:val="0"/>
              <w:autoSpaceDN w:val="0"/>
              <w:adjustRightInd w:val="0"/>
              <w:rPr>
                <w:rFonts w:cs="Palatino-Bold"/>
                <w:b/>
                <w:bCs/>
              </w:rPr>
            </w:pPr>
            <w:r>
              <w:rPr>
                <w:rFonts w:cs="Palatino-Bold"/>
                <w:b/>
                <w:bCs/>
              </w:rPr>
              <w:t>2024</w:t>
            </w:r>
          </w:p>
        </w:tc>
        <w:tc>
          <w:tcPr>
            <w:tcW w:w="708" w:type="dxa"/>
          </w:tcPr>
          <w:p w:rsidR="003A225C" w:rsidRDefault="003A225C" w:rsidP="00A158BC">
            <w:pPr>
              <w:autoSpaceDE w:val="0"/>
              <w:autoSpaceDN w:val="0"/>
              <w:adjustRightInd w:val="0"/>
              <w:rPr>
                <w:rFonts w:cs="Palatino-Bold"/>
                <w:b/>
                <w:bCs/>
              </w:rPr>
            </w:pPr>
            <w:r>
              <w:rPr>
                <w:rFonts w:cs="Palatino-Bold"/>
                <w:b/>
                <w:bCs/>
              </w:rPr>
              <w:t>2025</w:t>
            </w:r>
          </w:p>
        </w:tc>
        <w:tc>
          <w:tcPr>
            <w:tcW w:w="709" w:type="dxa"/>
          </w:tcPr>
          <w:p w:rsidR="003A225C" w:rsidRDefault="003A225C" w:rsidP="00A158BC">
            <w:pPr>
              <w:autoSpaceDE w:val="0"/>
              <w:autoSpaceDN w:val="0"/>
              <w:adjustRightInd w:val="0"/>
              <w:rPr>
                <w:rFonts w:cs="Palatino-Bold"/>
                <w:b/>
                <w:bCs/>
              </w:rPr>
            </w:pPr>
            <w:r>
              <w:rPr>
                <w:rFonts w:cs="Palatino-Bold"/>
                <w:b/>
                <w:bCs/>
              </w:rPr>
              <w:t>2026</w:t>
            </w:r>
          </w:p>
        </w:tc>
        <w:tc>
          <w:tcPr>
            <w:tcW w:w="709" w:type="dxa"/>
          </w:tcPr>
          <w:p w:rsidR="003A225C" w:rsidRDefault="003A225C" w:rsidP="00A158BC">
            <w:pPr>
              <w:autoSpaceDE w:val="0"/>
              <w:autoSpaceDN w:val="0"/>
              <w:adjustRightInd w:val="0"/>
              <w:rPr>
                <w:rFonts w:cs="Palatino-Bold"/>
                <w:b/>
                <w:bCs/>
              </w:rPr>
            </w:pPr>
            <w:r>
              <w:rPr>
                <w:rFonts w:cs="Palatino-Bold"/>
                <w:b/>
                <w:bCs/>
              </w:rPr>
              <w:t>2027</w:t>
            </w:r>
          </w:p>
        </w:tc>
        <w:tc>
          <w:tcPr>
            <w:tcW w:w="709" w:type="dxa"/>
          </w:tcPr>
          <w:p w:rsidR="003A225C" w:rsidRDefault="003A225C" w:rsidP="00A158BC">
            <w:pPr>
              <w:autoSpaceDE w:val="0"/>
              <w:autoSpaceDN w:val="0"/>
              <w:adjustRightInd w:val="0"/>
              <w:rPr>
                <w:rFonts w:cs="Palatino-Bold"/>
                <w:b/>
                <w:bCs/>
              </w:rPr>
            </w:pPr>
            <w:r>
              <w:rPr>
                <w:rFonts w:cs="Palatino-Bold"/>
                <w:b/>
                <w:bCs/>
              </w:rPr>
              <w:t>2028</w:t>
            </w:r>
          </w:p>
        </w:tc>
        <w:tc>
          <w:tcPr>
            <w:tcW w:w="708" w:type="dxa"/>
          </w:tcPr>
          <w:p w:rsidR="003A225C" w:rsidRDefault="003A225C" w:rsidP="00A158BC">
            <w:pPr>
              <w:autoSpaceDE w:val="0"/>
              <w:autoSpaceDN w:val="0"/>
              <w:adjustRightInd w:val="0"/>
              <w:rPr>
                <w:rFonts w:cs="Palatino-Bold"/>
                <w:b/>
                <w:bCs/>
              </w:rPr>
            </w:pPr>
            <w:r>
              <w:rPr>
                <w:rFonts w:cs="Palatino-Bold"/>
                <w:b/>
                <w:bCs/>
              </w:rPr>
              <w:t>2029</w:t>
            </w:r>
          </w:p>
        </w:tc>
        <w:tc>
          <w:tcPr>
            <w:tcW w:w="709" w:type="dxa"/>
          </w:tcPr>
          <w:p w:rsidR="003A225C" w:rsidRDefault="003A225C" w:rsidP="00A158BC">
            <w:pPr>
              <w:autoSpaceDE w:val="0"/>
              <w:autoSpaceDN w:val="0"/>
              <w:adjustRightInd w:val="0"/>
              <w:rPr>
                <w:rFonts w:cs="Palatino-Bold"/>
                <w:b/>
                <w:bCs/>
              </w:rPr>
            </w:pPr>
            <w:r>
              <w:rPr>
                <w:rFonts w:cs="Palatino-Bold"/>
                <w:b/>
                <w:bCs/>
              </w:rPr>
              <w:t>2030</w:t>
            </w:r>
          </w:p>
        </w:tc>
        <w:tc>
          <w:tcPr>
            <w:tcW w:w="1100" w:type="dxa"/>
          </w:tcPr>
          <w:p w:rsidR="003A225C" w:rsidRDefault="003A225C" w:rsidP="00A158BC">
            <w:pPr>
              <w:autoSpaceDE w:val="0"/>
              <w:autoSpaceDN w:val="0"/>
              <w:adjustRightInd w:val="0"/>
              <w:rPr>
                <w:rFonts w:cs="Palatino-Bold"/>
                <w:b/>
                <w:bCs/>
              </w:rPr>
            </w:pPr>
            <w:r>
              <w:rPr>
                <w:rFonts w:cs="Palatino-Bold"/>
                <w:b/>
                <w:bCs/>
              </w:rPr>
              <w:t>Années</w:t>
            </w:r>
          </w:p>
        </w:tc>
      </w:tr>
      <w:tr w:rsidR="003A225C" w:rsidTr="005409C7">
        <w:tc>
          <w:tcPr>
            <w:tcW w:w="1101" w:type="dxa"/>
          </w:tcPr>
          <w:p w:rsidR="003A225C" w:rsidRDefault="003A225C" w:rsidP="00A158BC">
            <w:pPr>
              <w:autoSpaceDE w:val="0"/>
              <w:autoSpaceDN w:val="0"/>
              <w:adjustRightInd w:val="0"/>
              <w:rPr>
                <w:rFonts w:cs="Palatino-Bold"/>
                <w:b/>
                <w:bCs/>
              </w:rPr>
            </w:pPr>
            <w:proofErr w:type="spellStart"/>
            <w:r w:rsidRPr="00A158BC">
              <w:rPr>
                <w:rFonts w:cs="Palatino-Roman"/>
              </w:rPr>
              <w:t>Vlaamse</w:t>
            </w:r>
            <w:proofErr w:type="spellEnd"/>
            <w:r w:rsidRPr="00A158BC">
              <w:rPr>
                <w:rFonts w:cs="Palatino-Roman"/>
              </w:rPr>
              <w:t xml:space="preserve"> </w:t>
            </w:r>
            <w:proofErr w:type="spellStart"/>
            <w:r w:rsidRPr="00A158BC">
              <w:rPr>
                <w:rFonts w:cs="Palatino-Roman"/>
              </w:rPr>
              <w:t>Gewest</w:t>
            </w:r>
            <w:proofErr w:type="spellEnd"/>
          </w:p>
        </w:tc>
        <w:tc>
          <w:tcPr>
            <w:tcW w:w="708" w:type="dxa"/>
          </w:tcPr>
          <w:p w:rsidR="003A225C" w:rsidRPr="003A225C" w:rsidRDefault="003A225C" w:rsidP="00A158BC">
            <w:pPr>
              <w:autoSpaceDE w:val="0"/>
              <w:autoSpaceDN w:val="0"/>
              <w:adjustRightInd w:val="0"/>
              <w:rPr>
                <w:rFonts w:cs="Palatino-Bold"/>
                <w:bCs/>
              </w:rPr>
            </w:pPr>
            <w:r w:rsidRPr="003A225C">
              <w:rPr>
                <w:rFonts w:cs="Palatino-Bold"/>
                <w:bCs/>
              </w:rPr>
              <w:t>13 339</w:t>
            </w:r>
          </w:p>
        </w:tc>
        <w:tc>
          <w:tcPr>
            <w:tcW w:w="709" w:type="dxa"/>
          </w:tcPr>
          <w:p w:rsidR="003A225C" w:rsidRPr="003A225C" w:rsidRDefault="003A225C" w:rsidP="00A158BC">
            <w:pPr>
              <w:autoSpaceDE w:val="0"/>
              <w:autoSpaceDN w:val="0"/>
              <w:adjustRightInd w:val="0"/>
              <w:rPr>
                <w:rFonts w:cs="Palatino-Bold"/>
                <w:bCs/>
              </w:rPr>
            </w:pPr>
            <w:r w:rsidRPr="003A225C">
              <w:rPr>
                <w:rFonts w:cs="Palatino-Bold"/>
                <w:bCs/>
              </w:rPr>
              <w:t>13 098</w:t>
            </w:r>
          </w:p>
        </w:tc>
        <w:tc>
          <w:tcPr>
            <w:tcW w:w="709" w:type="dxa"/>
          </w:tcPr>
          <w:p w:rsidR="003A225C" w:rsidRPr="003A225C" w:rsidRDefault="003A225C" w:rsidP="00A158BC">
            <w:pPr>
              <w:autoSpaceDE w:val="0"/>
              <w:autoSpaceDN w:val="0"/>
              <w:adjustRightInd w:val="0"/>
              <w:rPr>
                <w:rFonts w:cs="Palatino-Bold"/>
                <w:bCs/>
              </w:rPr>
            </w:pPr>
            <w:r w:rsidRPr="003A225C">
              <w:rPr>
                <w:rFonts w:cs="Palatino-Bold"/>
                <w:bCs/>
              </w:rPr>
              <w:t>12 858</w:t>
            </w:r>
          </w:p>
        </w:tc>
        <w:tc>
          <w:tcPr>
            <w:tcW w:w="709" w:type="dxa"/>
          </w:tcPr>
          <w:p w:rsidR="003A225C" w:rsidRPr="003A225C" w:rsidRDefault="003A225C" w:rsidP="00A158BC">
            <w:pPr>
              <w:autoSpaceDE w:val="0"/>
              <w:autoSpaceDN w:val="0"/>
              <w:adjustRightInd w:val="0"/>
              <w:rPr>
                <w:rFonts w:cs="Palatino-Bold"/>
                <w:bCs/>
              </w:rPr>
            </w:pPr>
            <w:r w:rsidRPr="003A225C">
              <w:rPr>
                <w:rFonts w:cs="Palatino-Bold"/>
                <w:bCs/>
              </w:rPr>
              <w:t>12 617</w:t>
            </w:r>
          </w:p>
        </w:tc>
        <w:tc>
          <w:tcPr>
            <w:tcW w:w="708" w:type="dxa"/>
          </w:tcPr>
          <w:p w:rsidR="003A225C" w:rsidRPr="003A225C" w:rsidRDefault="003A225C" w:rsidP="00A158BC">
            <w:pPr>
              <w:autoSpaceDE w:val="0"/>
              <w:autoSpaceDN w:val="0"/>
              <w:adjustRightInd w:val="0"/>
              <w:rPr>
                <w:rFonts w:cs="Palatino-Bold"/>
                <w:bCs/>
              </w:rPr>
            </w:pPr>
            <w:r w:rsidRPr="003A225C">
              <w:rPr>
                <w:rFonts w:cs="Palatino-Bold"/>
                <w:bCs/>
              </w:rPr>
              <w:t>12 376</w:t>
            </w:r>
          </w:p>
        </w:tc>
        <w:tc>
          <w:tcPr>
            <w:tcW w:w="709" w:type="dxa"/>
          </w:tcPr>
          <w:p w:rsidR="003A225C" w:rsidRPr="003A225C" w:rsidRDefault="003A225C" w:rsidP="00A158BC">
            <w:pPr>
              <w:autoSpaceDE w:val="0"/>
              <w:autoSpaceDN w:val="0"/>
              <w:adjustRightInd w:val="0"/>
              <w:rPr>
                <w:rFonts w:cs="Palatino-Bold"/>
                <w:bCs/>
              </w:rPr>
            </w:pPr>
            <w:r w:rsidRPr="003A225C">
              <w:rPr>
                <w:rFonts w:cs="Palatino-Bold"/>
                <w:bCs/>
              </w:rPr>
              <w:t>12 136</w:t>
            </w:r>
          </w:p>
        </w:tc>
        <w:tc>
          <w:tcPr>
            <w:tcW w:w="709" w:type="dxa"/>
          </w:tcPr>
          <w:p w:rsidR="003A225C" w:rsidRPr="003A225C" w:rsidRDefault="003A225C" w:rsidP="00A158BC">
            <w:pPr>
              <w:autoSpaceDE w:val="0"/>
              <w:autoSpaceDN w:val="0"/>
              <w:adjustRightInd w:val="0"/>
              <w:rPr>
                <w:rFonts w:cs="Palatino-Bold"/>
                <w:bCs/>
              </w:rPr>
            </w:pPr>
            <w:r w:rsidRPr="003A225C">
              <w:rPr>
                <w:rFonts w:cs="Palatino-Bold"/>
                <w:bCs/>
              </w:rPr>
              <w:t>11 895</w:t>
            </w:r>
          </w:p>
        </w:tc>
        <w:tc>
          <w:tcPr>
            <w:tcW w:w="709" w:type="dxa"/>
          </w:tcPr>
          <w:p w:rsidR="003A225C" w:rsidRPr="003A225C" w:rsidRDefault="003A225C" w:rsidP="00A158BC">
            <w:pPr>
              <w:autoSpaceDE w:val="0"/>
              <w:autoSpaceDN w:val="0"/>
              <w:adjustRightInd w:val="0"/>
              <w:rPr>
                <w:rFonts w:cs="Palatino-Bold"/>
                <w:bCs/>
              </w:rPr>
            </w:pPr>
            <w:r w:rsidRPr="003A225C">
              <w:rPr>
                <w:rFonts w:cs="Palatino-Bold"/>
                <w:bCs/>
              </w:rPr>
              <w:t>11 655</w:t>
            </w:r>
          </w:p>
        </w:tc>
        <w:tc>
          <w:tcPr>
            <w:tcW w:w="708" w:type="dxa"/>
          </w:tcPr>
          <w:p w:rsidR="003A225C" w:rsidRPr="003A225C" w:rsidRDefault="003A225C" w:rsidP="00A158BC">
            <w:pPr>
              <w:autoSpaceDE w:val="0"/>
              <w:autoSpaceDN w:val="0"/>
              <w:adjustRightInd w:val="0"/>
              <w:rPr>
                <w:rFonts w:cs="Palatino-Bold"/>
                <w:bCs/>
              </w:rPr>
            </w:pPr>
            <w:r w:rsidRPr="003A225C">
              <w:rPr>
                <w:rFonts w:cs="Palatino-Bold"/>
                <w:bCs/>
              </w:rPr>
              <w:t>11 414</w:t>
            </w:r>
          </w:p>
        </w:tc>
        <w:tc>
          <w:tcPr>
            <w:tcW w:w="709" w:type="dxa"/>
          </w:tcPr>
          <w:p w:rsidR="003A225C" w:rsidRPr="003A225C" w:rsidRDefault="003A225C" w:rsidP="00A158BC">
            <w:pPr>
              <w:autoSpaceDE w:val="0"/>
              <w:autoSpaceDN w:val="0"/>
              <w:adjustRightInd w:val="0"/>
              <w:rPr>
                <w:rFonts w:cs="Palatino-Bold"/>
                <w:bCs/>
              </w:rPr>
            </w:pPr>
            <w:r w:rsidRPr="003A225C">
              <w:rPr>
                <w:rFonts w:cs="Palatino-Bold"/>
                <w:bCs/>
              </w:rPr>
              <w:t>11 173</w:t>
            </w:r>
          </w:p>
        </w:tc>
        <w:tc>
          <w:tcPr>
            <w:tcW w:w="1100" w:type="dxa"/>
          </w:tcPr>
          <w:p w:rsidR="003A225C" w:rsidRPr="00A158BC" w:rsidRDefault="003A225C" w:rsidP="003A225C">
            <w:pPr>
              <w:autoSpaceDE w:val="0"/>
              <w:autoSpaceDN w:val="0"/>
              <w:adjustRightInd w:val="0"/>
              <w:rPr>
                <w:rFonts w:cs="Palatino-Roman"/>
              </w:rPr>
            </w:pPr>
            <w:r w:rsidRPr="00A158BC">
              <w:rPr>
                <w:rFonts w:cs="Palatino-Roman"/>
              </w:rPr>
              <w:t>Région flamande</w:t>
            </w:r>
          </w:p>
          <w:p w:rsidR="003A225C" w:rsidRDefault="003A225C" w:rsidP="00A158BC">
            <w:pPr>
              <w:autoSpaceDE w:val="0"/>
              <w:autoSpaceDN w:val="0"/>
              <w:adjustRightInd w:val="0"/>
              <w:rPr>
                <w:rFonts w:cs="Palatino-Bold"/>
                <w:b/>
                <w:bCs/>
              </w:rPr>
            </w:pPr>
          </w:p>
        </w:tc>
      </w:tr>
      <w:tr w:rsidR="003A225C" w:rsidTr="005409C7">
        <w:tc>
          <w:tcPr>
            <w:tcW w:w="1101" w:type="dxa"/>
          </w:tcPr>
          <w:p w:rsidR="003A225C" w:rsidRDefault="003A225C" w:rsidP="00A158BC">
            <w:pPr>
              <w:autoSpaceDE w:val="0"/>
              <w:autoSpaceDN w:val="0"/>
              <w:adjustRightInd w:val="0"/>
              <w:rPr>
                <w:rFonts w:cs="Palatino-Bold"/>
                <w:b/>
                <w:bCs/>
              </w:rPr>
            </w:pPr>
            <w:proofErr w:type="spellStart"/>
            <w:r w:rsidRPr="00A158BC">
              <w:rPr>
                <w:rFonts w:cs="Palatino-Roman"/>
              </w:rPr>
              <w:t>Waalse</w:t>
            </w:r>
            <w:proofErr w:type="spellEnd"/>
            <w:r w:rsidRPr="00A158BC">
              <w:rPr>
                <w:rFonts w:cs="Palatino-Roman"/>
              </w:rPr>
              <w:t xml:space="preserve"> </w:t>
            </w:r>
            <w:proofErr w:type="spellStart"/>
            <w:r w:rsidRPr="00A158BC">
              <w:rPr>
                <w:rFonts w:cs="Palatino-Roman"/>
              </w:rPr>
              <w:t>Gewest</w:t>
            </w:r>
            <w:proofErr w:type="spellEnd"/>
          </w:p>
        </w:tc>
        <w:tc>
          <w:tcPr>
            <w:tcW w:w="708" w:type="dxa"/>
          </w:tcPr>
          <w:p w:rsidR="003A225C" w:rsidRPr="005409C7" w:rsidRDefault="003A225C" w:rsidP="00A158BC">
            <w:pPr>
              <w:autoSpaceDE w:val="0"/>
              <w:autoSpaceDN w:val="0"/>
              <w:adjustRightInd w:val="0"/>
              <w:rPr>
                <w:rFonts w:cs="Palatino-Bold"/>
                <w:bCs/>
              </w:rPr>
            </w:pPr>
            <w:r w:rsidRPr="005409C7">
              <w:rPr>
                <w:rFonts w:cs="Palatino-Bold"/>
                <w:bCs/>
              </w:rPr>
              <w:t>6845</w:t>
            </w:r>
          </w:p>
        </w:tc>
        <w:tc>
          <w:tcPr>
            <w:tcW w:w="709" w:type="dxa"/>
          </w:tcPr>
          <w:p w:rsidR="003A225C" w:rsidRPr="005409C7" w:rsidRDefault="003A225C" w:rsidP="00A158BC">
            <w:pPr>
              <w:autoSpaceDE w:val="0"/>
              <w:autoSpaceDN w:val="0"/>
              <w:adjustRightInd w:val="0"/>
              <w:rPr>
                <w:rFonts w:cs="Palatino-Bold"/>
                <w:bCs/>
              </w:rPr>
            </w:pPr>
            <w:r w:rsidRPr="005409C7">
              <w:rPr>
                <w:rFonts w:cs="Palatino-Bold"/>
                <w:bCs/>
              </w:rPr>
              <w:t>6722</w:t>
            </w:r>
          </w:p>
        </w:tc>
        <w:tc>
          <w:tcPr>
            <w:tcW w:w="709" w:type="dxa"/>
          </w:tcPr>
          <w:p w:rsidR="003A225C" w:rsidRPr="005409C7" w:rsidRDefault="003A225C" w:rsidP="00A158BC">
            <w:pPr>
              <w:autoSpaceDE w:val="0"/>
              <w:autoSpaceDN w:val="0"/>
              <w:adjustRightInd w:val="0"/>
              <w:rPr>
                <w:rFonts w:cs="Palatino-Bold"/>
                <w:bCs/>
              </w:rPr>
            </w:pPr>
            <w:r w:rsidRPr="005409C7">
              <w:rPr>
                <w:rFonts w:cs="Palatino-Bold"/>
                <w:bCs/>
              </w:rPr>
              <w:t>6598</w:t>
            </w:r>
          </w:p>
        </w:tc>
        <w:tc>
          <w:tcPr>
            <w:tcW w:w="709" w:type="dxa"/>
          </w:tcPr>
          <w:p w:rsidR="003A225C" w:rsidRPr="005409C7" w:rsidRDefault="003A225C" w:rsidP="00A158BC">
            <w:pPr>
              <w:autoSpaceDE w:val="0"/>
              <w:autoSpaceDN w:val="0"/>
              <w:adjustRightInd w:val="0"/>
              <w:rPr>
                <w:rFonts w:cs="Palatino-Bold"/>
                <w:bCs/>
              </w:rPr>
            </w:pPr>
            <w:r w:rsidRPr="005409C7">
              <w:rPr>
                <w:rFonts w:cs="Palatino-Bold"/>
                <w:bCs/>
              </w:rPr>
              <w:t>6475</w:t>
            </w:r>
          </w:p>
        </w:tc>
        <w:tc>
          <w:tcPr>
            <w:tcW w:w="708" w:type="dxa"/>
          </w:tcPr>
          <w:p w:rsidR="003A225C" w:rsidRPr="005409C7" w:rsidRDefault="003A225C" w:rsidP="00A158BC">
            <w:pPr>
              <w:autoSpaceDE w:val="0"/>
              <w:autoSpaceDN w:val="0"/>
              <w:adjustRightInd w:val="0"/>
              <w:rPr>
                <w:rFonts w:cs="Palatino-Bold"/>
                <w:bCs/>
              </w:rPr>
            </w:pPr>
            <w:r w:rsidRPr="005409C7">
              <w:rPr>
                <w:rFonts w:cs="Palatino-Bold"/>
                <w:bCs/>
              </w:rPr>
              <w:t>6351</w:t>
            </w:r>
          </w:p>
        </w:tc>
        <w:tc>
          <w:tcPr>
            <w:tcW w:w="709" w:type="dxa"/>
          </w:tcPr>
          <w:p w:rsidR="003A225C" w:rsidRPr="005409C7" w:rsidRDefault="003A225C" w:rsidP="00A158BC">
            <w:pPr>
              <w:autoSpaceDE w:val="0"/>
              <w:autoSpaceDN w:val="0"/>
              <w:adjustRightInd w:val="0"/>
              <w:rPr>
                <w:rFonts w:cs="Palatino-Bold"/>
                <w:bCs/>
              </w:rPr>
            </w:pPr>
            <w:r w:rsidRPr="005409C7">
              <w:rPr>
                <w:rFonts w:cs="Palatino-Bold"/>
                <w:bCs/>
              </w:rPr>
              <w:t>6228</w:t>
            </w:r>
          </w:p>
        </w:tc>
        <w:tc>
          <w:tcPr>
            <w:tcW w:w="709" w:type="dxa"/>
          </w:tcPr>
          <w:p w:rsidR="003A225C" w:rsidRPr="005409C7" w:rsidRDefault="003A225C" w:rsidP="00A158BC">
            <w:pPr>
              <w:autoSpaceDE w:val="0"/>
              <w:autoSpaceDN w:val="0"/>
              <w:adjustRightInd w:val="0"/>
              <w:rPr>
                <w:rFonts w:cs="Palatino-Bold"/>
                <w:bCs/>
              </w:rPr>
            </w:pPr>
            <w:r w:rsidRPr="005409C7">
              <w:rPr>
                <w:rFonts w:cs="Palatino-Bold"/>
                <w:bCs/>
              </w:rPr>
              <w:t>6104</w:t>
            </w:r>
          </w:p>
        </w:tc>
        <w:tc>
          <w:tcPr>
            <w:tcW w:w="709" w:type="dxa"/>
          </w:tcPr>
          <w:p w:rsidR="003A225C" w:rsidRPr="005409C7" w:rsidRDefault="003A225C" w:rsidP="00A158BC">
            <w:pPr>
              <w:autoSpaceDE w:val="0"/>
              <w:autoSpaceDN w:val="0"/>
              <w:adjustRightInd w:val="0"/>
              <w:rPr>
                <w:rFonts w:cs="Palatino-Bold"/>
                <w:bCs/>
              </w:rPr>
            </w:pPr>
            <w:r w:rsidRPr="005409C7">
              <w:rPr>
                <w:rFonts w:cs="Palatino-Bold"/>
                <w:bCs/>
              </w:rPr>
              <w:t>5981</w:t>
            </w:r>
          </w:p>
        </w:tc>
        <w:tc>
          <w:tcPr>
            <w:tcW w:w="708" w:type="dxa"/>
          </w:tcPr>
          <w:p w:rsidR="003A225C" w:rsidRPr="005409C7" w:rsidRDefault="003A225C" w:rsidP="00A158BC">
            <w:pPr>
              <w:autoSpaceDE w:val="0"/>
              <w:autoSpaceDN w:val="0"/>
              <w:adjustRightInd w:val="0"/>
              <w:rPr>
                <w:rFonts w:cs="Palatino-Bold"/>
                <w:bCs/>
              </w:rPr>
            </w:pPr>
            <w:r w:rsidRPr="005409C7">
              <w:rPr>
                <w:rFonts w:cs="Palatino-Bold"/>
                <w:bCs/>
              </w:rPr>
              <w:t>5857</w:t>
            </w:r>
          </w:p>
        </w:tc>
        <w:tc>
          <w:tcPr>
            <w:tcW w:w="709" w:type="dxa"/>
          </w:tcPr>
          <w:p w:rsidR="003A225C" w:rsidRPr="005409C7" w:rsidRDefault="003A225C" w:rsidP="00A158BC">
            <w:pPr>
              <w:autoSpaceDE w:val="0"/>
              <w:autoSpaceDN w:val="0"/>
              <w:adjustRightInd w:val="0"/>
              <w:rPr>
                <w:rFonts w:cs="Palatino-Bold"/>
                <w:bCs/>
              </w:rPr>
            </w:pPr>
            <w:r w:rsidRPr="005409C7">
              <w:rPr>
                <w:rFonts w:cs="Palatino-Bold"/>
                <w:bCs/>
              </w:rPr>
              <w:t>5734</w:t>
            </w:r>
          </w:p>
        </w:tc>
        <w:tc>
          <w:tcPr>
            <w:tcW w:w="1100" w:type="dxa"/>
          </w:tcPr>
          <w:p w:rsidR="003A225C" w:rsidRPr="003A225C" w:rsidRDefault="003A225C" w:rsidP="00A158BC">
            <w:pPr>
              <w:autoSpaceDE w:val="0"/>
              <w:autoSpaceDN w:val="0"/>
              <w:adjustRightInd w:val="0"/>
              <w:rPr>
                <w:rFonts w:cs="Palatino-Bold"/>
                <w:bCs/>
              </w:rPr>
            </w:pPr>
            <w:r w:rsidRPr="00A158BC">
              <w:rPr>
                <w:rFonts w:cs="Palatino-Roman"/>
              </w:rPr>
              <w:t>Région wallonne</w:t>
            </w:r>
          </w:p>
        </w:tc>
      </w:tr>
      <w:tr w:rsidR="003A225C" w:rsidTr="005409C7">
        <w:tc>
          <w:tcPr>
            <w:tcW w:w="1101" w:type="dxa"/>
          </w:tcPr>
          <w:p w:rsidR="003A225C" w:rsidRPr="00A158BC" w:rsidRDefault="003A225C" w:rsidP="003A225C">
            <w:pPr>
              <w:autoSpaceDE w:val="0"/>
              <w:autoSpaceDN w:val="0"/>
              <w:adjustRightInd w:val="0"/>
              <w:rPr>
                <w:rFonts w:cs="Palatino-Roman"/>
                <w:lang w:val="de-DE"/>
              </w:rPr>
            </w:pPr>
            <w:proofErr w:type="spellStart"/>
            <w:r w:rsidRPr="00A158BC">
              <w:rPr>
                <w:rFonts w:cs="Palatino-Roman"/>
                <w:lang w:val="de-DE"/>
              </w:rPr>
              <w:t>Brusselse</w:t>
            </w:r>
            <w:proofErr w:type="spellEnd"/>
            <w:r w:rsidRPr="00A158BC">
              <w:rPr>
                <w:rFonts w:cs="Palatino-Roman"/>
                <w:lang w:val="de-DE"/>
              </w:rPr>
              <w:t xml:space="preserve"> </w:t>
            </w:r>
            <w:proofErr w:type="spellStart"/>
            <w:r w:rsidRPr="00A158BC">
              <w:rPr>
                <w:rFonts w:cs="Palatino-Roman"/>
                <w:lang w:val="de-DE"/>
              </w:rPr>
              <w:t>Hoofdstedelijke</w:t>
            </w:r>
            <w:proofErr w:type="spellEnd"/>
          </w:p>
          <w:p w:rsidR="003A225C" w:rsidRDefault="003A225C" w:rsidP="003A225C">
            <w:pPr>
              <w:autoSpaceDE w:val="0"/>
              <w:autoSpaceDN w:val="0"/>
              <w:adjustRightInd w:val="0"/>
              <w:rPr>
                <w:rFonts w:cs="Palatino-Bold"/>
                <w:b/>
                <w:bCs/>
              </w:rPr>
            </w:pPr>
            <w:r w:rsidRPr="00A158BC">
              <w:rPr>
                <w:rFonts w:cs="Palatino-Roman"/>
                <w:lang w:val="de-DE"/>
              </w:rPr>
              <w:t>Gewest</w:t>
            </w:r>
          </w:p>
        </w:tc>
        <w:tc>
          <w:tcPr>
            <w:tcW w:w="708" w:type="dxa"/>
          </w:tcPr>
          <w:p w:rsidR="003A225C" w:rsidRPr="005409C7" w:rsidRDefault="003A225C" w:rsidP="00A158BC">
            <w:pPr>
              <w:autoSpaceDE w:val="0"/>
              <w:autoSpaceDN w:val="0"/>
              <w:adjustRightInd w:val="0"/>
              <w:rPr>
                <w:rFonts w:cs="Palatino-Bold"/>
                <w:bCs/>
              </w:rPr>
            </w:pPr>
            <w:r w:rsidRPr="005409C7">
              <w:rPr>
                <w:rFonts w:cs="Palatino-Bold"/>
                <w:bCs/>
              </w:rPr>
              <w:t>2244</w:t>
            </w:r>
          </w:p>
        </w:tc>
        <w:tc>
          <w:tcPr>
            <w:tcW w:w="709" w:type="dxa"/>
          </w:tcPr>
          <w:p w:rsidR="003A225C" w:rsidRPr="005409C7" w:rsidRDefault="005409C7" w:rsidP="00A158BC">
            <w:pPr>
              <w:autoSpaceDE w:val="0"/>
              <w:autoSpaceDN w:val="0"/>
              <w:adjustRightInd w:val="0"/>
              <w:rPr>
                <w:rFonts w:cs="Palatino-Bold"/>
                <w:bCs/>
              </w:rPr>
            </w:pPr>
            <w:r w:rsidRPr="005409C7">
              <w:rPr>
                <w:rFonts w:cs="Palatino-Bold"/>
                <w:bCs/>
              </w:rPr>
              <w:t>2204</w:t>
            </w:r>
          </w:p>
        </w:tc>
        <w:tc>
          <w:tcPr>
            <w:tcW w:w="709" w:type="dxa"/>
          </w:tcPr>
          <w:p w:rsidR="003A225C" w:rsidRPr="005409C7" w:rsidRDefault="005409C7" w:rsidP="00A158BC">
            <w:pPr>
              <w:autoSpaceDE w:val="0"/>
              <w:autoSpaceDN w:val="0"/>
              <w:adjustRightInd w:val="0"/>
              <w:rPr>
                <w:rFonts w:cs="Palatino-Bold"/>
                <w:bCs/>
              </w:rPr>
            </w:pPr>
            <w:r w:rsidRPr="005409C7">
              <w:rPr>
                <w:rFonts w:cs="Palatino-Bold"/>
                <w:bCs/>
              </w:rPr>
              <w:t>2163</w:t>
            </w:r>
          </w:p>
        </w:tc>
        <w:tc>
          <w:tcPr>
            <w:tcW w:w="709" w:type="dxa"/>
          </w:tcPr>
          <w:p w:rsidR="003A225C" w:rsidRPr="005409C7" w:rsidRDefault="005409C7" w:rsidP="00A158BC">
            <w:pPr>
              <w:autoSpaceDE w:val="0"/>
              <w:autoSpaceDN w:val="0"/>
              <w:adjustRightInd w:val="0"/>
              <w:rPr>
                <w:rFonts w:cs="Palatino-Bold"/>
                <w:bCs/>
              </w:rPr>
            </w:pPr>
            <w:r w:rsidRPr="005409C7">
              <w:rPr>
                <w:rFonts w:cs="Palatino-Bold"/>
                <w:bCs/>
              </w:rPr>
              <w:t>2123</w:t>
            </w:r>
          </w:p>
        </w:tc>
        <w:tc>
          <w:tcPr>
            <w:tcW w:w="708" w:type="dxa"/>
          </w:tcPr>
          <w:p w:rsidR="003A225C" w:rsidRPr="005409C7" w:rsidRDefault="005409C7" w:rsidP="00A158BC">
            <w:pPr>
              <w:autoSpaceDE w:val="0"/>
              <w:autoSpaceDN w:val="0"/>
              <w:adjustRightInd w:val="0"/>
              <w:rPr>
                <w:rFonts w:cs="Palatino-Bold"/>
                <w:bCs/>
              </w:rPr>
            </w:pPr>
            <w:r w:rsidRPr="005409C7">
              <w:rPr>
                <w:rFonts w:cs="Palatino-Bold"/>
                <w:bCs/>
              </w:rPr>
              <w:t>2082</w:t>
            </w:r>
          </w:p>
        </w:tc>
        <w:tc>
          <w:tcPr>
            <w:tcW w:w="709" w:type="dxa"/>
          </w:tcPr>
          <w:p w:rsidR="003A225C" w:rsidRPr="005409C7" w:rsidRDefault="005409C7" w:rsidP="00A158BC">
            <w:pPr>
              <w:autoSpaceDE w:val="0"/>
              <w:autoSpaceDN w:val="0"/>
              <w:adjustRightInd w:val="0"/>
              <w:rPr>
                <w:rFonts w:cs="Palatino-Bold"/>
                <w:bCs/>
              </w:rPr>
            </w:pPr>
            <w:r w:rsidRPr="005409C7">
              <w:rPr>
                <w:rFonts w:cs="Palatino-Bold"/>
                <w:bCs/>
              </w:rPr>
              <w:t>2042</w:t>
            </w:r>
          </w:p>
        </w:tc>
        <w:tc>
          <w:tcPr>
            <w:tcW w:w="709" w:type="dxa"/>
          </w:tcPr>
          <w:p w:rsidR="003A225C" w:rsidRPr="005409C7" w:rsidRDefault="005409C7" w:rsidP="00A158BC">
            <w:pPr>
              <w:autoSpaceDE w:val="0"/>
              <w:autoSpaceDN w:val="0"/>
              <w:adjustRightInd w:val="0"/>
              <w:rPr>
                <w:rFonts w:cs="Palatino-Bold"/>
                <w:bCs/>
              </w:rPr>
            </w:pPr>
            <w:r w:rsidRPr="005409C7">
              <w:rPr>
                <w:rFonts w:cs="Palatino-Bold"/>
                <w:bCs/>
              </w:rPr>
              <w:t>2001</w:t>
            </w:r>
          </w:p>
        </w:tc>
        <w:tc>
          <w:tcPr>
            <w:tcW w:w="709" w:type="dxa"/>
          </w:tcPr>
          <w:p w:rsidR="003A225C" w:rsidRPr="005409C7" w:rsidRDefault="005409C7" w:rsidP="00A158BC">
            <w:pPr>
              <w:autoSpaceDE w:val="0"/>
              <w:autoSpaceDN w:val="0"/>
              <w:adjustRightInd w:val="0"/>
              <w:rPr>
                <w:rFonts w:cs="Palatino-Bold"/>
                <w:bCs/>
              </w:rPr>
            </w:pPr>
            <w:r w:rsidRPr="005409C7">
              <w:rPr>
                <w:rFonts w:cs="Palatino-Bold"/>
                <w:bCs/>
              </w:rPr>
              <w:t>1961</w:t>
            </w:r>
          </w:p>
        </w:tc>
        <w:tc>
          <w:tcPr>
            <w:tcW w:w="708" w:type="dxa"/>
          </w:tcPr>
          <w:p w:rsidR="003A225C" w:rsidRPr="005409C7" w:rsidRDefault="005409C7" w:rsidP="00A158BC">
            <w:pPr>
              <w:autoSpaceDE w:val="0"/>
              <w:autoSpaceDN w:val="0"/>
              <w:adjustRightInd w:val="0"/>
              <w:rPr>
                <w:rFonts w:cs="Palatino-Bold"/>
                <w:bCs/>
              </w:rPr>
            </w:pPr>
            <w:r w:rsidRPr="005409C7">
              <w:rPr>
                <w:rFonts w:cs="Palatino-Bold"/>
                <w:bCs/>
              </w:rPr>
              <w:t>1920</w:t>
            </w:r>
          </w:p>
        </w:tc>
        <w:tc>
          <w:tcPr>
            <w:tcW w:w="709" w:type="dxa"/>
          </w:tcPr>
          <w:p w:rsidR="003A225C" w:rsidRPr="005409C7" w:rsidRDefault="005409C7" w:rsidP="00A158BC">
            <w:pPr>
              <w:autoSpaceDE w:val="0"/>
              <w:autoSpaceDN w:val="0"/>
              <w:adjustRightInd w:val="0"/>
              <w:rPr>
                <w:rFonts w:cs="Palatino-Bold"/>
                <w:bCs/>
              </w:rPr>
            </w:pPr>
            <w:r w:rsidRPr="005409C7">
              <w:rPr>
                <w:rFonts w:cs="Palatino-Bold"/>
                <w:bCs/>
              </w:rPr>
              <w:t>1880</w:t>
            </w:r>
          </w:p>
        </w:tc>
        <w:tc>
          <w:tcPr>
            <w:tcW w:w="1100" w:type="dxa"/>
          </w:tcPr>
          <w:p w:rsidR="003A225C" w:rsidRDefault="003A225C" w:rsidP="00A158BC">
            <w:pPr>
              <w:autoSpaceDE w:val="0"/>
              <w:autoSpaceDN w:val="0"/>
              <w:adjustRightInd w:val="0"/>
              <w:rPr>
                <w:rFonts w:cs="Palatino-Bold"/>
                <w:b/>
                <w:bCs/>
              </w:rPr>
            </w:pPr>
            <w:proofErr w:type="spellStart"/>
            <w:r w:rsidRPr="00A158BC">
              <w:rPr>
                <w:rFonts w:cs="Palatino-Roman"/>
                <w:lang w:val="de-DE"/>
              </w:rPr>
              <w:t>Région</w:t>
            </w:r>
            <w:proofErr w:type="spellEnd"/>
            <w:r w:rsidRPr="00A158BC">
              <w:rPr>
                <w:rFonts w:cs="Palatino-Roman"/>
                <w:lang w:val="de-DE"/>
              </w:rPr>
              <w:t xml:space="preserve"> de Bruxelles-</w:t>
            </w:r>
            <w:proofErr w:type="spellStart"/>
            <w:r w:rsidRPr="00A158BC">
              <w:rPr>
                <w:rFonts w:cs="Palatino-Roman"/>
                <w:lang w:val="de-DE"/>
              </w:rPr>
              <w:t>Capitale</w:t>
            </w:r>
            <w:proofErr w:type="spellEnd"/>
          </w:p>
        </w:tc>
      </w:tr>
    </w:tbl>
    <w:p w:rsidR="00A158BC" w:rsidRDefault="00A158BC" w:rsidP="00A158BC">
      <w:pPr>
        <w:autoSpaceDE w:val="0"/>
        <w:autoSpaceDN w:val="0"/>
        <w:adjustRightInd w:val="0"/>
        <w:spacing w:after="0" w:line="240" w:lineRule="auto"/>
        <w:rPr>
          <w:rFonts w:cs="Palatino-Bold"/>
          <w:b/>
          <w:bCs/>
        </w:rPr>
      </w:pPr>
    </w:p>
    <w:sectPr w:rsidR="00A158BC" w:rsidSect="00785B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D45"/>
    <w:rsid w:val="000A75F8"/>
    <w:rsid w:val="00253974"/>
    <w:rsid w:val="003A225C"/>
    <w:rsid w:val="004B2029"/>
    <w:rsid w:val="004E79CC"/>
    <w:rsid w:val="005409C7"/>
    <w:rsid w:val="00785B6A"/>
    <w:rsid w:val="007D7FA9"/>
    <w:rsid w:val="00942915"/>
    <w:rsid w:val="00A158BC"/>
    <w:rsid w:val="00AE5D45"/>
    <w:rsid w:val="00CD68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6A"/>
    <w:rPr>
      <w:lang w:val="fr-BE"/>
    </w:rPr>
  </w:style>
  <w:style w:type="paragraph" w:styleId="Titre3">
    <w:name w:val="heading 3"/>
    <w:basedOn w:val="Normal"/>
    <w:link w:val="Titre3Car"/>
    <w:uiPriority w:val="9"/>
    <w:qFormat/>
    <w:rsid w:val="000A75F8"/>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A75F8"/>
    <w:rPr>
      <w:rFonts w:ascii="Times New Roman" w:eastAsia="Times New Roman" w:hAnsi="Times New Roman" w:cs="Times New Roman"/>
      <w:b/>
      <w:bCs/>
      <w:sz w:val="27"/>
      <w:szCs w:val="27"/>
      <w:lang w:eastAsia="de-DE"/>
    </w:rPr>
  </w:style>
  <w:style w:type="table" w:styleId="Grilledutableau">
    <w:name w:val="Table Grid"/>
    <w:basedOn w:val="TableauNormal"/>
    <w:uiPriority w:val="59"/>
    <w:rsid w:val="00A15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05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7092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10236</dc:creator>
  <cp:keywords/>
  <dc:description/>
  <cp:lastModifiedBy>10236</cp:lastModifiedBy>
  <cp:revision>2</cp:revision>
  <dcterms:created xsi:type="dcterms:W3CDTF">2014-05-06T08:08:00Z</dcterms:created>
  <dcterms:modified xsi:type="dcterms:W3CDTF">2014-05-06T08:08:00Z</dcterms:modified>
</cp:coreProperties>
</file>