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33A" w:rsidRPr="005F5D9D" w:rsidRDefault="000B433A" w:rsidP="002C4532">
      <w:pPr>
        <w:jc w:val="center"/>
        <w:rPr>
          <w:rFonts w:cs="Calibri"/>
          <w:sz w:val="32"/>
          <w:lang w:val="de-DE"/>
        </w:rPr>
      </w:pPr>
    </w:p>
    <w:p w:rsidR="000B433A" w:rsidRPr="005F5D9D" w:rsidRDefault="000B433A" w:rsidP="002C4532">
      <w:pPr>
        <w:jc w:val="center"/>
        <w:rPr>
          <w:rFonts w:cs="Calibri"/>
          <w:sz w:val="32"/>
          <w:lang w:val="de-DE"/>
        </w:rPr>
      </w:pPr>
    </w:p>
    <w:p w:rsidR="000B433A" w:rsidRDefault="000B433A" w:rsidP="002C4532">
      <w:pPr>
        <w:jc w:val="center"/>
        <w:rPr>
          <w:rFonts w:cs="Calibri"/>
          <w:sz w:val="32"/>
          <w:lang w:val="de-DE"/>
        </w:rPr>
      </w:pPr>
    </w:p>
    <w:p w:rsidR="000B433A" w:rsidRDefault="000B433A" w:rsidP="002C4532">
      <w:pPr>
        <w:jc w:val="center"/>
        <w:rPr>
          <w:rFonts w:cs="Calibri"/>
          <w:sz w:val="32"/>
          <w:lang w:val="de-DE"/>
        </w:rPr>
      </w:pPr>
    </w:p>
    <w:p w:rsidR="000B433A" w:rsidRDefault="000B433A" w:rsidP="002C4532">
      <w:pPr>
        <w:jc w:val="center"/>
        <w:rPr>
          <w:rFonts w:cs="Calibri"/>
          <w:sz w:val="32"/>
          <w:lang w:val="de-DE"/>
        </w:rPr>
      </w:pPr>
    </w:p>
    <w:p w:rsidR="000B433A" w:rsidRDefault="000B433A" w:rsidP="002C4532">
      <w:pPr>
        <w:jc w:val="center"/>
        <w:rPr>
          <w:rFonts w:cs="Calibri"/>
          <w:sz w:val="32"/>
          <w:lang w:val="de-DE"/>
        </w:rPr>
      </w:pPr>
    </w:p>
    <w:p w:rsidR="000B433A" w:rsidRPr="005F5D9D" w:rsidRDefault="000B433A" w:rsidP="002C4532">
      <w:pPr>
        <w:jc w:val="center"/>
        <w:rPr>
          <w:rFonts w:cs="Calibri"/>
          <w:sz w:val="32"/>
          <w:lang w:val="de-DE"/>
        </w:rPr>
      </w:pPr>
    </w:p>
    <w:p w:rsidR="000B433A" w:rsidRPr="005F5D9D" w:rsidRDefault="000B433A" w:rsidP="002C4532">
      <w:pPr>
        <w:jc w:val="center"/>
        <w:rPr>
          <w:rFonts w:cs="Calibri"/>
          <w:sz w:val="32"/>
          <w:lang w:val="de-DE"/>
        </w:rPr>
      </w:pPr>
    </w:p>
    <w:p w:rsidR="000B433A" w:rsidRPr="005F5D9D" w:rsidRDefault="000B433A" w:rsidP="002C4532">
      <w:pPr>
        <w:jc w:val="center"/>
        <w:rPr>
          <w:rFonts w:cs="Calibri"/>
          <w:b/>
          <w:sz w:val="48"/>
          <w:lang w:val="de-DE"/>
        </w:rPr>
      </w:pPr>
      <w:r>
        <w:rPr>
          <w:rFonts w:cs="Calibri"/>
          <w:b/>
          <w:sz w:val="48"/>
          <w:lang w:val="de-DE"/>
        </w:rPr>
        <w:t>Luft-Klima-Energie-Plan bis 2030</w:t>
      </w:r>
    </w:p>
    <w:p w:rsidR="000B433A" w:rsidRPr="005F5D9D" w:rsidRDefault="000B433A" w:rsidP="002C4532">
      <w:pPr>
        <w:jc w:val="center"/>
        <w:rPr>
          <w:rFonts w:cs="Calibri"/>
          <w:b/>
          <w:sz w:val="48"/>
          <w:lang w:val="de-DE"/>
        </w:rPr>
      </w:pPr>
      <w:r>
        <w:rPr>
          <w:rFonts w:cs="Calibri"/>
          <w:b/>
          <w:sz w:val="48"/>
          <w:lang w:val="de-DE"/>
        </w:rPr>
        <w:t>(LKEP 2030)</w:t>
      </w:r>
    </w:p>
    <w:p w:rsidR="000B433A" w:rsidRPr="005F5D9D" w:rsidRDefault="000B433A" w:rsidP="002C4532">
      <w:pPr>
        <w:jc w:val="center"/>
        <w:rPr>
          <w:rFonts w:cs="Calibri"/>
          <w:sz w:val="32"/>
          <w:lang w:val="de-DE"/>
        </w:rPr>
      </w:pPr>
    </w:p>
    <w:p w:rsidR="000B433A" w:rsidRPr="005F5D9D" w:rsidRDefault="000B433A" w:rsidP="002C4532">
      <w:pPr>
        <w:jc w:val="center"/>
        <w:rPr>
          <w:rFonts w:cs="Calibri"/>
          <w:sz w:val="32"/>
          <w:lang w:val="de-DE"/>
        </w:rPr>
      </w:pPr>
    </w:p>
    <w:p w:rsidR="000B433A" w:rsidRPr="005F5D9D" w:rsidRDefault="000B433A" w:rsidP="002C4532">
      <w:pPr>
        <w:jc w:val="center"/>
        <w:rPr>
          <w:rFonts w:cs="Calibri"/>
          <w:sz w:val="32"/>
          <w:lang w:val="de-DE"/>
        </w:rPr>
      </w:pPr>
    </w:p>
    <w:p w:rsidR="000B433A" w:rsidRPr="005F5D9D" w:rsidRDefault="000B433A" w:rsidP="002C4532">
      <w:pPr>
        <w:jc w:val="center"/>
        <w:rPr>
          <w:rFonts w:cs="Calibri"/>
          <w:sz w:val="32"/>
          <w:lang w:val="de-DE"/>
        </w:rPr>
      </w:pPr>
    </w:p>
    <w:p w:rsidR="000B433A" w:rsidRPr="005F5D9D" w:rsidRDefault="000B433A">
      <w:pPr>
        <w:jc w:val="center"/>
        <w:rPr>
          <w:rFonts w:cs="Calibri"/>
          <w:sz w:val="32"/>
          <w:lang w:val="de-DE"/>
        </w:rPr>
      </w:pPr>
    </w:p>
    <w:p w:rsidR="000B433A" w:rsidRPr="005F5D9D" w:rsidRDefault="000B433A">
      <w:pPr>
        <w:jc w:val="center"/>
        <w:rPr>
          <w:rFonts w:cs="Calibri"/>
          <w:sz w:val="32"/>
          <w:lang w:val="de-DE"/>
        </w:rPr>
      </w:pPr>
    </w:p>
    <w:p w:rsidR="000B433A" w:rsidRPr="005F5D9D" w:rsidRDefault="000B433A">
      <w:pPr>
        <w:jc w:val="center"/>
        <w:rPr>
          <w:rFonts w:cs="Calibri"/>
          <w:sz w:val="32"/>
          <w:lang w:val="de-DE"/>
        </w:rPr>
      </w:pPr>
    </w:p>
    <w:p w:rsidR="000B433A" w:rsidRPr="005F5D9D" w:rsidRDefault="000B433A">
      <w:pPr>
        <w:jc w:val="center"/>
        <w:rPr>
          <w:rFonts w:cs="Calibri"/>
          <w:sz w:val="32"/>
          <w:lang w:val="de-DE"/>
        </w:rPr>
      </w:pPr>
    </w:p>
    <w:p w:rsidR="000B433A" w:rsidRPr="005F5D9D" w:rsidRDefault="000B433A">
      <w:pPr>
        <w:jc w:val="center"/>
        <w:rPr>
          <w:rFonts w:cs="Calibri"/>
          <w:sz w:val="32"/>
          <w:lang w:val="de-DE"/>
        </w:rPr>
      </w:pPr>
    </w:p>
    <w:p w:rsidR="000B433A" w:rsidRPr="005F5D9D" w:rsidRDefault="000B433A">
      <w:pPr>
        <w:jc w:val="center"/>
        <w:rPr>
          <w:rFonts w:cs="Calibri"/>
          <w:sz w:val="32"/>
          <w:lang w:val="de-DE"/>
        </w:rPr>
      </w:pPr>
    </w:p>
    <w:p w:rsidR="000B433A" w:rsidRPr="005F5D9D" w:rsidRDefault="000B433A">
      <w:pPr>
        <w:spacing w:after="200"/>
        <w:jc w:val="left"/>
        <w:rPr>
          <w:rFonts w:cs="Calibri"/>
          <w:sz w:val="32"/>
          <w:lang w:val="de-DE"/>
        </w:rPr>
      </w:pPr>
      <w:r w:rsidRPr="005F5D9D">
        <w:rPr>
          <w:rFonts w:cs="Calibri"/>
          <w:sz w:val="32"/>
          <w:lang w:val="de-DE"/>
        </w:rPr>
        <w:br w:type="page"/>
      </w:r>
    </w:p>
    <w:p w:rsidR="000B433A" w:rsidRPr="005F5D9D" w:rsidRDefault="000B433A">
      <w:pPr>
        <w:jc w:val="center"/>
        <w:rPr>
          <w:rFonts w:cs="Calibri"/>
          <w:sz w:val="32"/>
          <w:lang w:val="de-DE"/>
        </w:rPr>
      </w:pPr>
      <w:r>
        <w:rPr>
          <w:rFonts w:cs="Calibri"/>
          <w:sz w:val="32"/>
          <w:lang w:val="de-DE"/>
        </w:rPr>
        <w:lastRenderedPageBreak/>
        <w:t xml:space="preserve">INHALTSVERZEICHNIS </w:t>
      </w:r>
    </w:p>
    <w:bookmarkStart w:id="0" w:name="_Hlk4158172"/>
    <w:p w:rsidR="000B433A" w:rsidRDefault="005A6B21">
      <w:pPr>
        <w:pStyle w:val="TM1"/>
        <w:tabs>
          <w:tab w:val="left" w:pos="480"/>
          <w:tab w:val="right" w:leader="dot" w:pos="9062"/>
        </w:tabs>
        <w:rPr>
          <w:rFonts w:ascii="Times New Roman" w:hAnsi="Times New Roman" w:cs="Times New Roman"/>
          <w:b w:val="0"/>
          <w:bCs w:val="0"/>
          <w:caps w:val="0"/>
          <w:noProof/>
          <w:sz w:val="24"/>
          <w:szCs w:val="24"/>
          <w:lang w:val="fr-FR" w:eastAsia="fr-FR"/>
        </w:rPr>
      </w:pPr>
      <w:r>
        <w:rPr>
          <w:sz w:val="32"/>
          <w:lang w:val="de-DE"/>
        </w:rPr>
        <w:fldChar w:fldCharType="begin"/>
      </w:r>
      <w:r w:rsidR="000B433A">
        <w:rPr>
          <w:sz w:val="32"/>
          <w:lang w:val="de-DE"/>
        </w:rPr>
        <w:instrText xml:space="preserve"> TOC \o "1-2" \h \z \u </w:instrText>
      </w:r>
      <w:r>
        <w:rPr>
          <w:sz w:val="32"/>
          <w:lang w:val="de-DE"/>
        </w:rPr>
        <w:fldChar w:fldCharType="separate"/>
      </w:r>
      <w:hyperlink w:anchor="_Toc7802416" w:history="1">
        <w:r w:rsidR="000B433A" w:rsidRPr="00BF2E58">
          <w:rPr>
            <w:rStyle w:val="Lienhypertexte"/>
            <w:rFonts w:cs="Calibri"/>
            <w:smallCaps/>
            <w:noProof/>
            <w:lang w:val="de-DE"/>
          </w:rPr>
          <w:t>I.</w:t>
        </w:r>
        <w:r w:rsidR="000B433A">
          <w:rPr>
            <w:rFonts w:ascii="Times New Roman" w:hAnsi="Times New Roman" w:cs="Times New Roman"/>
            <w:b w:val="0"/>
            <w:bCs w:val="0"/>
            <w:caps w:val="0"/>
            <w:noProof/>
            <w:sz w:val="24"/>
            <w:szCs w:val="24"/>
            <w:lang w:val="fr-FR" w:eastAsia="fr-FR"/>
          </w:rPr>
          <w:tab/>
        </w:r>
        <w:r w:rsidR="000B433A" w:rsidRPr="00BF2E58">
          <w:rPr>
            <w:rStyle w:val="Lienhypertexte"/>
            <w:rFonts w:cs="Calibri"/>
            <w:smallCaps/>
            <w:noProof/>
            <w:lang w:val="de-DE"/>
          </w:rPr>
          <w:t>Einführung</w:t>
        </w:r>
        <w:r w:rsidR="000B433A">
          <w:rPr>
            <w:noProof/>
            <w:webHidden/>
          </w:rPr>
          <w:tab/>
        </w:r>
        <w:r>
          <w:rPr>
            <w:noProof/>
            <w:webHidden/>
          </w:rPr>
          <w:fldChar w:fldCharType="begin"/>
        </w:r>
        <w:r w:rsidR="000B433A">
          <w:rPr>
            <w:noProof/>
            <w:webHidden/>
          </w:rPr>
          <w:instrText xml:space="preserve"> PAGEREF _Toc7802416 \h </w:instrText>
        </w:r>
        <w:r>
          <w:rPr>
            <w:noProof/>
            <w:webHidden/>
          </w:rPr>
        </w:r>
        <w:r>
          <w:rPr>
            <w:noProof/>
            <w:webHidden/>
          </w:rPr>
          <w:fldChar w:fldCharType="separate"/>
        </w:r>
        <w:r w:rsidR="000B433A">
          <w:rPr>
            <w:noProof/>
            <w:webHidden/>
          </w:rPr>
          <w:t>4</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17" w:history="1">
        <w:r w:rsidR="000B433A" w:rsidRPr="00BF2E58">
          <w:rPr>
            <w:rStyle w:val="Lienhypertexte"/>
            <w:noProof/>
            <w:lang w:val="de-DE"/>
          </w:rPr>
          <w:t>1.1.</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Kontext</w:t>
        </w:r>
        <w:r w:rsidR="000B433A">
          <w:rPr>
            <w:noProof/>
            <w:webHidden/>
          </w:rPr>
          <w:tab/>
        </w:r>
        <w:r>
          <w:rPr>
            <w:noProof/>
            <w:webHidden/>
          </w:rPr>
          <w:fldChar w:fldCharType="begin"/>
        </w:r>
        <w:r w:rsidR="000B433A">
          <w:rPr>
            <w:noProof/>
            <w:webHidden/>
          </w:rPr>
          <w:instrText xml:space="preserve"> PAGEREF _Toc7802417 \h </w:instrText>
        </w:r>
        <w:r>
          <w:rPr>
            <w:noProof/>
            <w:webHidden/>
          </w:rPr>
        </w:r>
        <w:r>
          <w:rPr>
            <w:noProof/>
            <w:webHidden/>
          </w:rPr>
          <w:fldChar w:fldCharType="separate"/>
        </w:r>
        <w:r w:rsidR="000B433A">
          <w:rPr>
            <w:noProof/>
            <w:webHidden/>
          </w:rPr>
          <w:t>4</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18" w:history="1">
        <w:r w:rsidR="000B433A" w:rsidRPr="00BF2E58">
          <w:rPr>
            <w:rStyle w:val="Lienhypertexte"/>
            <w:noProof/>
            <w:lang w:val="de-DE"/>
          </w:rPr>
          <w:t>1.2.</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Verbindung zwischen einem wallonischen Programm Energie/Klima 2030 und einem Programm Luft 2030.</w:t>
        </w:r>
        <w:r w:rsidR="000B433A">
          <w:rPr>
            <w:noProof/>
            <w:webHidden/>
          </w:rPr>
          <w:tab/>
        </w:r>
        <w:r>
          <w:rPr>
            <w:noProof/>
            <w:webHidden/>
          </w:rPr>
          <w:fldChar w:fldCharType="begin"/>
        </w:r>
        <w:r w:rsidR="000B433A">
          <w:rPr>
            <w:noProof/>
            <w:webHidden/>
          </w:rPr>
          <w:instrText xml:space="preserve"> PAGEREF _Toc7802418 \h </w:instrText>
        </w:r>
        <w:r>
          <w:rPr>
            <w:noProof/>
            <w:webHidden/>
          </w:rPr>
        </w:r>
        <w:r>
          <w:rPr>
            <w:noProof/>
            <w:webHidden/>
          </w:rPr>
          <w:fldChar w:fldCharType="separate"/>
        </w:r>
        <w:r w:rsidR="000B433A">
          <w:rPr>
            <w:noProof/>
            <w:webHidden/>
          </w:rPr>
          <w:t>5</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19" w:history="1">
        <w:r w:rsidR="000B433A" w:rsidRPr="00BF2E58">
          <w:rPr>
            <w:rStyle w:val="Lienhypertexte"/>
            <w:noProof/>
            <w:lang w:val="de-DE"/>
          </w:rPr>
          <w:t>1.3.</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Entscheidungsverfahren</w:t>
        </w:r>
        <w:r w:rsidR="000B433A">
          <w:rPr>
            <w:noProof/>
            <w:webHidden/>
          </w:rPr>
          <w:tab/>
        </w:r>
        <w:r>
          <w:rPr>
            <w:noProof/>
            <w:webHidden/>
          </w:rPr>
          <w:fldChar w:fldCharType="begin"/>
        </w:r>
        <w:r w:rsidR="000B433A">
          <w:rPr>
            <w:noProof/>
            <w:webHidden/>
          </w:rPr>
          <w:instrText xml:space="preserve"> PAGEREF _Toc7802419 \h </w:instrText>
        </w:r>
        <w:r>
          <w:rPr>
            <w:noProof/>
            <w:webHidden/>
          </w:rPr>
        </w:r>
        <w:r>
          <w:rPr>
            <w:noProof/>
            <w:webHidden/>
          </w:rPr>
          <w:fldChar w:fldCharType="separate"/>
        </w:r>
        <w:r w:rsidR="000B433A">
          <w:rPr>
            <w:noProof/>
            <w:webHidden/>
          </w:rPr>
          <w:t>5</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20" w:history="1">
        <w:r w:rsidR="000B433A" w:rsidRPr="00BF2E58">
          <w:rPr>
            <w:rStyle w:val="Lienhypertexte"/>
            <w:noProof/>
            <w:lang w:val="de-DE"/>
          </w:rPr>
          <w:t>1.4.</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Zonen</w:t>
        </w:r>
        <w:r w:rsidR="000B433A">
          <w:rPr>
            <w:noProof/>
            <w:webHidden/>
          </w:rPr>
          <w:tab/>
        </w:r>
        <w:r>
          <w:rPr>
            <w:noProof/>
            <w:webHidden/>
          </w:rPr>
          <w:fldChar w:fldCharType="begin"/>
        </w:r>
        <w:r w:rsidR="000B433A">
          <w:rPr>
            <w:noProof/>
            <w:webHidden/>
          </w:rPr>
          <w:instrText xml:space="preserve"> PAGEREF _Toc7802420 \h </w:instrText>
        </w:r>
        <w:r>
          <w:rPr>
            <w:noProof/>
            <w:webHidden/>
          </w:rPr>
        </w:r>
        <w:r>
          <w:rPr>
            <w:noProof/>
            <w:webHidden/>
          </w:rPr>
          <w:fldChar w:fldCharType="separate"/>
        </w:r>
        <w:r w:rsidR="000B433A">
          <w:rPr>
            <w:noProof/>
            <w:webHidden/>
          </w:rPr>
          <w:t>8</w:t>
        </w:r>
        <w:r>
          <w:rPr>
            <w:noProof/>
            <w:webHidden/>
          </w:rPr>
          <w:fldChar w:fldCharType="end"/>
        </w:r>
      </w:hyperlink>
    </w:p>
    <w:p w:rsidR="000B433A" w:rsidRDefault="005A6B21">
      <w:pPr>
        <w:pStyle w:val="TM1"/>
        <w:tabs>
          <w:tab w:val="left" w:pos="480"/>
          <w:tab w:val="right" w:leader="dot" w:pos="9062"/>
        </w:tabs>
        <w:rPr>
          <w:rFonts w:ascii="Times New Roman" w:hAnsi="Times New Roman" w:cs="Times New Roman"/>
          <w:b w:val="0"/>
          <w:bCs w:val="0"/>
          <w:caps w:val="0"/>
          <w:noProof/>
          <w:sz w:val="24"/>
          <w:szCs w:val="24"/>
          <w:lang w:val="fr-FR" w:eastAsia="fr-FR"/>
        </w:rPr>
      </w:pPr>
      <w:hyperlink w:anchor="_Toc7802421" w:history="1">
        <w:r w:rsidR="000B433A" w:rsidRPr="00BF2E58">
          <w:rPr>
            <w:rStyle w:val="Lienhypertexte"/>
            <w:rFonts w:cs="Calibri"/>
            <w:smallCaps/>
            <w:noProof/>
            <w:lang w:val="de-DE"/>
          </w:rPr>
          <w:t>II.</w:t>
        </w:r>
        <w:r w:rsidR="000B433A">
          <w:rPr>
            <w:rFonts w:ascii="Times New Roman" w:hAnsi="Times New Roman" w:cs="Times New Roman"/>
            <w:b w:val="0"/>
            <w:bCs w:val="0"/>
            <w:caps w:val="0"/>
            <w:noProof/>
            <w:sz w:val="24"/>
            <w:szCs w:val="24"/>
            <w:lang w:val="fr-FR" w:eastAsia="fr-FR"/>
          </w:rPr>
          <w:tab/>
        </w:r>
        <w:r w:rsidR="000B433A" w:rsidRPr="00BF2E58">
          <w:rPr>
            <w:rStyle w:val="Lienhypertexte"/>
            <w:rFonts w:cs="Calibri"/>
            <w:smallCaps/>
            <w:noProof/>
            <w:lang w:val="de-DE"/>
          </w:rPr>
          <w:t>Aktuelle Situation bei Treibhausgasemissionen und Luftschadstoffen</w:t>
        </w:r>
        <w:r w:rsidR="000B433A">
          <w:rPr>
            <w:noProof/>
            <w:webHidden/>
          </w:rPr>
          <w:tab/>
        </w:r>
        <w:r>
          <w:rPr>
            <w:noProof/>
            <w:webHidden/>
          </w:rPr>
          <w:fldChar w:fldCharType="begin"/>
        </w:r>
        <w:r w:rsidR="000B433A">
          <w:rPr>
            <w:noProof/>
            <w:webHidden/>
          </w:rPr>
          <w:instrText xml:space="preserve"> PAGEREF _Toc7802421 \h </w:instrText>
        </w:r>
        <w:r>
          <w:rPr>
            <w:noProof/>
            <w:webHidden/>
          </w:rPr>
        </w:r>
        <w:r>
          <w:rPr>
            <w:noProof/>
            <w:webHidden/>
          </w:rPr>
          <w:fldChar w:fldCharType="separate"/>
        </w:r>
        <w:r w:rsidR="000B433A">
          <w:rPr>
            <w:noProof/>
            <w:webHidden/>
          </w:rPr>
          <w:t>11</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22" w:history="1">
        <w:r w:rsidR="000B433A" w:rsidRPr="00BF2E58">
          <w:rPr>
            <w:rStyle w:val="Lienhypertexte"/>
            <w:noProof/>
            <w:lang w:val="de-DE"/>
          </w:rPr>
          <w:t>2.1.</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Emissionshandelssystem (EHS) (Emission Trading System / EHS)</w:t>
        </w:r>
        <w:r w:rsidR="000B433A">
          <w:rPr>
            <w:noProof/>
            <w:webHidden/>
          </w:rPr>
          <w:tab/>
        </w:r>
        <w:r>
          <w:rPr>
            <w:noProof/>
            <w:webHidden/>
          </w:rPr>
          <w:fldChar w:fldCharType="begin"/>
        </w:r>
        <w:r w:rsidR="000B433A">
          <w:rPr>
            <w:noProof/>
            <w:webHidden/>
          </w:rPr>
          <w:instrText xml:space="preserve"> PAGEREF _Toc7802422 \h </w:instrText>
        </w:r>
        <w:r>
          <w:rPr>
            <w:noProof/>
            <w:webHidden/>
          </w:rPr>
        </w:r>
        <w:r>
          <w:rPr>
            <w:noProof/>
            <w:webHidden/>
          </w:rPr>
          <w:fldChar w:fldCharType="separate"/>
        </w:r>
        <w:r w:rsidR="000B433A">
          <w:rPr>
            <w:noProof/>
            <w:webHidden/>
          </w:rPr>
          <w:t>11</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23" w:history="1">
        <w:r w:rsidR="000B433A" w:rsidRPr="00BF2E58">
          <w:rPr>
            <w:rStyle w:val="Lienhypertexte"/>
            <w:noProof/>
            <w:lang w:val="de-DE"/>
          </w:rPr>
          <w:t>2.2.</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Treibhausgasemissionen</w:t>
        </w:r>
        <w:r w:rsidR="000B433A">
          <w:rPr>
            <w:noProof/>
            <w:webHidden/>
          </w:rPr>
          <w:tab/>
        </w:r>
        <w:r>
          <w:rPr>
            <w:noProof/>
            <w:webHidden/>
          </w:rPr>
          <w:fldChar w:fldCharType="begin"/>
        </w:r>
        <w:r w:rsidR="000B433A">
          <w:rPr>
            <w:noProof/>
            <w:webHidden/>
          </w:rPr>
          <w:instrText xml:space="preserve"> PAGEREF _Toc7802423 \h </w:instrText>
        </w:r>
        <w:r>
          <w:rPr>
            <w:noProof/>
            <w:webHidden/>
          </w:rPr>
        </w:r>
        <w:r>
          <w:rPr>
            <w:noProof/>
            <w:webHidden/>
          </w:rPr>
          <w:fldChar w:fldCharType="separate"/>
        </w:r>
        <w:r w:rsidR="000B433A">
          <w:rPr>
            <w:noProof/>
            <w:webHidden/>
          </w:rPr>
          <w:t>12</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24" w:history="1">
        <w:r w:rsidR="000B433A" w:rsidRPr="00BF2E58">
          <w:rPr>
            <w:rStyle w:val="Lienhypertexte"/>
            <w:noProof/>
            <w:lang w:val="de-DE"/>
          </w:rPr>
          <w:t>2.3.</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Energieeffizienz</w:t>
        </w:r>
        <w:r w:rsidR="000B433A">
          <w:rPr>
            <w:noProof/>
            <w:webHidden/>
          </w:rPr>
          <w:tab/>
        </w:r>
        <w:r>
          <w:rPr>
            <w:noProof/>
            <w:webHidden/>
          </w:rPr>
          <w:fldChar w:fldCharType="begin"/>
        </w:r>
        <w:r w:rsidR="000B433A">
          <w:rPr>
            <w:noProof/>
            <w:webHidden/>
          </w:rPr>
          <w:instrText xml:space="preserve"> PAGEREF _Toc7802424 \h </w:instrText>
        </w:r>
        <w:r>
          <w:rPr>
            <w:noProof/>
            <w:webHidden/>
          </w:rPr>
        </w:r>
        <w:r>
          <w:rPr>
            <w:noProof/>
            <w:webHidden/>
          </w:rPr>
          <w:fldChar w:fldCharType="separate"/>
        </w:r>
        <w:r w:rsidR="000B433A">
          <w:rPr>
            <w:noProof/>
            <w:webHidden/>
          </w:rPr>
          <w:t>17</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25" w:history="1">
        <w:r w:rsidR="000B433A" w:rsidRPr="00BF2E58">
          <w:rPr>
            <w:rStyle w:val="Lienhypertexte"/>
            <w:noProof/>
            <w:lang w:val="de-DE"/>
          </w:rPr>
          <w:t>2.4.</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Erneuerbare Energie</w:t>
        </w:r>
        <w:r w:rsidR="000B433A">
          <w:rPr>
            <w:noProof/>
            <w:webHidden/>
          </w:rPr>
          <w:tab/>
        </w:r>
        <w:r>
          <w:rPr>
            <w:noProof/>
            <w:webHidden/>
          </w:rPr>
          <w:fldChar w:fldCharType="begin"/>
        </w:r>
        <w:r w:rsidR="000B433A">
          <w:rPr>
            <w:noProof/>
            <w:webHidden/>
          </w:rPr>
          <w:instrText xml:space="preserve"> PAGEREF _Toc7802425 \h </w:instrText>
        </w:r>
        <w:r>
          <w:rPr>
            <w:noProof/>
            <w:webHidden/>
          </w:rPr>
        </w:r>
        <w:r>
          <w:rPr>
            <w:noProof/>
            <w:webHidden/>
          </w:rPr>
          <w:fldChar w:fldCharType="separate"/>
        </w:r>
        <w:r w:rsidR="000B433A">
          <w:rPr>
            <w:noProof/>
            <w:webHidden/>
          </w:rPr>
          <w:t>20</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26" w:history="1">
        <w:r w:rsidR="000B433A" w:rsidRPr="00BF2E58">
          <w:rPr>
            <w:rStyle w:val="Lienhypertexte"/>
            <w:noProof/>
            <w:lang w:val="de-DE"/>
          </w:rPr>
          <w:t>2.5.</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Emissionen von Luftschadstoffen und Entwicklung der Emissionen</w:t>
        </w:r>
        <w:r w:rsidR="000B433A">
          <w:rPr>
            <w:noProof/>
            <w:webHidden/>
          </w:rPr>
          <w:tab/>
        </w:r>
        <w:r>
          <w:rPr>
            <w:noProof/>
            <w:webHidden/>
          </w:rPr>
          <w:fldChar w:fldCharType="begin"/>
        </w:r>
        <w:r w:rsidR="000B433A">
          <w:rPr>
            <w:noProof/>
            <w:webHidden/>
          </w:rPr>
          <w:instrText xml:space="preserve"> PAGEREF _Toc7802426 \h </w:instrText>
        </w:r>
        <w:r>
          <w:rPr>
            <w:noProof/>
            <w:webHidden/>
          </w:rPr>
        </w:r>
        <w:r>
          <w:rPr>
            <w:noProof/>
            <w:webHidden/>
          </w:rPr>
          <w:fldChar w:fldCharType="separate"/>
        </w:r>
        <w:r w:rsidR="000B433A">
          <w:rPr>
            <w:noProof/>
            <w:webHidden/>
          </w:rPr>
          <w:t>23</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27" w:history="1">
        <w:r w:rsidR="000B433A" w:rsidRPr="00BF2E58">
          <w:rPr>
            <w:rStyle w:val="Lienhypertexte"/>
            <w:noProof/>
            <w:lang w:val="de-DE"/>
          </w:rPr>
          <w:t>2.6.</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Emissionen von versauernden Schadstoffen</w:t>
        </w:r>
        <w:r w:rsidR="000B433A">
          <w:rPr>
            <w:noProof/>
            <w:webHidden/>
          </w:rPr>
          <w:tab/>
        </w:r>
        <w:r>
          <w:rPr>
            <w:noProof/>
            <w:webHidden/>
          </w:rPr>
          <w:fldChar w:fldCharType="begin"/>
        </w:r>
        <w:r w:rsidR="000B433A">
          <w:rPr>
            <w:noProof/>
            <w:webHidden/>
          </w:rPr>
          <w:instrText xml:space="preserve"> PAGEREF _Toc7802427 \h </w:instrText>
        </w:r>
        <w:r>
          <w:rPr>
            <w:noProof/>
            <w:webHidden/>
          </w:rPr>
        </w:r>
        <w:r>
          <w:rPr>
            <w:noProof/>
            <w:webHidden/>
          </w:rPr>
          <w:fldChar w:fldCharType="separate"/>
        </w:r>
        <w:r w:rsidR="000B433A">
          <w:rPr>
            <w:noProof/>
            <w:webHidden/>
          </w:rPr>
          <w:t>24</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28" w:history="1">
        <w:r w:rsidR="000B433A" w:rsidRPr="00BF2E58">
          <w:rPr>
            <w:rStyle w:val="Lienhypertexte"/>
            <w:noProof/>
            <w:lang w:val="de-DE"/>
          </w:rPr>
          <w:t>2.7.</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Feinstaubemissionen</w:t>
        </w:r>
        <w:r w:rsidR="000B433A">
          <w:rPr>
            <w:noProof/>
            <w:webHidden/>
          </w:rPr>
          <w:tab/>
        </w:r>
        <w:r>
          <w:rPr>
            <w:noProof/>
            <w:webHidden/>
          </w:rPr>
          <w:fldChar w:fldCharType="begin"/>
        </w:r>
        <w:r w:rsidR="000B433A">
          <w:rPr>
            <w:noProof/>
            <w:webHidden/>
          </w:rPr>
          <w:instrText xml:space="preserve"> PAGEREF _Toc7802428 \h </w:instrText>
        </w:r>
        <w:r>
          <w:rPr>
            <w:noProof/>
            <w:webHidden/>
          </w:rPr>
        </w:r>
        <w:r>
          <w:rPr>
            <w:noProof/>
            <w:webHidden/>
          </w:rPr>
          <w:fldChar w:fldCharType="separate"/>
        </w:r>
        <w:r w:rsidR="000B433A">
          <w:rPr>
            <w:noProof/>
            <w:webHidden/>
          </w:rPr>
          <w:t>26</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29" w:history="1">
        <w:r w:rsidR="000B433A" w:rsidRPr="00BF2E58">
          <w:rPr>
            <w:rStyle w:val="Lienhypertexte"/>
            <w:noProof/>
            <w:lang w:val="de-DE"/>
          </w:rPr>
          <w:t>2.8.</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Emissionen von troposphärischen Ozonvorläufersubstanzen</w:t>
        </w:r>
        <w:r w:rsidR="000B433A">
          <w:rPr>
            <w:noProof/>
            <w:webHidden/>
          </w:rPr>
          <w:tab/>
        </w:r>
        <w:r>
          <w:rPr>
            <w:noProof/>
            <w:webHidden/>
          </w:rPr>
          <w:fldChar w:fldCharType="begin"/>
        </w:r>
        <w:r w:rsidR="000B433A">
          <w:rPr>
            <w:noProof/>
            <w:webHidden/>
          </w:rPr>
          <w:instrText xml:space="preserve"> PAGEREF _Toc7802429 \h </w:instrText>
        </w:r>
        <w:r>
          <w:rPr>
            <w:noProof/>
            <w:webHidden/>
          </w:rPr>
        </w:r>
        <w:r>
          <w:rPr>
            <w:noProof/>
            <w:webHidden/>
          </w:rPr>
          <w:fldChar w:fldCharType="separate"/>
        </w:r>
        <w:r w:rsidR="000B433A">
          <w:rPr>
            <w:noProof/>
            <w:webHidden/>
          </w:rPr>
          <w:t>28</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30" w:history="1">
        <w:r w:rsidR="000B433A" w:rsidRPr="00BF2E58">
          <w:rPr>
            <w:rStyle w:val="Lienhypertexte"/>
            <w:noProof/>
            <w:lang w:val="de-DE"/>
          </w:rPr>
          <w:t>2.9.</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Ammoniakemissionen</w:t>
        </w:r>
        <w:r w:rsidR="000B433A">
          <w:rPr>
            <w:noProof/>
            <w:webHidden/>
          </w:rPr>
          <w:tab/>
        </w:r>
        <w:r>
          <w:rPr>
            <w:noProof/>
            <w:webHidden/>
          </w:rPr>
          <w:fldChar w:fldCharType="begin"/>
        </w:r>
        <w:r w:rsidR="000B433A">
          <w:rPr>
            <w:noProof/>
            <w:webHidden/>
          </w:rPr>
          <w:instrText xml:space="preserve"> PAGEREF _Toc7802430 \h </w:instrText>
        </w:r>
        <w:r>
          <w:rPr>
            <w:noProof/>
            <w:webHidden/>
          </w:rPr>
        </w:r>
        <w:r>
          <w:rPr>
            <w:noProof/>
            <w:webHidden/>
          </w:rPr>
          <w:fldChar w:fldCharType="separate"/>
        </w:r>
        <w:r w:rsidR="000B433A">
          <w:rPr>
            <w:noProof/>
            <w:webHidden/>
          </w:rPr>
          <w:t>30</w:t>
        </w:r>
        <w:r>
          <w:rPr>
            <w:noProof/>
            <w:webHidden/>
          </w:rPr>
          <w:fldChar w:fldCharType="end"/>
        </w:r>
      </w:hyperlink>
    </w:p>
    <w:p w:rsidR="000B433A" w:rsidRDefault="005A6B21">
      <w:pPr>
        <w:pStyle w:val="TM1"/>
        <w:tabs>
          <w:tab w:val="left" w:pos="480"/>
          <w:tab w:val="right" w:leader="dot" w:pos="9062"/>
        </w:tabs>
        <w:rPr>
          <w:rFonts w:ascii="Times New Roman" w:hAnsi="Times New Roman" w:cs="Times New Roman"/>
          <w:b w:val="0"/>
          <w:bCs w:val="0"/>
          <w:caps w:val="0"/>
          <w:noProof/>
          <w:sz w:val="24"/>
          <w:szCs w:val="24"/>
          <w:lang w:val="fr-FR" w:eastAsia="fr-FR"/>
        </w:rPr>
      </w:pPr>
      <w:hyperlink w:anchor="_Toc7802431" w:history="1">
        <w:r w:rsidR="000B433A" w:rsidRPr="00BF2E58">
          <w:rPr>
            <w:rStyle w:val="Lienhypertexte"/>
            <w:rFonts w:cs="Calibri"/>
            <w:smallCaps/>
            <w:noProof/>
            <w:lang w:val="de-DE"/>
          </w:rPr>
          <w:t>III.</w:t>
        </w:r>
        <w:r w:rsidR="000B433A">
          <w:rPr>
            <w:rFonts w:ascii="Times New Roman" w:hAnsi="Times New Roman" w:cs="Times New Roman"/>
            <w:b w:val="0"/>
            <w:bCs w:val="0"/>
            <w:caps w:val="0"/>
            <w:noProof/>
            <w:sz w:val="24"/>
            <w:szCs w:val="24"/>
            <w:lang w:val="fr-FR" w:eastAsia="fr-FR"/>
          </w:rPr>
          <w:tab/>
        </w:r>
        <w:r w:rsidR="000B433A" w:rsidRPr="00BF2E58">
          <w:rPr>
            <w:rStyle w:val="Lienhypertexte"/>
            <w:rFonts w:cs="Calibri"/>
            <w:smallCaps/>
            <w:noProof/>
            <w:lang w:val="de-DE"/>
          </w:rPr>
          <w:t>Gesamtziele</w:t>
        </w:r>
        <w:r w:rsidR="000B433A">
          <w:rPr>
            <w:noProof/>
            <w:webHidden/>
          </w:rPr>
          <w:tab/>
        </w:r>
        <w:r>
          <w:rPr>
            <w:noProof/>
            <w:webHidden/>
          </w:rPr>
          <w:fldChar w:fldCharType="begin"/>
        </w:r>
        <w:r w:rsidR="000B433A">
          <w:rPr>
            <w:noProof/>
            <w:webHidden/>
          </w:rPr>
          <w:instrText xml:space="preserve"> PAGEREF _Toc7802431 \h </w:instrText>
        </w:r>
        <w:r>
          <w:rPr>
            <w:noProof/>
            <w:webHidden/>
          </w:rPr>
        </w:r>
        <w:r>
          <w:rPr>
            <w:noProof/>
            <w:webHidden/>
          </w:rPr>
          <w:fldChar w:fldCharType="separate"/>
        </w:r>
        <w:r w:rsidR="000B433A">
          <w:rPr>
            <w:noProof/>
            <w:webHidden/>
          </w:rPr>
          <w:t>32</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32" w:history="1">
        <w:r w:rsidR="000B433A" w:rsidRPr="00BF2E58">
          <w:rPr>
            <w:rStyle w:val="Lienhypertexte"/>
            <w:noProof/>
            <w:lang w:val="de-DE"/>
          </w:rPr>
          <w:t>3.1.</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Energie - Klima</w:t>
        </w:r>
        <w:r w:rsidR="000B433A">
          <w:rPr>
            <w:noProof/>
            <w:webHidden/>
          </w:rPr>
          <w:tab/>
        </w:r>
        <w:r>
          <w:rPr>
            <w:noProof/>
            <w:webHidden/>
          </w:rPr>
          <w:fldChar w:fldCharType="begin"/>
        </w:r>
        <w:r w:rsidR="000B433A">
          <w:rPr>
            <w:noProof/>
            <w:webHidden/>
          </w:rPr>
          <w:instrText xml:space="preserve"> PAGEREF _Toc7802432 \h </w:instrText>
        </w:r>
        <w:r>
          <w:rPr>
            <w:noProof/>
            <w:webHidden/>
          </w:rPr>
        </w:r>
        <w:r>
          <w:rPr>
            <w:noProof/>
            <w:webHidden/>
          </w:rPr>
          <w:fldChar w:fldCharType="separate"/>
        </w:r>
        <w:r w:rsidR="000B433A">
          <w:rPr>
            <w:noProof/>
            <w:webHidden/>
          </w:rPr>
          <w:t>32</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33" w:history="1">
        <w:r w:rsidR="000B433A" w:rsidRPr="00BF2E58">
          <w:rPr>
            <w:rStyle w:val="Lienhypertexte"/>
            <w:noProof/>
            <w:lang w:val="de-DE"/>
          </w:rPr>
          <w:t>3.2.</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Quantifizierte Verpflichtungen zur Verringerung der Luftschadstoffe</w:t>
        </w:r>
        <w:r w:rsidR="000B433A">
          <w:rPr>
            <w:noProof/>
            <w:webHidden/>
          </w:rPr>
          <w:tab/>
        </w:r>
        <w:r>
          <w:rPr>
            <w:noProof/>
            <w:webHidden/>
          </w:rPr>
          <w:fldChar w:fldCharType="begin"/>
        </w:r>
        <w:r w:rsidR="000B433A">
          <w:rPr>
            <w:noProof/>
            <w:webHidden/>
          </w:rPr>
          <w:instrText xml:space="preserve"> PAGEREF _Toc7802433 \h </w:instrText>
        </w:r>
        <w:r>
          <w:rPr>
            <w:noProof/>
            <w:webHidden/>
          </w:rPr>
        </w:r>
        <w:r>
          <w:rPr>
            <w:noProof/>
            <w:webHidden/>
          </w:rPr>
          <w:fldChar w:fldCharType="separate"/>
        </w:r>
        <w:r w:rsidR="000B433A">
          <w:rPr>
            <w:noProof/>
            <w:webHidden/>
          </w:rPr>
          <w:t>47</w:t>
        </w:r>
        <w:r>
          <w:rPr>
            <w:noProof/>
            <w:webHidden/>
          </w:rPr>
          <w:fldChar w:fldCharType="end"/>
        </w:r>
      </w:hyperlink>
    </w:p>
    <w:p w:rsidR="000B433A" w:rsidRDefault="005A6B21">
      <w:pPr>
        <w:pStyle w:val="TM1"/>
        <w:tabs>
          <w:tab w:val="left" w:pos="480"/>
          <w:tab w:val="right" w:leader="dot" w:pos="9062"/>
        </w:tabs>
        <w:rPr>
          <w:rFonts w:ascii="Times New Roman" w:hAnsi="Times New Roman" w:cs="Times New Roman"/>
          <w:b w:val="0"/>
          <w:bCs w:val="0"/>
          <w:caps w:val="0"/>
          <w:noProof/>
          <w:sz w:val="24"/>
          <w:szCs w:val="24"/>
          <w:lang w:val="fr-FR" w:eastAsia="fr-FR"/>
        </w:rPr>
      </w:pPr>
      <w:hyperlink w:anchor="_Toc7802434" w:history="1">
        <w:r w:rsidR="000B433A" w:rsidRPr="00BF2E58">
          <w:rPr>
            <w:rStyle w:val="Lienhypertexte"/>
            <w:rFonts w:cs="Calibri"/>
            <w:smallCaps/>
            <w:noProof/>
            <w:lang w:val="de-DE"/>
          </w:rPr>
          <w:t>IV.</w:t>
        </w:r>
        <w:r w:rsidR="000B433A">
          <w:rPr>
            <w:rFonts w:ascii="Times New Roman" w:hAnsi="Times New Roman" w:cs="Times New Roman"/>
            <w:b w:val="0"/>
            <w:bCs w:val="0"/>
            <w:caps w:val="0"/>
            <w:noProof/>
            <w:sz w:val="24"/>
            <w:szCs w:val="24"/>
            <w:lang w:val="fr-FR" w:eastAsia="fr-FR"/>
          </w:rPr>
          <w:tab/>
        </w:r>
        <w:r w:rsidR="000B433A" w:rsidRPr="00BF2E58">
          <w:rPr>
            <w:rStyle w:val="Lienhypertexte"/>
            <w:rFonts w:cs="Calibri"/>
            <w:smallCaps/>
            <w:noProof/>
            <w:lang w:val="de-DE"/>
          </w:rPr>
          <w:t>Zusammenfassung der aktuellen Richtlinien und Massnahmen</w:t>
        </w:r>
        <w:r w:rsidR="000B433A">
          <w:rPr>
            <w:noProof/>
            <w:webHidden/>
          </w:rPr>
          <w:tab/>
        </w:r>
        <w:r>
          <w:rPr>
            <w:noProof/>
            <w:webHidden/>
          </w:rPr>
          <w:fldChar w:fldCharType="begin"/>
        </w:r>
        <w:r w:rsidR="000B433A">
          <w:rPr>
            <w:noProof/>
            <w:webHidden/>
          </w:rPr>
          <w:instrText xml:space="preserve"> PAGEREF _Toc7802434 \h </w:instrText>
        </w:r>
        <w:r>
          <w:rPr>
            <w:noProof/>
            <w:webHidden/>
          </w:rPr>
        </w:r>
        <w:r>
          <w:rPr>
            <w:noProof/>
            <w:webHidden/>
          </w:rPr>
          <w:fldChar w:fldCharType="separate"/>
        </w:r>
        <w:r w:rsidR="000B433A">
          <w:rPr>
            <w:noProof/>
            <w:webHidden/>
          </w:rPr>
          <w:t>52</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35" w:history="1">
        <w:r w:rsidR="000B433A" w:rsidRPr="00BF2E58">
          <w:rPr>
            <w:rStyle w:val="Lienhypertexte"/>
            <w:noProof/>
            <w:lang w:val="de-DE"/>
          </w:rPr>
          <w:t>4.1.</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Transversale (oder „sektorübergreifende“) Maßnahmen</w:t>
        </w:r>
        <w:r w:rsidR="000B433A">
          <w:rPr>
            <w:noProof/>
            <w:webHidden/>
          </w:rPr>
          <w:tab/>
        </w:r>
        <w:r>
          <w:rPr>
            <w:noProof/>
            <w:webHidden/>
          </w:rPr>
          <w:fldChar w:fldCharType="begin"/>
        </w:r>
        <w:r w:rsidR="000B433A">
          <w:rPr>
            <w:noProof/>
            <w:webHidden/>
          </w:rPr>
          <w:instrText xml:space="preserve"> PAGEREF _Toc7802435 \h </w:instrText>
        </w:r>
        <w:r>
          <w:rPr>
            <w:noProof/>
            <w:webHidden/>
          </w:rPr>
        </w:r>
        <w:r>
          <w:rPr>
            <w:noProof/>
            <w:webHidden/>
          </w:rPr>
          <w:fldChar w:fldCharType="separate"/>
        </w:r>
        <w:r w:rsidR="000B433A">
          <w:rPr>
            <w:noProof/>
            <w:webHidden/>
          </w:rPr>
          <w:t>52</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36" w:history="1">
        <w:r w:rsidR="000B433A" w:rsidRPr="00BF2E58">
          <w:rPr>
            <w:rStyle w:val="Lienhypertexte"/>
            <w:noProof/>
            <w:lang w:val="de-DE"/>
          </w:rPr>
          <w:t>4.2.</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Energieerzeugung und -verteilung</w:t>
        </w:r>
        <w:r w:rsidR="000B433A">
          <w:rPr>
            <w:noProof/>
            <w:webHidden/>
          </w:rPr>
          <w:tab/>
        </w:r>
        <w:r>
          <w:rPr>
            <w:noProof/>
            <w:webHidden/>
          </w:rPr>
          <w:fldChar w:fldCharType="begin"/>
        </w:r>
        <w:r w:rsidR="000B433A">
          <w:rPr>
            <w:noProof/>
            <w:webHidden/>
          </w:rPr>
          <w:instrText xml:space="preserve"> PAGEREF _Toc7802436 \h </w:instrText>
        </w:r>
        <w:r>
          <w:rPr>
            <w:noProof/>
            <w:webHidden/>
          </w:rPr>
        </w:r>
        <w:r>
          <w:rPr>
            <w:noProof/>
            <w:webHidden/>
          </w:rPr>
          <w:fldChar w:fldCharType="separate"/>
        </w:r>
        <w:r w:rsidR="000B433A">
          <w:rPr>
            <w:noProof/>
            <w:webHidden/>
          </w:rPr>
          <w:t>52</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37" w:history="1">
        <w:r w:rsidR="000B433A" w:rsidRPr="00BF2E58">
          <w:rPr>
            <w:rStyle w:val="Lienhypertexte"/>
            <w:noProof/>
            <w:lang w:val="de-DE"/>
          </w:rPr>
          <w:t>4.3.</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Industrie</w:t>
        </w:r>
        <w:r w:rsidR="000B433A">
          <w:rPr>
            <w:noProof/>
            <w:webHidden/>
          </w:rPr>
          <w:tab/>
        </w:r>
        <w:r>
          <w:rPr>
            <w:noProof/>
            <w:webHidden/>
          </w:rPr>
          <w:fldChar w:fldCharType="begin"/>
        </w:r>
        <w:r w:rsidR="000B433A">
          <w:rPr>
            <w:noProof/>
            <w:webHidden/>
          </w:rPr>
          <w:instrText xml:space="preserve"> PAGEREF _Toc7802437 \h </w:instrText>
        </w:r>
        <w:r>
          <w:rPr>
            <w:noProof/>
            <w:webHidden/>
          </w:rPr>
        </w:r>
        <w:r>
          <w:rPr>
            <w:noProof/>
            <w:webHidden/>
          </w:rPr>
          <w:fldChar w:fldCharType="separate"/>
        </w:r>
        <w:r w:rsidR="000B433A">
          <w:rPr>
            <w:noProof/>
            <w:webHidden/>
          </w:rPr>
          <w:t>52</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38" w:history="1">
        <w:r w:rsidR="000B433A" w:rsidRPr="00BF2E58">
          <w:rPr>
            <w:rStyle w:val="Lienhypertexte"/>
            <w:noProof/>
            <w:lang w:val="de-DE"/>
          </w:rPr>
          <w:t>4.4.</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Wohnen und Dienstleistungen</w:t>
        </w:r>
        <w:r w:rsidR="000B433A">
          <w:rPr>
            <w:noProof/>
            <w:webHidden/>
          </w:rPr>
          <w:tab/>
        </w:r>
        <w:r>
          <w:rPr>
            <w:noProof/>
            <w:webHidden/>
          </w:rPr>
          <w:fldChar w:fldCharType="begin"/>
        </w:r>
        <w:r w:rsidR="000B433A">
          <w:rPr>
            <w:noProof/>
            <w:webHidden/>
          </w:rPr>
          <w:instrText xml:space="preserve"> PAGEREF _Toc7802438 \h </w:instrText>
        </w:r>
        <w:r>
          <w:rPr>
            <w:noProof/>
            <w:webHidden/>
          </w:rPr>
        </w:r>
        <w:r>
          <w:rPr>
            <w:noProof/>
            <w:webHidden/>
          </w:rPr>
          <w:fldChar w:fldCharType="separate"/>
        </w:r>
        <w:r w:rsidR="000B433A">
          <w:rPr>
            <w:noProof/>
            <w:webHidden/>
          </w:rPr>
          <w:t>53</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39" w:history="1">
        <w:r w:rsidR="000B433A" w:rsidRPr="00BF2E58">
          <w:rPr>
            <w:rStyle w:val="Lienhypertexte"/>
            <w:noProof/>
            <w:lang w:val="de-DE"/>
          </w:rPr>
          <w:t>4.5.</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Transport</w:t>
        </w:r>
        <w:r w:rsidR="000B433A">
          <w:rPr>
            <w:noProof/>
            <w:webHidden/>
          </w:rPr>
          <w:tab/>
        </w:r>
        <w:r>
          <w:rPr>
            <w:noProof/>
            <w:webHidden/>
          </w:rPr>
          <w:fldChar w:fldCharType="begin"/>
        </w:r>
        <w:r w:rsidR="000B433A">
          <w:rPr>
            <w:noProof/>
            <w:webHidden/>
          </w:rPr>
          <w:instrText xml:space="preserve"> PAGEREF _Toc7802439 \h </w:instrText>
        </w:r>
        <w:r>
          <w:rPr>
            <w:noProof/>
            <w:webHidden/>
          </w:rPr>
        </w:r>
        <w:r>
          <w:rPr>
            <w:noProof/>
            <w:webHidden/>
          </w:rPr>
          <w:fldChar w:fldCharType="separate"/>
        </w:r>
        <w:r w:rsidR="000B433A">
          <w:rPr>
            <w:noProof/>
            <w:webHidden/>
          </w:rPr>
          <w:t>54</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40" w:history="1">
        <w:r w:rsidR="000B433A" w:rsidRPr="00BF2E58">
          <w:rPr>
            <w:rStyle w:val="Lienhypertexte"/>
            <w:noProof/>
            <w:lang w:val="de-DE"/>
          </w:rPr>
          <w:t>4.6.</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Fluorierte Gase</w:t>
        </w:r>
        <w:r w:rsidR="000B433A">
          <w:rPr>
            <w:noProof/>
            <w:webHidden/>
          </w:rPr>
          <w:tab/>
        </w:r>
        <w:r>
          <w:rPr>
            <w:noProof/>
            <w:webHidden/>
          </w:rPr>
          <w:fldChar w:fldCharType="begin"/>
        </w:r>
        <w:r w:rsidR="000B433A">
          <w:rPr>
            <w:noProof/>
            <w:webHidden/>
          </w:rPr>
          <w:instrText xml:space="preserve"> PAGEREF _Toc7802440 \h </w:instrText>
        </w:r>
        <w:r>
          <w:rPr>
            <w:noProof/>
            <w:webHidden/>
          </w:rPr>
        </w:r>
        <w:r>
          <w:rPr>
            <w:noProof/>
            <w:webHidden/>
          </w:rPr>
          <w:fldChar w:fldCharType="separate"/>
        </w:r>
        <w:r w:rsidR="000B433A">
          <w:rPr>
            <w:noProof/>
            <w:webHidden/>
          </w:rPr>
          <w:t>54</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41" w:history="1">
        <w:r w:rsidR="000B433A" w:rsidRPr="00BF2E58">
          <w:rPr>
            <w:rStyle w:val="Lienhypertexte"/>
            <w:noProof/>
            <w:lang w:val="de-DE"/>
          </w:rPr>
          <w:t>4.7.</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Land- und Forstwirtschaft</w:t>
        </w:r>
        <w:r w:rsidR="000B433A">
          <w:rPr>
            <w:noProof/>
            <w:webHidden/>
          </w:rPr>
          <w:tab/>
        </w:r>
        <w:r>
          <w:rPr>
            <w:noProof/>
            <w:webHidden/>
          </w:rPr>
          <w:fldChar w:fldCharType="begin"/>
        </w:r>
        <w:r w:rsidR="000B433A">
          <w:rPr>
            <w:noProof/>
            <w:webHidden/>
          </w:rPr>
          <w:instrText xml:space="preserve"> PAGEREF _Toc7802441 \h </w:instrText>
        </w:r>
        <w:r>
          <w:rPr>
            <w:noProof/>
            <w:webHidden/>
          </w:rPr>
        </w:r>
        <w:r>
          <w:rPr>
            <w:noProof/>
            <w:webHidden/>
          </w:rPr>
          <w:fldChar w:fldCharType="separate"/>
        </w:r>
        <w:r w:rsidR="000B433A">
          <w:rPr>
            <w:noProof/>
            <w:webHidden/>
          </w:rPr>
          <w:t>55</w:t>
        </w:r>
        <w:r>
          <w:rPr>
            <w:noProof/>
            <w:webHidden/>
          </w:rPr>
          <w:fldChar w:fldCharType="end"/>
        </w:r>
      </w:hyperlink>
    </w:p>
    <w:p w:rsidR="000B433A" w:rsidRDefault="005A6B21">
      <w:pPr>
        <w:pStyle w:val="TM1"/>
        <w:tabs>
          <w:tab w:val="left" w:pos="480"/>
          <w:tab w:val="right" w:leader="dot" w:pos="9062"/>
        </w:tabs>
        <w:rPr>
          <w:rFonts w:ascii="Times New Roman" w:hAnsi="Times New Roman" w:cs="Times New Roman"/>
          <w:b w:val="0"/>
          <w:bCs w:val="0"/>
          <w:caps w:val="0"/>
          <w:noProof/>
          <w:sz w:val="24"/>
          <w:szCs w:val="24"/>
          <w:lang w:val="fr-FR" w:eastAsia="fr-FR"/>
        </w:rPr>
      </w:pPr>
      <w:hyperlink w:anchor="_Toc7802442" w:history="1">
        <w:r w:rsidR="000B433A" w:rsidRPr="00BF2E58">
          <w:rPr>
            <w:rStyle w:val="Lienhypertexte"/>
            <w:rFonts w:cs="Calibri"/>
            <w:smallCaps/>
            <w:noProof/>
            <w:lang w:val="de-DE"/>
          </w:rPr>
          <w:t>V.</w:t>
        </w:r>
        <w:r w:rsidR="000B433A">
          <w:rPr>
            <w:rFonts w:ascii="Times New Roman" w:hAnsi="Times New Roman" w:cs="Times New Roman"/>
            <w:b w:val="0"/>
            <w:bCs w:val="0"/>
            <w:caps w:val="0"/>
            <w:noProof/>
            <w:sz w:val="24"/>
            <w:szCs w:val="24"/>
            <w:lang w:val="fr-FR" w:eastAsia="fr-FR"/>
          </w:rPr>
          <w:tab/>
        </w:r>
        <w:r w:rsidR="000B433A" w:rsidRPr="00BF2E58">
          <w:rPr>
            <w:rStyle w:val="Lienhypertexte"/>
            <w:rFonts w:cs="Calibri"/>
            <w:smallCaps/>
            <w:noProof/>
            <w:lang w:val="de-DE"/>
          </w:rPr>
          <w:t>Entwicklung bei unveränderten Richtlinien (WEM)</w:t>
        </w:r>
        <w:r w:rsidR="000B433A">
          <w:rPr>
            <w:noProof/>
            <w:webHidden/>
          </w:rPr>
          <w:tab/>
        </w:r>
        <w:r>
          <w:rPr>
            <w:noProof/>
            <w:webHidden/>
          </w:rPr>
          <w:fldChar w:fldCharType="begin"/>
        </w:r>
        <w:r w:rsidR="000B433A">
          <w:rPr>
            <w:noProof/>
            <w:webHidden/>
          </w:rPr>
          <w:instrText xml:space="preserve"> PAGEREF _Toc7802442 \h </w:instrText>
        </w:r>
        <w:r>
          <w:rPr>
            <w:noProof/>
            <w:webHidden/>
          </w:rPr>
        </w:r>
        <w:r>
          <w:rPr>
            <w:noProof/>
            <w:webHidden/>
          </w:rPr>
          <w:fldChar w:fldCharType="separate"/>
        </w:r>
        <w:r w:rsidR="000B433A">
          <w:rPr>
            <w:noProof/>
            <w:webHidden/>
          </w:rPr>
          <w:t>56</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43" w:history="1">
        <w:r w:rsidR="000B433A" w:rsidRPr="00BF2E58">
          <w:rPr>
            <w:rStyle w:val="Lienhypertexte"/>
            <w:noProof/>
            <w:lang w:val="de-DE"/>
          </w:rPr>
          <w:t>5.1.</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Treibhausgasemissionen</w:t>
        </w:r>
        <w:r w:rsidR="000B433A">
          <w:rPr>
            <w:noProof/>
            <w:webHidden/>
          </w:rPr>
          <w:tab/>
        </w:r>
        <w:r>
          <w:rPr>
            <w:noProof/>
            <w:webHidden/>
          </w:rPr>
          <w:fldChar w:fldCharType="begin"/>
        </w:r>
        <w:r w:rsidR="000B433A">
          <w:rPr>
            <w:noProof/>
            <w:webHidden/>
          </w:rPr>
          <w:instrText xml:space="preserve"> PAGEREF _Toc7802443 \h </w:instrText>
        </w:r>
        <w:r>
          <w:rPr>
            <w:noProof/>
            <w:webHidden/>
          </w:rPr>
        </w:r>
        <w:r>
          <w:rPr>
            <w:noProof/>
            <w:webHidden/>
          </w:rPr>
          <w:fldChar w:fldCharType="separate"/>
        </w:r>
        <w:r w:rsidR="000B433A">
          <w:rPr>
            <w:noProof/>
            <w:webHidden/>
          </w:rPr>
          <w:t>56</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44" w:history="1">
        <w:r w:rsidR="000B433A" w:rsidRPr="00BF2E58">
          <w:rPr>
            <w:rStyle w:val="Lienhypertexte"/>
            <w:noProof/>
            <w:lang w:val="de-DE"/>
          </w:rPr>
          <w:t>5.2.</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Energieeffizienz</w:t>
        </w:r>
        <w:r w:rsidR="000B433A">
          <w:rPr>
            <w:noProof/>
            <w:webHidden/>
          </w:rPr>
          <w:tab/>
        </w:r>
        <w:r>
          <w:rPr>
            <w:noProof/>
            <w:webHidden/>
          </w:rPr>
          <w:fldChar w:fldCharType="begin"/>
        </w:r>
        <w:r w:rsidR="000B433A">
          <w:rPr>
            <w:noProof/>
            <w:webHidden/>
          </w:rPr>
          <w:instrText xml:space="preserve"> PAGEREF _Toc7802444 \h </w:instrText>
        </w:r>
        <w:r>
          <w:rPr>
            <w:noProof/>
            <w:webHidden/>
          </w:rPr>
        </w:r>
        <w:r>
          <w:rPr>
            <w:noProof/>
            <w:webHidden/>
          </w:rPr>
          <w:fldChar w:fldCharType="separate"/>
        </w:r>
        <w:r w:rsidR="000B433A">
          <w:rPr>
            <w:noProof/>
            <w:webHidden/>
          </w:rPr>
          <w:t>59</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45" w:history="1">
        <w:r w:rsidR="000B433A" w:rsidRPr="00BF2E58">
          <w:rPr>
            <w:rStyle w:val="Lienhypertexte"/>
            <w:noProof/>
            <w:lang w:val="de-DE"/>
          </w:rPr>
          <w:t>5.3.</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Erneuerbare Energie</w:t>
        </w:r>
        <w:r w:rsidR="000B433A">
          <w:rPr>
            <w:noProof/>
            <w:webHidden/>
          </w:rPr>
          <w:tab/>
        </w:r>
        <w:r>
          <w:rPr>
            <w:noProof/>
            <w:webHidden/>
          </w:rPr>
          <w:fldChar w:fldCharType="begin"/>
        </w:r>
        <w:r w:rsidR="000B433A">
          <w:rPr>
            <w:noProof/>
            <w:webHidden/>
          </w:rPr>
          <w:instrText xml:space="preserve"> PAGEREF _Toc7802445 \h </w:instrText>
        </w:r>
        <w:r>
          <w:rPr>
            <w:noProof/>
            <w:webHidden/>
          </w:rPr>
        </w:r>
        <w:r>
          <w:rPr>
            <w:noProof/>
            <w:webHidden/>
          </w:rPr>
          <w:fldChar w:fldCharType="separate"/>
        </w:r>
        <w:r w:rsidR="000B433A">
          <w:rPr>
            <w:noProof/>
            <w:webHidden/>
          </w:rPr>
          <w:t>59</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46" w:history="1">
        <w:r w:rsidR="000B433A" w:rsidRPr="00BF2E58">
          <w:rPr>
            <w:rStyle w:val="Lienhypertexte"/>
            <w:noProof/>
            <w:lang w:val="de-DE"/>
          </w:rPr>
          <w:t>5.4.</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Luftschadstoffe</w:t>
        </w:r>
        <w:r w:rsidR="000B433A">
          <w:rPr>
            <w:noProof/>
            <w:webHidden/>
          </w:rPr>
          <w:tab/>
        </w:r>
        <w:r>
          <w:rPr>
            <w:noProof/>
            <w:webHidden/>
          </w:rPr>
          <w:fldChar w:fldCharType="begin"/>
        </w:r>
        <w:r w:rsidR="000B433A">
          <w:rPr>
            <w:noProof/>
            <w:webHidden/>
          </w:rPr>
          <w:instrText xml:space="preserve"> PAGEREF _Toc7802446 \h </w:instrText>
        </w:r>
        <w:r>
          <w:rPr>
            <w:noProof/>
            <w:webHidden/>
          </w:rPr>
        </w:r>
        <w:r>
          <w:rPr>
            <w:noProof/>
            <w:webHidden/>
          </w:rPr>
          <w:fldChar w:fldCharType="separate"/>
        </w:r>
        <w:r w:rsidR="000B433A">
          <w:rPr>
            <w:noProof/>
            <w:webHidden/>
          </w:rPr>
          <w:t>61</w:t>
        </w:r>
        <w:r>
          <w:rPr>
            <w:noProof/>
            <w:webHidden/>
          </w:rPr>
          <w:fldChar w:fldCharType="end"/>
        </w:r>
      </w:hyperlink>
    </w:p>
    <w:p w:rsidR="000B433A" w:rsidRDefault="005A6B21">
      <w:pPr>
        <w:pStyle w:val="TM1"/>
        <w:tabs>
          <w:tab w:val="left" w:pos="480"/>
          <w:tab w:val="right" w:leader="dot" w:pos="9062"/>
        </w:tabs>
        <w:rPr>
          <w:rFonts w:ascii="Times New Roman" w:hAnsi="Times New Roman" w:cs="Times New Roman"/>
          <w:b w:val="0"/>
          <w:bCs w:val="0"/>
          <w:caps w:val="0"/>
          <w:noProof/>
          <w:sz w:val="24"/>
          <w:szCs w:val="24"/>
          <w:lang w:val="fr-FR" w:eastAsia="fr-FR"/>
        </w:rPr>
      </w:pPr>
      <w:hyperlink w:anchor="_Toc7802447" w:history="1">
        <w:r w:rsidR="000B433A" w:rsidRPr="00BF2E58">
          <w:rPr>
            <w:rStyle w:val="Lienhypertexte"/>
            <w:rFonts w:cs="Calibri"/>
            <w:smallCaps/>
            <w:noProof/>
            <w:lang w:val="de-DE"/>
          </w:rPr>
          <w:t>VI.</w:t>
        </w:r>
        <w:r w:rsidR="000B433A">
          <w:rPr>
            <w:rFonts w:ascii="Times New Roman" w:hAnsi="Times New Roman" w:cs="Times New Roman"/>
            <w:b w:val="0"/>
            <w:bCs w:val="0"/>
            <w:caps w:val="0"/>
            <w:noProof/>
            <w:sz w:val="24"/>
            <w:szCs w:val="24"/>
            <w:lang w:val="fr-FR" w:eastAsia="fr-FR"/>
          </w:rPr>
          <w:tab/>
        </w:r>
        <w:r w:rsidR="000B433A" w:rsidRPr="00BF2E58">
          <w:rPr>
            <w:rStyle w:val="Lienhypertexte"/>
            <w:rFonts w:cs="Calibri"/>
            <w:smallCaps/>
            <w:noProof/>
            <w:lang w:val="de-DE"/>
          </w:rPr>
          <w:t>Neue Richtlinien und Maßnahmen (WAM)</w:t>
        </w:r>
        <w:r w:rsidR="000B433A">
          <w:rPr>
            <w:noProof/>
            <w:webHidden/>
          </w:rPr>
          <w:tab/>
        </w:r>
        <w:r>
          <w:rPr>
            <w:noProof/>
            <w:webHidden/>
          </w:rPr>
          <w:fldChar w:fldCharType="begin"/>
        </w:r>
        <w:r w:rsidR="000B433A">
          <w:rPr>
            <w:noProof/>
            <w:webHidden/>
          </w:rPr>
          <w:instrText xml:space="preserve"> PAGEREF _Toc7802447 \h </w:instrText>
        </w:r>
        <w:r>
          <w:rPr>
            <w:noProof/>
            <w:webHidden/>
          </w:rPr>
        </w:r>
        <w:r>
          <w:rPr>
            <w:noProof/>
            <w:webHidden/>
          </w:rPr>
          <w:fldChar w:fldCharType="separate"/>
        </w:r>
        <w:r w:rsidR="000B433A">
          <w:rPr>
            <w:noProof/>
            <w:webHidden/>
          </w:rPr>
          <w:t>66</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48" w:history="1">
        <w:r w:rsidR="000B433A" w:rsidRPr="00BF2E58">
          <w:rPr>
            <w:rStyle w:val="Lienhypertexte"/>
            <w:noProof/>
            <w:lang w:val="de-DE"/>
          </w:rPr>
          <w:t>6.1.</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Transversale („sektorübergreifende“) Maßnahmen</w:t>
        </w:r>
        <w:r w:rsidR="000B433A">
          <w:rPr>
            <w:noProof/>
            <w:webHidden/>
          </w:rPr>
          <w:tab/>
        </w:r>
        <w:r>
          <w:rPr>
            <w:noProof/>
            <w:webHidden/>
          </w:rPr>
          <w:fldChar w:fldCharType="begin"/>
        </w:r>
        <w:r w:rsidR="000B433A">
          <w:rPr>
            <w:noProof/>
            <w:webHidden/>
          </w:rPr>
          <w:instrText xml:space="preserve"> PAGEREF _Toc7802448 \h </w:instrText>
        </w:r>
        <w:r>
          <w:rPr>
            <w:noProof/>
            <w:webHidden/>
          </w:rPr>
        </w:r>
        <w:r>
          <w:rPr>
            <w:noProof/>
            <w:webHidden/>
          </w:rPr>
          <w:fldChar w:fldCharType="separate"/>
        </w:r>
        <w:r w:rsidR="000B433A">
          <w:rPr>
            <w:noProof/>
            <w:webHidden/>
          </w:rPr>
          <w:t>66</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49" w:history="1">
        <w:r w:rsidR="000B433A" w:rsidRPr="00BF2E58">
          <w:rPr>
            <w:rStyle w:val="Lienhypertexte"/>
            <w:noProof/>
            <w:lang w:val="de-DE"/>
          </w:rPr>
          <w:t>6.2.</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Energieerzeugung</w:t>
        </w:r>
        <w:r w:rsidR="000B433A">
          <w:rPr>
            <w:noProof/>
            <w:webHidden/>
          </w:rPr>
          <w:tab/>
        </w:r>
        <w:r>
          <w:rPr>
            <w:noProof/>
            <w:webHidden/>
          </w:rPr>
          <w:fldChar w:fldCharType="begin"/>
        </w:r>
        <w:r w:rsidR="000B433A">
          <w:rPr>
            <w:noProof/>
            <w:webHidden/>
          </w:rPr>
          <w:instrText xml:space="preserve"> PAGEREF _Toc7802449 \h </w:instrText>
        </w:r>
        <w:r>
          <w:rPr>
            <w:noProof/>
            <w:webHidden/>
          </w:rPr>
        </w:r>
        <w:r>
          <w:rPr>
            <w:noProof/>
            <w:webHidden/>
          </w:rPr>
          <w:fldChar w:fldCharType="separate"/>
        </w:r>
        <w:r w:rsidR="000B433A">
          <w:rPr>
            <w:noProof/>
            <w:webHidden/>
          </w:rPr>
          <w:t>72</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50" w:history="1">
        <w:r w:rsidR="000B433A" w:rsidRPr="00BF2E58">
          <w:rPr>
            <w:rStyle w:val="Lienhypertexte"/>
            <w:noProof/>
            <w:lang w:val="de-DE"/>
          </w:rPr>
          <w:t>6.3.</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Industriesektor</w:t>
        </w:r>
        <w:r w:rsidR="000B433A">
          <w:rPr>
            <w:noProof/>
            <w:webHidden/>
          </w:rPr>
          <w:tab/>
        </w:r>
        <w:r>
          <w:rPr>
            <w:noProof/>
            <w:webHidden/>
          </w:rPr>
          <w:fldChar w:fldCharType="begin"/>
        </w:r>
        <w:r w:rsidR="000B433A">
          <w:rPr>
            <w:noProof/>
            <w:webHidden/>
          </w:rPr>
          <w:instrText xml:space="preserve"> PAGEREF _Toc7802450 \h </w:instrText>
        </w:r>
        <w:r>
          <w:rPr>
            <w:noProof/>
            <w:webHidden/>
          </w:rPr>
        </w:r>
        <w:r>
          <w:rPr>
            <w:noProof/>
            <w:webHidden/>
          </w:rPr>
          <w:fldChar w:fldCharType="separate"/>
        </w:r>
        <w:r w:rsidR="000B433A">
          <w:rPr>
            <w:noProof/>
            <w:webHidden/>
          </w:rPr>
          <w:t>81</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51" w:history="1">
        <w:r w:rsidR="000B433A" w:rsidRPr="00BF2E58">
          <w:rPr>
            <w:rStyle w:val="Lienhypertexte"/>
            <w:noProof/>
            <w:lang w:val="de-DE"/>
          </w:rPr>
          <w:t>6.4.</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Wohn- und Dienstleistungssektor</w:t>
        </w:r>
        <w:r w:rsidR="000B433A">
          <w:rPr>
            <w:noProof/>
            <w:webHidden/>
          </w:rPr>
          <w:tab/>
        </w:r>
        <w:r>
          <w:rPr>
            <w:noProof/>
            <w:webHidden/>
          </w:rPr>
          <w:fldChar w:fldCharType="begin"/>
        </w:r>
        <w:r w:rsidR="000B433A">
          <w:rPr>
            <w:noProof/>
            <w:webHidden/>
          </w:rPr>
          <w:instrText xml:space="preserve"> PAGEREF _Toc7802451 \h </w:instrText>
        </w:r>
        <w:r>
          <w:rPr>
            <w:noProof/>
            <w:webHidden/>
          </w:rPr>
        </w:r>
        <w:r>
          <w:rPr>
            <w:noProof/>
            <w:webHidden/>
          </w:rPr>
          <w:fldChar w:fldCharType="separate"/>
        </w:r>
        <w:r w:rsidR="000B433A">
          <w:rPr>
            <w:noProof/>
            <w:webHidden/>
          </w:rPr>
          <w:t>86</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52" w:history="1">
        <w:r w:rsidR="000B433A" w:rsidRPr="00BF2E58">
          <w:rPr>
            <w:rStyle w:val="Lienhypertexte"/>
            <w:noProof/>
            <w:lang w:val="de-DE"/>
          </w:rPr>
          <w:t>6.5.</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Transportsektor</w:t>
        </w:r>
        <w:r w:rsidR="000B433A">
          <w:rPr>
            <w:noProof/>
            <w:webHidden/>
          </w:rPr>
          <w:tab/>
        </w:r>
        <w:r>
          <w:rPr>
            <w:noProof/>
            <w:webHidden/>
          </w:rPr>
          <w:fldChar w:fldCharType="begin"/>
        </w:r>
        <w:r w:rsidR="000B433A">
          <w:rPr>
            <w:noProof/>
            <w:webHidden/>
          </w:rPr>
          <w:instrText xml:space="preserve"> PAGEREF _Toc7802452 \h </w:instrText>
        </w:r>
        <w:r>
          <w:rPr>
            <w:noProof/>
            <w:webHidden/>
          </w:rPr>
        </w:r>
        <w:r>
          <w:rPr>
            <w:noProof/>
            <w:webHidden/>
          </w:rPr>
          <w:fldChar w:fldCharType="separate"/>
        </w:r>
        <w:r w:rsidR="000B433A">
          <w:rPr>
            <w:noProof/>
            <w:webHidden/>
          </w:rPr>
          <w:t>92</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53" w:history="1">
        <w:r w:rsidR="000B433A" w:rsidRPr="00BF2E58">
          <w:rPr>
            <w:rStyle w:val="Lienhypertexte"/>
            <w:noProof/>
            <w:lang w:val="de-DE"/>
          </w:rPr>
          <w:t>6.6.</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Anregen des Verhaltens der Bürger zur Verringerung der Luftschadstoffemissionen</w:t>
        </w:r>
        <w:r w:rsidR="000B433A">
          <w:rPr>
            <w:noProof/>
            <w:webHidden/>
          </w:rPr>
          <w:tab/>
        </w:r>
        <w:r>
          <w:rPr>
            <w:noProof/>
            <w:webHidden/>
          </w:rPr>
          <w:fldChar w:fldCharType="begin"/>
        </w:r>
        <w:r w:rsidR="000B433A">
          <w:rPr>
            <w:noProof/>
            <w:webHidden/>
          </w:rPr>
          <w:instrText xml:space="preserve"> PAGEREF _Toc7802453 \h </w:instrText>
        </w:r>
        <w:r>
          <w:rPr>
            <w:noProof/>
            <w:webHidden/>
          </w:rPr>
        </w:r>
        <w:r>
          <w:rPr>
            <w:noProof/>
            <w:webHidden/>
          </w:rPr>
          <w:fldChar w:fldCharType="separate"/>
        </w:r>
        <w:r w:rsidR="000B433A">
          <w:rPr>
            <w:noProof/>
            <w:webHidden/>
          </w:rPr>
          <w:t>100</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54" w:history="1">
        <w:r w:rsidR="000B433A" w:rsidRPr="00BF2E58">
          <w:rPr>
            <w:rStyle w:val="Lienhypertexte"/>
            <w:noProof/>
            <w:lang w:val="de-DE"/>
          </w:rPr>
          <w:t>6.7.</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Sektor fluorierter Gase</w:t>
        </w:r>
        <w:r w:rsidR="000B433A">
          <w:rPr>
            <w:noProof/>
            <w:webHidden/>
          </w:rPr>
          <w:tab/>
        </w:r>
        <w:r>
          <w:rPr>
            <w:noProof/>
            <w:webHidden/>
          </w:rPr>
          <w:fldChar w:fldCharType="begin"/>
        </w:r>
        <w:r w:rsidR="000B433A">
          <w:rPr>
            <w:noProof/>
            <w:webHidden/>
          </w:rPr>
          <w:instrText xml:space="preserve"> PAGEREF _Toc7802454 \h </w:instrText>
        </w:r>
        <w:r>
          <w:rPr>
            <w:noProof/>
            <w:webHidden/>
          </w:rPr>
        </w:r>
        <w:r>
          <w:rPr>
            <w:noProof/>
            <w:webHidden/>
          </w:rPr>
          <w:fldChar w:fldCharType="separate"/>
        </w:r>
        <w:r w:rsidR="000B433A">
          <w:rPr>
            <w:noProof/>
            <w:webHidden/>
          </w:rPr>
          <w:t>101</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55" w:history="1">
        <w:r w:rsidR="000B433A" w:rsidRPr="00BF2E58">
          <w:rPr>
            <w:rStyle w:val="Lienhypertexte"/>
            <w:noProof/>
            <w:lang w:val="de-DE"/>
          </w:rPr>
          <w:t>6.8.</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Land- und Forstwirtschaft</w:t>
        </w:r>
        <w:r w:rsidR="000B433A">
          <w:rPr>
            <w:noProof/>
            <w:webHidden/>
          </w:rPr>
          <w:tab/>
        </w:r>
        <w:r>
          <w:rPr>
            <w:noProof/>
            <w:webHidden/>
          </w:rPr>
          <w:fldChar w:fldCharType="begin"/>
        </w:r>
        <w:r w:rsidR="000B433A">
          <w:rPr>
            <w:noProof/>
            <w:webHidden/>
          </w:rPr>
          <w:instrText xml:space="preserve"> PAGEREF _Toc7802455 \h </w:instrText>
        </w:r>
        <w:r>
          <w:rPr>
            <w:noProof/>
            <w:webHidden/>
          </w:rPr>
        </w:r>
        <w:r>
          <w:rPr>
            <w:noProof/>
            <w:webHidden/>
          </w:rPr>
          <w:fldChar w:fldCharType="separate"/>
        </w:r>
        <w:r w:rsidR="000B433A">
          <w:rPr>
            <w:noProof/>
            <w:webHidden/>
          </w:rPr>
          <w:t>102</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56" w:history="1">
        <w:r w:rsidR="000B433A" w:rsidRPr="00BF2E58">
          <w:rPr>
            <w:rStyle w:val="Lienhypertexte"/>
            <w:noProof/>
            <w:lang w:val="de-DE"/>
          </w:rPr>
          <w:t>6.9.</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Abfallwirtschaft</w:t>
        </w:r>
        <w:r w:rsidR="000B433A">
          <w:rPr>
            <w:noProof/>
            <w:webHidden/>
          </w:rPr>
          <w:tab/>
        </w:r>
        <w:r>
          <w:rPr>
            <w:noProof/>
            <w:webHidden/>
          </w:rPr>
          <w:fldChar w:fldCharType="begin"/>
        </w:r>
        <w:r w:rsidR="000B433A">
          <w:rPr>
            <w:noProof/>
            <w:webHidden/>
          </w:rPr>
          <w:instrText xml:space="preserve"> PAGEREF _Toc7802456 \h </w:instrText>
        </w:r>
        <w:r>
          <w:rPr>
            <w:noProof/>
            <w:webHidden/>
          </w:rPr>
        </w:r>
        <w:r>
          <w:rPr>
            <w:noProof/>
            <w:webHidden/>
          </w:rPr>
          <w:fldChar w:fldCharType="separate"/>
        </w:r>
        <w:r w:rsidR="000B433A">
          <w:rPr>
            <w:noProof/>
            <w:webHidden/>
          </w:rPr>
          <w:t>107</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57" w:history="1">
        <w:r w:rsidR="000B433A" w:rsidRPr="00BF2E58">
          <w:rPr>
            <w:rStyle w:val="Lienhypertexte"/>
            <w:noProof/>
            <w:lang w:val="de-DE"/>
          </w:rPr>
          <w:t>6.10.</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Spezifische Politiken und Maßnahmen für den Energiebinnenmarkt</w:t>
        </w:r>
        <w:r w:rsidR="000B433A">
          <w:rPr>
            <w:noProof/>
            <w:webHidden/>
          </w:rPr>
          <w:tab/>
        </w:r>
        <w:r>
          <w:rPr>
            <w:noProof/>
            <w:webHidden/>
          </w:rPr>
          <w:fldChar w:fldCharType="begin"/>
        </w:r>
        <w:r w:rsidR="000B433A">
          <w:rPr>
            <w:noProof/>
            <w:webHidden/>
          </w:rPr>
          <w:instrText xml:space="preserve"> PAGEREF _Toc7802457 \h </w:instrText>
        </w:r>
        <w:r>
          <w:rPr>
            <w:noProof/>
            <w:webHidden/>
          </w:rPr>
        </w:r>
        <w:r>
          <w:rPr>
            <w:noProof/>
            <w:webHidden/>
          </w:rPr>
          <w:fldChar w:fldCharType="separate"/>
        </w:r>
        <w:r w:rsidR="000B433A">
          <w:rPr>
            <w:noProof/>
            <w:webHidden/>
          </w:rPr>
          <w:t>107</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58" w:history="1">
        <w:r w:rsidR="000B433A" w:rsidRPr="00BF2E58">
          <w:rPr>
            <w:rStyle w:val="Lienhypertexte"/>
            <w:noProof/>
            <w:lang w:val="de-DE"/>
          </w:rPr>
          <w:t>6.11.</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Verbraucherschutz (Prekarität)</w:t>
        </w:r>
        <w:r w:rsidR="000B433A">
          <w:rPr>
            <w:noProof/>
            <w:webHidden/>
          </w:rPr>
          <w:tab/>
        </w:r>
        <w:r>
          <w:rPr>
            <w:noProof/>
            <w:webHidden/>
          </w:rPr>
          <w:fldChar w:fldCharType="begin"/>
        </w:r>
        <w:r w:rsidR="000B433A">
          <w:rPr>
            <w:noProof/>
            <w:webHidden/>
          </w:rPr>
          <w:instrText xml:space="preserve"> PAGEREF _Toc7802458 \h </w:instrText>
        </w:r>
        <w:r>
          <w:rPr>
            <w:noProof/>
            <w:webHidden/>
          </w:rPr>
        </w:r>
        <w:r>
          <w:rPr>
            <w:noProof/>
            <w:webHidden/>
          </w:rPr>
          <w:fldChar w:fldCharType="separate"/>
        </w:r>
        <w:r w:rsidR="000B433A">
          <w:rPr>
            <w:noProof/>
            <w:webHidden/>
          </w:rPr>
          <w:t>109</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59" w:history="1">
        <w:r w:rsidR="000B433A" w:rsidRPr="00BF2E58">
          <w:rPr>
            <w:rStyle w:val="Lienhypertexte"/>
            <w:noProof/>
            <w:lang w:val="de-DE"/>
          </w:rPr>
          <w:t>6.12.</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Verbesserung der Wettbewerbsfähigkeit</w:t>
        </w:r>
        <w:r w:rsidR="000B433A">
          <w:rPr>
            <w:noProof/>
            <w:webHidden/>
          </w:rPr>
          <w:tab/>
        </w:r>
        <w:r>
          <w:rPr>
            <w:noProof/>
            <w:webHidden/>
          </w:rPr>
          <w:fldChar w:fldCharType="begin"/>
        </w:r>
        <w:r w:rsidR="000B433A">
          <w:rPr>
            <w:noProof/>
            <w:webHidden/>
          </w:rPr>
          <w:instrText xml:space="preserve"> PAGEREF _Toc7802459 \h </w:instrText>
        </w:r>
        <w:r>
          <w:rPr>
            <w:noProof/>
            <w:webHidden/>
          </w:rPr>
        </w:r>
        <w:r>
          <w:rPr>
            <w:noProof/>
            <w:webHidden/>
          </w:rPr>
          <w:fldChar w:fldCharType="separate"/>
        </w:r>
        <w:r w:rsidR="000B433A">
          <w:rPr>
            <w:noProof/>
            <w:webHidden/>
          </w:rPr>
          <w:t>114</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60" w:history="1">
        <w:r w:rsidR="000B433A" w:rsidRPr="00BF2E58">
          <w:rPr>
            <w:rStyle w:val="Lienhypertexte"/>
            <w:noProof/>
            <w:lang w:val="de-DE"/>
          </w:rPr>
          <w:t>6.13.</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Maßnahmen im Zusammenhang mit Demand Response, dynamische Tarife</w:t>
        </w:r>
        <w:r w:rsidR="000B433A">
          <w:rPr>
            <w:noProof/>
            <w:webHidden/>
          </w:rPr>
          <w:tab/>
        </w:r>
        <w:r>
          <w:rPr>
            <w:noProof/>
            <w:webHidden/>
          </w:rPr>
          <w:fldChar w:fldCharType="begin"/>
        </w:r>
        <w:r w:rsidR="000B433A">
          <w:rPr>
            <w:noProof/>
            <w:webHidden/>
          </w:rPr>
          <w:instrText xml:space="preserve"> PAGEREF _Toc7802460 \h </w:instrText>
        </w:r>
        <w:r>
          <w:rPr>
            <w:noProof/>
            <w:webHidden/>
          </w:rPr>
        </w:r>
        <w:r>
          <w:rPr>
            <w:noProof/>
            <w:webHidden/>
          </w:rPr>
          <w:fldChar w:fldCharType="separate"/>
        </w:r>
        <w:r w:rsidR="000B433A">
          <w:rPr>
            <w:noProof/>
            <w:webHidden/>
          </w:rPr>
          <w:t>114</w:t>
        </w:r>
        <w:r>
          <w:rPr>
            <w:noProof/>
            <w:webHidden/>
          </w:rPr>
          <w:fldChar w:fldCharType="end"/>
        </w:r>
      </w:hyperlink>
    </w:p>
    <w:p w:rsidR="000B433A" w:rsidRDefault="005A6B21">
      <w:pPr>
        <w:pStyle w:val="TM1"/>
        <w:tabs>
          <w:tab w:val="left" w:pos="720"/>
          <w:tab w:val="right" w:leader="dot" w:pos="9062"/>
        </w:tabs>
        <w:rPr>
          <w:rFonts w:ascii="Times New Roman" w:hAnsi="Times New Roman" w:cs="Times New Roman"/>
          <w:b w:val="0"/>
          <w:bCs w:val="0"/>
          <w:caps w:val="0"/>
          <w:noProof/>
          <w:sz w:val="24"/>
          <w:szCs w:val="24"/>
          <w:lang w:val="fr-FR" w:eastAsia="fr-FR"/>
        </w:rPr>
      </w:pPr>
      <w:hyperlink w:anchor="_Toc7802461" w:history="1">
        <w:r w:rsidR="000B433A" w:rsidRPr="00BF2E58">
          <w:rPr>
            <w:rStyle w:val="Lienhypertexte"/>
            <w:rFonts w:cs="Calibri"/>
            <w:smallCaps/>
            <w:noProof/>
            <w:lang w:val="de-DE"/>
          </w:rPr>
          <w:t>VII.</w:t>
        </w:r>
        <w:r w:rsidR="000B433A">
          <w:rPr>
            <w:rFonts w:ascii="Times New Roman" w:hAnsi="Times New Roman" w:cs="Times New Roman"/>
            <w:b w:val="0"/>
            <w:bCs w:val="0"/>
            <w:caps w:val="0"/>
            <w:noProof/>
            <w:sz w:val="24"/>
            <w:szCs w:val="24"/>
            <w:lang w:val="fr-FR" w:eastAsia="fr-FR"/>
          </w:rPr>
          <w:tab/>
        </w:r>
        <w:r w:rsidR="000B433A" w:rsidRPr="00BF2E58">
          <w:rPr>
            <w:rStyle w:val="Lienhypertexte"/>
            <w:rFonts w:cs="Calibri"/>
            <w:smallCaps/>
            <w:noProof/>
            <w:lang w:val="de-DE"/>
          </w:rPr>
          <w:t>Analyse der Messungen.</w:t>
        </w:r>
        <w:r w:rsidR="000B433A">
          <w:rPr>
            <w:noProof/>
            <w:webHidden/>
          </w:rPr>
          <w:tab/>
        </w:r>
        <w:r>
          <w:rPr>
            <w:noProof/>
            <w:webHidden/>
          </w:rPr>
          <w:fldChar w:fldCharType="begin"/>
        </w:r>
        <w:r w:rsidR="000B433A">
          <w:rPr>
            <w:noProof/>
            <w:webHidden/>
          </w:rPr>
          <w:instrText xml:space="preserve"> PAGEREF _Toc7802461 \h </w:instrText>
        </w:r>
        <w:r>
          <w:rPr>
            <w:noProof/>
            <w:webHidden/>
          </w:rPr>
        </w:r>
        <w:r>
          <w:rPr>
            <w:noProof/>
            <w:webHidden/>
          </w:rPr>
          <w:fldChar w:fldCharType="separate"/>
        </w:r>
        <w:r w:rsidR="000B433A">
          <w:rPr>
            <w:noProof/>
            <w:webHidden/>
          </w:rPr>
          <w:t>116</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69" w:history="1">
        <w:r w:rsidR="000B433A" w:rsidRPr="00BF2E58">
          <w:rPr>
            <w:rStyle w:val="Lienhypertexte"/>
            <w:noProof/>
            <w:lang w:val="de-DE"/>
          </w:rPr>
          <w:t>7.1.</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Transportsektor</w:t>
        </w:r>
        <w:r w:rsidR="000B433A">
          <w:rPr>
            <w:noProof/>
            <w:webHidden/>
          </w:rPr>
          <w:tab/>
        </w:r>
        <w:r>
          <w:rPr>
            <w:noProof/>
            <w:webHidden/>
          </w:rPr>
          <w:fldChar w:fldCharType="begin"/>
        </w:r>
        <w:r w:rsidR="000B433A">
          <w:rPr>
            <w:noProof/>
            <w:webHidden/>
          </w:rPr>
          <w:instrText xml:space="preserve"> PAGEREF _Toc7802469 \h </w:instrText>
        </w:r>
        <w:r>
          <w:rPr>
            <w:noProof/>
            <w:webHidden/>
          </w:rPr>
        </w:r>
        <w:r>
          <w:rPr>
            <w:noProof/>
            <w:webHidden/>
          </w:rPr>
          <w:fldChar w:fldCharType="separate"/>
        </w:r>
        <w:r w:rsidR="000B433A">
          <w:rPr>
            <w:noProof/>
            <w:webHidden/>
          </w:rPr>
          <w:t>116</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70" w:history="1">
        <w:r w:rsidR="000B433A" w:rsidRPr="00BF2E58">
          <w:rPr>
            <w:rStyle w:val="Lienhypertexte"/>
            <w:noProof/>
            <w:lang w:val="de-DE"/>
          </w:rPr>
          <w:t>7.2.</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Energiesektor</w:t>
        </w:r>
        <w:r w:rsidR="000B433A">
          <w:rPr>
            <w:noProof/>
            <w:webHidden/>
          </w:rPr>
          <w:tab/>
        </w:r>
        <w:r>
          <w:rPr>
            <w:noProof/>
            <w:webHidden/>
          </w:rPr>
          <w:fldChar w:fldCharType="begin"/>
        </w:r>
        <w:r w:rsidR="000B433A">
          <w:rPr>
            <w:noProof/>
            <w:webHidden/>
          </w:rPr>
          <w:instrText xml:space="preserve"> PAGEREF _Toc7802470 \h </w:instrText>
        </w:r>
        <w:r>
          <w:rPr>
            <w:noProof/>
            <w:webHidden/>
          </w:rPr>
        </w:r>
        <w:r>
          <w:rPr>
            <w:noProof/>
            <w:webHidden/>
          </w:rPr>
          <w:fldChar w:fldCharType="separate"/>
        </w:r>
        <w:r w:rsidR="000B433A">
          <w:rPr>
            <w:noProof/>
            <w:webHidden/>
          </w:rPr>
          <w:t>117</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71" w:history="1">
        <w:r w:rsidR="000B433A" w:rsidRPr="00BF2E58">
          <w:rPr>
            <w:rStyle w:val="Lienhypertexte"/>
            <w:noProof/>
            <w:lang w:val="de-DE"/>
          </w:rPr>
          <w:t>7.3.</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Industriezweige und Verwendung von Lösungsmitteln</w:t>
        </w:r>
        <w:r w:rsidR="000B433A">
          <w:rPr>
            <w:noProof/>
            <w:webHidden/>
          </w:rPr>
          <w:tab/>
        </w:r>
        <w:r>
          <w:rPr>
            <w:noProof/>
            <w:webHidden/>
          </w:rPr>
          <w:fldChar w:fldCharType="begin"/>
        </w:r>
        <w:r w:rsidR="000B433A">
          <w:rPr>
            <w:noProof/>
            <w:webHidden/>
          </w:rPr>
          <w:instrText xml:space="preserve"> PAGEREF _Toc7802471 \h </w:instrText>
        </w:r>
        <w:r>
          <w:rPr>
            <w:noProof/>
            <w:webHidden/>
          </w:rPr>
        </w:r>
        <w:r>
          <w:rPr>
            <w:noProof/>
            <w:webHidden/>
          </w:rPr>
          <w:fldChar w:fldCharType="separate"/>
        </w:r>
        <w:r w:rsidR="000B433A">
          <w:rPr>
            <w:noProof/>
            <w:webHidden/>
          </w:rPr>
          <w:t>119</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72" w:history="1">
        <w:r w:rsidR="000B433A" w:rsidRPr="00BF2E58">
          <w:rPr>
            <w:rStyle w:val="Lienhypertexte"/>
            <w:noProof/>
            <w:lang w:val="de-DE"/>
          </w:rPr>
          <w:t>7.4.</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Landwirtschaft</w:t>
        </w:r>
        <w:r w:rsidR="000B433A">
          <w:rPr>
            <w:noProof/>
            <w:webHidden/>
          </w:rPr>
          <w:tab/>
        </w:r>
        <w:r>
          <w:rPr>
            <w:noProof/>
            <w:webHidden/>
          </w:rPr>
          <w:fldChar w:fldCharType="begin"/>
        </w:r>
        <w:r w:rsidR="000B433A">
          <w:rPr>
            <w:noProof/>
            <w:webHidden/>
          </w:rPr>
          <w:instrText xml:space="preserve"> PAGEREF _Toc7802472 \h </w:instrText>
        </w:r>
        <w:r>
          <w:rPr>
            <w:noProof/>
            <w:webHidden/>
          </w:rPr>
        </w:r>
        <w:r>
          <w:rPr>
            <w:noProof/>
            <w:webHidden/>
          </w:rPr>
          <w:fldChar w:fldCharType="separate"/>
        </w:r>
        <w:r w:rsidR="000B433A">
          <w:rPr>
            <w:noProof/>
            <w:webHidden/>
          </w:rPr>
          <w:t>120</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73" w:history="1">
        <w:r w:rsidR="000B433A" w:rsidRPr="00BF2E58">
          <w:rPr>
            <w:rStyle w:val="Lienhypertexte"/>
            <w:noProof/>
            <w:lang w:val="de-DE"/>
          </w:rPr>
          <w:t>7.5.</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Bewirtschaftung von Abfällen und Einäscherung</w:t>
        </w:r>
        <w:r w:rsidR="000B433A">
          <w:rPr>
            <w:noProof/>
            <w:webHidden/>
          </w:rPr>
          <w:tab/>
        </w:r>
        <w:r>
          <w:rPr>
            <w:noProof/>
            <w:webHidden/>
          </w:rPr>
          <w:fldChar w:fldCharType="begin"/>
        </w:r>
        <w:r w:rsidR="000B433A">
          <w:rPr>
            <w:noProof/>
            <w:webHidden/>
          </w:rPr>
          <w:instrText xml:space="preserve"> PAGEREF _Toc7802473 \h </w:instrText>
        </w:r>
        <w:r>
          <w:rPr>
            <w:noProof/>
            <w:webHidden/>
          </w:rPr>
        </w:r>
        <w:r>
          <w:rPr>
            <w:noProof/>
            <w:webHidden/>
          </w:rPr>
          <w:fldChar w:fldCharType="separate"/>
        </w:r>
        <w:r w:rsidR="000B433A">
          <w:rPr>
            <w:noProof/>
            <w:webHidden/>
          </w:rPr>
          <w:t>122</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74" w:history="1">
        <w:r w:rsidR="000B433A" w:rsidRPr="00BF2E58">
          <w:rPr>
            <w:rStyle w:val="Lienhypertexte"/>
            <w:noProof/>
            <w:lang w:val="de-DE"/>
          </w:rPr>
          <w:t>7.6.</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Abbau und Zufuhr von Brennstoffen</w:t>
        </w:r>
        <w:r w:rsidR="000B433A">
          <w:rPr>
            <w:noProof/>
            <w:webHidden/>
          </w:rPr>
          <w:tab/>
        </w:r>
        <w:r>
          <w:rPr>
            <w:noProof/>
            <w:webHidden/>
          </w:rPr>
          <w:fldChar w:fldCharType="begin"/>
        </w:r>
        <w:r w:rsidR="000B433A">
          <w:rPr>
            <w:noProof/>
            <w:webHidden/>
          </w:rPr>
          <w:instrText xml:space="preserve"> PAGEREF _Toc7802474 \h </w:instrText>
        </w:r>
        <w:r>
          <w:rPr>
            <w:noProof/>
            <w:webHidden/>
          </w:rPr>
        </w:r>
        <w:r>
          <w:rPr>
            <w:noProof/>
            <w:webHidden/>
          </w:rPr>
          <w:fldChar w:fldCharType="separate"/>
        </w:r>
        <w:r w:rsidR="000B433A">
          <w:rPr>
            <w:noProof/>
            <w:webHidden/>
          </w:rPr>
          <w:t>123</w:t>
        </w:r>
        <w:r>
          <w:rPr>
            <w:noProof/>
            <w:webHidden/>
          </w:rPr>
          <w:fldChar w:fldCharType="end"/>
        </w:r>
      </w:hyperlink>
    </w:p>
    <w:p w:rsidR="000B433A" w:rsidRDefault="005A6B21">
      <w:pPr>
        <w:pStyle w:val="TM1"/>
        <w:tabs>
          <w:tab w:val="left" w:pos="720"/>
          <w:tab w:val="right" w:leader="dot" w:pos="9062"/>
        </w:tabs>
        <w:rPr>
          <w:rFonts w:ascii="Times New Roman" w:hAnsi="Times New Roman" w:cs="Times New Roman"/>
          <w:b w:val="0"/>
          <w:bCs w:val="0"/>
          <w:caps w:val="0"/>
          <w:noProof/>
          <w:sz w:val="24"/>
          <w:szCs w:val="24"/>
          <w:lang w:val="fr-FR" w:eastAsia="fr-FR"/>
        </w:rPr>
      </w:pPr>
      <w:hyperlink w:anchor="_Toc7802475" w:history="1">
        <w:r w:rsidR="000B433A" w:rsidRPr="00BF2E58">
          <w:rPr>
            <w:rStyle w:val="Lienhypertexte"/>
            <w:rFonts w:cs="Calibri"/>
            <w:smallCaps/>
            <w:noProof/>
            <w:lang w:val="de-DE"/>
          </w:rPr>
          <w:t>VIII.</w:t>
        </w:r>
        <w:r w:rsidR="000B433A">
          <w:rPr>
            <w:rFonts w:ascii="Times New Roman" w:hAnsi="Times New Roman" w:cs="Times New Roman"/>
            <w:b w:val="0"/>
            <w:bCs w:val="0"/>
            <w:caps w:val="0"/>
            <w:noProof/>
            <w:sz w:val="24"/>
            <w:szCs w:val="24"/>
            <w:lang w:val="fr-FR" w:eastAsia="fr-FR"/>
          </w:rPr>
          <w:tab/>
        </w:r>
        <w:r w:rsidR="000B433A" w:rsidRPr="00BF2E58">
          <w:rPr>
            <w:rStyle w:val="Lienhypertexte"/>
            <w:rFonts w:cs="Calibri"/>
            <w:smallCaps/>
            <w:noProof/>
            <w:lang w:val="de-DE"/>
          </w:rPr>
          <w:t>Gesamtergebnisse</w:t>
        </w:r>
        <w:r w:rsidR="000B433A">
          <w:rPr>
            <w:noProof/>
            <w:webHidden/>
          </w:rPr>
          <w:tab/>
        </w:r>
        <w:r>
          <w:rPr>
            <w:noProof/>
            <w:webHidden/>
          </w:rPr>
          <w:fldChar w:fldCharType="begin"/>
        </w:r>
        <w:r w:rsidR="000B433A">
          <w:rPr>
            <w:noProof/>
            <w:webHidden/>
          </w:rPr>
          <w:instrText xml:space="preserve"> PAGEREF _Toc7802475 \h </w:instrText>
        </w:r>
        <w:r>
          <w:rPr>
            <w:noProof/>
            <w:webHidden/>
          </w:rPr>
        </w:r>
        <w:r>
          <w:rPr>
            <w:noProof/>
            <w:webHidden/>
          </w:rPr>
          <w:fldChar w:fldCharType="separate"/>
        </w:r>
        <w:r w:rsidR="000B433A">
          <w:rPr>
            <w:noProof/>
            <w:webHidden/>
          </w:rPr>
          <w:t>124</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76" w:history="1">
        <w:r w:rsidR="000B433A" w:rsidRPr="00BF2E58">
          <w:rPr>
            <w:rStyle w:val="Lienhypertexte"/>
            <w:noProof/>
            <w:lang w:val="de-DE"/>
          </w:rPr>
          <w:t>8.1.</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In Bezug auf die Luft</w:t>
        </w:r>
        <w:r w:rsidR="000B433A">
          <w:rPr>
            <w:noProof/>
            <w:webHidden/>
          </w:rPr>
          <w:tab/>
        </w:r>
        <w:r>
          <w:rPr>
            <w:noProof/>
            <w:webHidden/>
          </w:rPr>
          <w:fldChar w:fldCharType="begin"/>
        </w:r>
        <w:r w:rsidR="000B433A">
          <w:rPr>
            <w:noProof/>
            <w:webHidden/>
          </w:rPr>
          <w:instrText xml:space="preserve"> PAGEREF _Toc7802476 \h </w:instrText>
        </w:r>
        <w:r>
          <w:rPr>
            <w:noProof/>
            <w:webHidden/>
          </w:rPr>
        </w:r>
        <w:r>
          <w:rPr>
            <w:noProof/>
            <w:webHidden/>
          </w:rPr>
          <w:fldChar w:fldCharType="separate"/>
        </w:r>
        <w:r w:rsidR="000B433A">
          <w:rPr>
            <w:noProof/>
            <w:webHidden/>
          </w:rPr>
          <w:t>124</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77" w:history="1">
        <w:r w:rsidR="000B433A" w:rsidRPr="00BF2E58">
          <w:rPr>
            <w:rStyle w:val="Lienhypertexte"/>
            <w:noProof/>
            <w:lang w:val="de-DE"/>
          </w:rPr>
          <w:t>8.2.</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In Bezug auf die Treibhausgasemissionen</w:t>
        </w:r>
        <w:r w:rsidR="000B433A">
          <w:rPr>
            <w:noProof/>
            <w:webHidden/>
          </w:rPr>
          <w:tab/>
        </w:r>
        <w:r>
          <w:rPr>
            <w:noProof/>
            <w:webHidden/>
          </w:rPr>
          <w:fldChar w:fldCharType="begin"/>
        </w:r>
        <w:r w:rsidR="000B433A">
          <w:rPr>
            <w:noProof/>
            <w:webHidden/>
          </w:rPr>
          <w:instrText xml:space="preserve"> PAGEREF _Toc7802477 \h </w:instrText>
        </w:r>
        <w:r>
          <w:rPr>
            <w:noProof/>
            <w:webHidden/>
          </w:rPr>
        </w:r>
        <w:r>
          <w:rPr>
            <w:noProof/>
            <w:webHidden/>
          </w:rPr>
          <w:fldChar w:fldCharType="separate"/>
        </w:r>
        <w:r w:rsidR="000B433A">
          <w:rPr>
            <w:noProof/>
            <w:webHidden/>
          </w:rPr>
          <w:t>125</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78" w:history="1">
        <w:r w:rsidR="000B433A" w:rsidRPr="00BF2E58">
          <w:rPr>
            <w:rStyle w:val="Lienhypertexte"/>
            <w:noProof/>
            <w:lang w:val="de-DE"/>
          </w:rPr>
          <w:t>8.3.</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Im Bereich der erneuerbaren Energien</w:t>
        </w:r>
        <w:r w:rsidR="000B433A">
          <w:rPr>
            <w:noProof/>
            <w:webHidden/>
          </w:rPr>
          <w:tab/>
        </w:r>
        <w:r>
          <w:rPr>
            <w:noProof/>
            <w:webHidden/>
          </w:rPr>
          <w:fldChar w:fldCharType="begin"/>
        </w:r>
        <w:r w:rsidR="000B433A">
          <w:rPr>
            <w:noProof/>
            <w:webHidden/>
          </w:rPr>
          <w:instrText xml:space="preserve"> PAGEREF _Toc7802478 \h </w:instrText>
        </w:r>
        <w:r>
          <w:rPr>
            <w:noProof/>
            <w:webHidden/>
          </w:rPr>
        </w:r>
        <w:r>
          <w:rPr>
            <w:noProof/>
            <w:webHidden/>
          </w:rPr>
          <w:fldChar w:fldCharType="separate"/>
        </w:r>
        <w:r w:rsidR="000B433A">
          <w:rPr>
            <w:noProof/>
            <w:webHidden/>
          </w:rPr>
          <w:t>125</w:t>
        </w:r>
        <w:r>
          <w:rPr>
            <w:noProof/>
            <w:webHidden/>
          </w:rPr>
          <w:fldChar w:fldCharType="end"/>
        </w:r>
      </w:hyperlink>
    </w:p>
    <w:p w:rsidR="000B433A" w:rsidRDefault="005A6B21">
      <w:pPr>
        <w:pStyle w:val="TM2"/>
        <w:tabs>
          <w:tab w:val="left" w:pos="960"/>
          <w:tab w:val="right" w:leader="dot" w:pos="9062"/>
        </w:tabs>
        <w:rPr>
          <w:rFonts w:ascii="Times New Roman" w:hAnsi="Times New Roman" w:cs="Times New Roman"/>
          <w:smallCaps w:val="0"/>
          <w:noProof/>
          <w:sz w:val="24"/>
          <w:szCs w:val="24"/>
          <w:lang w:val="fr-FR" w:eastAsia="fr-FR"/>
        </w:rPr>
      </w:pPr>
      <w:hyperlink w:anchor="_Toc7802479" w:history="1">
        <w:r w:rsidR="000B433A" w:rsidRPr="00BF2E58">
          <w:rPr>
            <w:rStyle w:val="Lienhypertexte"/>
            <w:noProof/>
            <w:lang w:val="de-DE"/>
          </w:rPr>
          <w:t>8.4.</w:t>
        </w:r>
        <w:r w:rsidR="000B433A">
          <w:rPr>
            <w:rFonts w:ascii="Times New Roman" w:hAnsi="Times New Roman" w:cs="Times New Roman"/>
            <w:smallCaps w:val="0"/>
            <w:noProof/>
            <w:sz w:val="24"/>
            <w:szCs w:val="24"/>
            <w:lang w:val="fr-FR" w:eastAsia="fr-FR"/>
          </w:rPr>
          <w:tab/>
        </w:r>
        <w:r w:rsidR="000B433A" w:rsidRPr="00BF2E58">
          <w:rPr>
            <w:rStyle w:val="Lienhypertexte"/>
            <w:rFonts w:cs="Calibri"/>
            <w:noProof/>
            <w:lang w:val="de-DE"/>
          </w:rPr>
          <w:t>In Bereich der Energieeffizienz</w:t>
        </w:r>
        <w:r w:rsidR="000B433A">
          <w:rPr>
            <w:noProof/>
            <w:webHidden/>
          </w:rPr>
          <w:tab/>
        </w:r>
        <w:r>
          <w:rPr>
            <w:noProof/>
            <w:webHidden/>
          </w:rPr>
          <w:fldChar w:fldCharType="begin"/>
        </w:r>
        <w:r w:rsidR="000B433A">
          <w:rPr>
            <w:noProof/>
            <w:webHidden/>
          </w:rPr>
          <w:instrText xml:space="preserve"> PAGEREF _Toc7802479 \h </w:instrText>
        </w:r>
        <w:r>
          <w:rPr>
            <w:noProof/>
            <w:webHidden/>
          </w:rPr>
        </w:r>
        <w:r>
          <w:rPr>
            <w:noProof/>
            <w:webHidden/>
          </w:rPr>
          <w:fldChar w:fldCharType="separate"/>
        </w:r>
        <w:r w:rsidR="000B433A">
          <w:rPr>
            <w:noProof/>
            <w:webHidden/>
          </w:rPr>
          <w:t>128</w:t>
        </w:r>
        <w:r>
          <w:rPr>
            <w:noProof/>
            <w:webHidden/>
          </w:rPr>
          <w:fldChar w:fldCharType="end"/>
        </w:r>
      </w:hyperlink>
    </w:p>
    <w:p w:rsidR="000B433A" w:rsidRDefault="005A6B21">
      <w:pPr>
        <w:pStyle w:val="TM1"/>
        <w:tabs>
          <w:tab w:val="left" w:pos="480"/>
          <w:tab w:val="right" w:leader="dot" w:pos="9062"/>
        </w:tabs>
        <w:rPr>
          <w:rFonts w:ascii="Times New Roman" w:hAnsi="Times New Roman" w:cs="Times New Roman"/>
          <w:b w:val="0"/>
          <w:bCs w:val="0"/>
          <w:caps w:val="0"/>
          <w:noProof/>
          <w:sz w:val="24"/>
          <w:szCs w:val="24"/>
          <w:lang w:val="fr-FR" w:eastAsia="fr-FR"/>
        </w:rPr>
      </w:pPr>
      <w:hyperlink w:anchor="_Toc7802480" w:history="1">
        <w:r w:rsidR="000B433A" w:rsidRPr="00BF2E58">
          <w:rPr>
            <w:rStyle w:val="Lienhypertexte"/>
            <w:rFonts w:cs="Calibri"/>
            <w:smallCaps/>
            <w:noProof/>
            <w:lang w:val="de-DE"/>
          </w:rPr>
          <w:t>IX.</w:t>
        </w:r>
        <w:r w:rsidR="000B433A">
          <w:rPr>
            <w:rFonts w:ascii="Times New Roman" w:hAnsi="Times New Roman" w:cs="Times New Roman"/>
            <w:b w:val="0"/>
            <w:bCs w:val="0"/>
            <w:caps w:val="0"/>
            <w:noProof/>
            <w:sz w:val="24"/>
            <w:szCs w:val="24"/>
            <w:lang w:val="fr-FR" w:eastAsia="fr-FR"/>
          </w:rPr>
          <w:tab/>
        </w:r>
        <w:r w:rsidR="000B433A" w:rsidRPr="00BF2E58">
          <w:rPr>
            <w:rStyle w:val="Lienhypertexte"/>
            <w:rFonts w:cs="Calibri"/>
            <w:smallCaps/>
            <w:noProof/>
            <w:lang w:val="de-DE"/>
          </w:rPr>
          <w:t>Forschung, Innovation, Wettbewerbsfähigkeit</w:t>
        </w:r>
        <w:r w:rsidR="000B433A">
          <w:rPr>
            <w:noProof/>
            <w:webHidden/>
          </w:rPr>
          <w:tab/>
        </w:r>
        <w:r>
          <w:rPr>
            <w:noProof/>
            <w:webHidden/>
          </w:rPr>
          <w:fldChar w:fldCharType="begin"/>
        </w:r>
        <w:r w:rsidR="000B433A">
          <w:rPr>
            <w:noProof/>
            <w:webHidden/>
          </w:rPr>
          <w:instrText xml:space="preserve"> PAGEREF _Toc7802480 \h </w:instrText>
        </w:r>
        <w:r>
          <w:rPr>
            <w:noProof/>
            <w:webHidden/>
          </w:rPr>
        </w:r>
        <w:r>
          <w:rPr>
            <w:noProof/>
            <w:webHidden/>
          </w:rPr>
          <w:fldChar w:fldCharType="separate"/>
        </w:r>
        <w:r w:rsidR="000B433A">
          <w:rPr>
            <w:noProof/>
            <w:webHidden/>
          </w:rPr>
          <w:t>131</w:t>
        </w:r>
        <w:r>
          <w:rPr>
            <w:noProof/>
            <w:webHidden/>
          </w:rPr>
          <w:fldChar w:fldCharType="end"/>
        </w:r>
      </w:hyperlink>
    </w:p>
    <w:p w:rsidR="000B433A" w:rsidRDefault="005A6B21">
      <w:pPr>
        <w:pStyle w:val="TM1"/>
        <w:tabs>
          <w:tab w:val="left" w:pos="480"/>
          <w:tab w:val="right" w:leader="dot" w:pos="9062"/>
        </w:tabs>
        <w:rPr>
          <w:rFonts w:ascii="Times New Roman" w:hAnsi="Times New Roman" w:cs="Times New Roman"/>
          <w:b w:val="0"/>
          <w:bCs w:val="0"/>
          <w:caps w:val="0"/>
          <w:noProof/>
          <w:sz w:val="24"/>
          <w:szCs w:val="24"/>
          <w:lang w:val="fr-FR" w:eastAsia="fr-FR"/>
        </w:rPr>
      </w:pPr>
      <w:hyperlink w:anchor="_Toc7802481" w:history="1">
        <w:r w:rsidR="000B433A" w:rsidRPr="00BF2E58">
          <w:rPr>
            <w:rStyle w:val="Lienhypertexte"/>
            <w:rFonts w:cs="Calibri"/>
            <w:smallCaps/>
            <w:noProof/>
            <w:lang w:val="de-DE"/>
          </w:rPr>
          <w:t>X.</w:t>
        </w:r>
        <w:r w:rsidR="000B433A">
          <w:rPr>
            <w:rFonts w:ascii="Times New Roman" w:hAnsi="Times New Roman" w:cs="Times New Roman"/>
            <w:b w:val="0"/>
            <w:bCs w:val="0"/>
            <w:caps w:val="0"/>
            <w:noProof/>
            <w:sz w:val="24"/>
            <w:szCs w:val="24"/>
            <w:lang w:val="fr-FR" w:eastAsia="fr-FR"/>
          </w:rPr>
          <w:tab/>
        </w:r>
        <w:r w:rsidR="000B433A" w:rsidRPr="00BF2E58">
          <w:rPr>
            <w:rStyle w:val="Lienhypertexte"/>
            <w:rFonts w:cs="Calibri"/>
            <w:smallCaps/>
            <w:noProof/>
            <w:lang w:val="de-DE"/>
          </w:rPr>
          <w:t>Anpassung an die Klimaänderung</w:t>
        </w:r>
        <w:r w:rsidR="000B433A">
          <w:rPr>
            <w:noProof/>
            <w:webHidden/>
          </w:rPr>
          <w:tab/>
        </w:r>
        <w:r>
          <w:rPr>
            <w:noProof/>
            <w:webHidden/>
          </w:rPr>
          <w:fldChar w:fldCharType="begin"/>
        </w:r>
        <w:r w:rsidR="000B433A">
          <w:rPr>
            <w:noProof/>
            <w:webHidden/>
          </w:rPr>
          <w:instrText xml:space="preserve"> PAGEREF _Toc7802481 \h </w:instrText>
        </w:r>
        <w:r>
          <w:rPr>
            <w:noProof/>
            <w:webHidden/>
          </w:rPr>
        </w:r>
        <w:r>
          <w:rPr>
            <w:noProof/>
            <w:webHidden/>
          </w:rPr>
          <w:fldChar w:fldCharType="separate"/>
        </w:r>
        <w:r w:rsidR="000B433A">
          <w:rPr>
            <w:noProof/>
            <w:webHidden/>
          </w:rPr>
          <w:t>133</w:t>
        </w:r>
        <w:r>
          <w:rPr>
            <w:noProof/>
            <w:webHidden/>
          </w:rPr>
          <w:fldChar w:fldCharType="end"/>
        </w:r>
      </w:hyperlink>
    </w:p>
    <w:p w:rsidR="000B433A" w:rsidRDefault="005A6B21">
      <w:pPr>
        <w:pStyle w:val="TM1"/>
        <w:tabs>
          <w:tab w:val="left" w:pos="480"/>
          <w:tab w:val="right" w:leader="dot" w:pos="9062"/>
        </w:tabs>
        <w:rPr>
          <w:rFonts w:ascii="Times New Roman" w:hAnsi="Times New Roman" w:cs="Times New Roman"/>
          <w:b w:val="0"/>
          <w:bCs w:val="0"/>
          <w:caps w:val="0"/>
          <w:noProof/>
          <w:sz w:val="24"/>
          <w:szCs w:val="24"/>
          <w:lang w:val="fr-FR" w:eastAsia="fr-FR"/>
        </w:rPr>
      </w:pPr>
      <w:hyperlink w:anchor="_Toc7802482" w:history="1">
        <w:r w:rsidR="000B433A" w:rsidRPr="00BF2E58">
          <w:rPr>
            <w:rStyle w:val="Lienhypertexte"/>
            <w:rFonts w:cs="Calibri"/>
            <w:smallCaps/>
            <w:noProof/>
            <w:lang w:val="de-DE"/>
          </w:rPr>
          <w:t>XI.</w:t>
        </w:r>
        <w:r w:rsidR="000B433A">
          <w:rPr>
            <w:rFonts w:ascii="Times New Roman" w:hAnsi="Times New Roman" w:cs="Times New Roman"/>
            <w:b w:val="0"/>
            <w:bCs w:val="0"/>
            <w:caps w:val="0"/>
            <w:noProof/>
            <w:sz w:val="24"/>
            <w:szCs w:val="24"/>
            <w:lang w:val="fr-FR" w:eastAsia="fr-FR"/>
          </w:rPr>
          <w:tab/>
        </w:r>
        <w:r w:rsidR="000B433A" w:rsidRPr="00BF2E58">
          <w:rPr>
            <w:rStyle w:val="Lienhypertexte"/>
            <w:rFonts w:cs="Calibri"/>
            <w:smallCaps/>
            <w:noProof/>
            <w:lang w:val="de-DE"/>
          </w:rPr>
          <w:t>Internationale Finanzierung</w:t>
        </w:r>
        <w:r w:rsidR="000B433A">
          <w:rPr>
            <w:noProof/>
            <w:webHidden/>
          </w:rPr>
          <w:tab/>
        </w:r>
        <w:r>
          <w:rPr>
            <w:noProof/>
            <w:webHidden/>
          </w:rPr>
          <w:fldChar w:fldCharType="begin"/>
        </w:r>
        <w:r w:rsidR="000B433A">
          <w:rPr>
            <w:noProof/>
            <w:webHidden/>
          </w:rPr>
          <w:instrText xml:space="preserve"> PAGEREF _Toc7802482 \h </w:instrText>
        </w:r>
        <w:r>
          <w:rPr>
            <w:noProof/>
            <w:webHidden/>
          </w:rPr>
        </w:r>
        <w:r>
          <w:rPr>
            <w:noProof/>
            <w:webHidden/>
          </w:rPr>
          <w:fldChar w:fldCharType="separate"/>
        </w:r>
        <w:r w:rsidR="000B433A">
          <w:rPr>
            <w:noProof/>
            <w:webHidden/>
          </w:rPr>
          <w:t>135</w:t>
        </w:r>
        <w:r>
          <w:rPr>
            <w:noProof/>
            <w:webHidden/>
          </w:rPr>
          <w:fldChar w:fldCharType="end"/>
        </w:r>
      </w:hyperlink>
    </w:p>
    <w:p w:rsidR="000B433A" w:rsidRDefault="005A6B21">
      <w:pPr>
        <w:pStyle w:val="TM1"/>
        <w:tabs>
          <w:tab w:val="left" w:pos="720"/>
          <w:tab w:val="right" w:leader="dot" w:pos="9062"/>
        </w:tabs>
        <w:rPr>
          <w:rFonts w:ascii="Times New Roman" w:hAnsi="Times New Roman" w:cs="Times New Roman"/>
          <w:b w:val="0"/>
          <w:bCs w:val="0"/>
          <w:caps w:val="0"/>
          <w:noProof/>
          <w:sz w:val="24"/>
          <w:szCs w:val="24"/>
          <w:lang w:val="fr-FR" w:eastAsia="fr-FR"/>
        </w:rPr>
      </w:pPr>
      <w:hyperlink w:anchor="_Toc7802483" w:history="1">
        <w:r w:rsidR="000B433A" w:rsidRPr="00BF2E58">
          <w:rPr>
            <w:rStyle w:val="Lienhypertexte"/>
            <w:rFonts w:cs="Calibri"/>
            <w:smallCaps/>
            <w:noProof/>
            <w:lang w:val="de-DE"/>
          </w:rPr>
          <w:t>XII.</w:t>
        </w:r>
        <w:r w:rsidR="000B433A">
          <w:rPr>
            <w:rFonts w:ascii="Times New Roman" w:hAnsi="Times New Roman" w:cs="Times New Roman"/>
            <w:b w:val="0"/>
            <w:bCs w:val="0"/>
            <w:caps w:val="0"/>
            <w:noProof/>
            <w:sz w:val="24"/>
            <w:szCs w:val="24"/>
            <w:lang w:val="fr-FR" w:eastAsia="fr-FR"/>
          </w:rPr>
          <w:tab/>
        </w:r>
        <w:r w:rsidR="000B433A" w:rsidRPr="00BF2E58">
          <w:rPr>
            <w:rStyle w:val="Lienhypertexte"/>
            <w:rFonts w:cs="Calibri"/>
            <w:smallCaps/>
            <w:noProof/>
            <w:lang w:val="de-DE"/>
          </w:rPr>
          <w:t>Schlussfolgerungen</w:t>
        </w:r>
        <w:r w:rsidR="000B433A">
          <w:rPr>
            <w:noProof/>
            <w:webHidden/>
          </w:rPr>
          <w:tab/>
        </w:r>
        <w:r>
          <w:rPr>
            <w:noProof/>
            <w:webHidden/>
          </w:rPr>
          <w:fldChar w:fldCharType="begin"/>
        </w:r>
        <w:r w:rsidR="000B433A">
          <w:rPr>
            <w:noProof/>
            <w:webHidden/>
          </w:rPr>
          <w:instrText xml:space="preserve"> PAGEREF _Toc7802483 \h </w:instrText>
        </w:r>
        <w:r>
          <w:rPr>
            <w:noProof/>
            <w:webHidden/>
          </w:rPr>
        </w:r>
        <w:r>
          <w:rPr>
            <w:noProof/>
            <w:webHidden/>
          </w:rPr>
          <w:fldChar w:fldCharType="separate"/>
        </w:r>
        <w:r w:rsidR="000B433A">
          <w:rPr>
            <w:noProof/>
            <w:webHidden/>
          </w:rPr>
          <w:t>136</w:t>
        </w:r>
        <w:r>
          <w:rPr>
            <w:noProof/>
            <w:webHidden/>
          </w:rPr>
          <w:fldChar w:fldCharType="end"/>
        </w:r>
      </w:hyperlink>
    </w:p>
    <w:p w:rsidR="000B433A" w:rsidRPr="005F5D9D" w:rsidRDefault="005A6B21" w:rsidP="00686CB0">
      <w:pPr>
        <w:pStyle w:val="TM1"/>
      </w:pPr>
      <w:r>
        <w:rPr>
          <w:sz w:val="32"/>
          <w:lang w:val="de-DE"/>
        </w:rPr>
        <w:fldChar w:fldCharType="end"/>
      </w:r>
      <w:bookmarkEnd w:id="0"/>
    </w:p>
    <w:p w:rsidR="000B433A" w:rsidRPr="005F5D9D" w:rsidRDefault="000B433A">
      <w:pPr>
        <w:rPr>
          <w:rFonts w:cs="Calibri"/>
          <w:sz w:val="32"/>
          <w:lang w:val="de-DE"/>
        </w:rPr>
      </w:pPr>
      <w:r w:rsidRPr="005F5D9D">
        <w:rPr>
          <w:rFonts w:cs="Calibri"/>
          <w:sz w:val="32"/>
          <w:lang w:val="de-DE"/>
        </w:rPr>
        <w:br w:type="page"/>
      </w:r>
    </w:p>
    <w:p w:rsidR="000B433A" w:rsidRPr="00C73602" w:rsidRDefault="000B433A" w:rsidP="001A518E">
      <w:pPr>
        <w:pStyle w:val="Titre1"/>
        <w:numPr>
          <w:ilvl w:val="0"/>
          <w:numId w:val="1"/>
        </w:numPr>
        <w:ind w:left="851" w:hanging="851"/>
        <w:rPr>
          <w:rFonts w:ascii="Calibri" w:hAnsi="Calibri" w:cs="Calibri"/>
          <w:smallCaps/>
          <w:color w:val="1F497D"/>
          <w:sz w:val="32"/>
          <w:szCs w:val="32"/>
          <w:u w:val="single"/>
          <w:lang w:val="de-DE"/>
        </w:rPr>
      </w:pPr>
      <w:bookmarkStart w:id="1" w:name="_Toc7802416"/>
      <w:r>
        <w:rPr>
          <w:rFonts w:ascii="Calibri" w:hAnsi="Calibri" w:cs="Calibri"/>
          <w:smallCaps/>
          <w:color w:val="1F497D"/>
          <w:sz w:val="32"/>
          <w:u w:val="single"/>
          <w:lang w:val="de-DE"/>
        </w:rPr>
        <w:t>Einführung</w:t>
      </w:r>
      <w:bookmarkEnd w:id="1"/>
      <w:r>
        <w:rPr>
          <w:rFonts w:ascii="Calibri" w:hAnsi="Calibri" w:cs="Calibri"/>
          <w:smallCaps/>
          <w:color w:val="1F497D"/>
          <w:sz w:val="32"/>
          <w:u w:val="single"/>
          <w:lang w:val="de-DE"/>
        </w:rPr>
        <w:t xml:space="preserve"> </w:t>
      </w:r>
    </w:p>
    <w:p w:rsidR="000B433A" w:rsidRPr="000A7B30" w:rsidRDefault="000B433A" w:rsidP="001A518E">
      <w:pPr>
        <w:pStyle w:val="Titre2"/>
        <w:numPr>
          <w:ilvl w:val="1"/>
          <w:numId w:val="1"/>
        </w:numPr>
        <w:ind w:left="851" w:hanging="851"/>
        <w:rPr>
          <w:rFonts w:ascii="Calibri" w:hAnsi="Calibri" w:cs="Calibri"/>
          <w:color w:val="1F497D"/>
          <w:sz w:val="28"/>
          <w:szCs w:val="28"/>
          <w:lang w:val="de-DE"/>
        </w:rPr>
      </w:pPr>
      <w:bookmarkStart w:id="2" w:name="_Toc7802417"/>
      <w:r>
        <w:rPr>
          <w:rFonts w:ascii="Calibri" w:hAnsi="Calibri" w:cs="Calibri"/>
          <w:color w:val="1F497D"/>
          <w:sz w:val="28"/>
          <w:lang w:val="de-DE"/>
        </w:rPr>
        <w:t>Kontext</w:t>
      </w:r>
      <w:bookmarkEnd w:id="2"/>
    </w:p>
    <w:p w:rsidR="000B433A" w:rsidRPr="005F5D9D" w:rsidRDefault="000B433A" w:rsidP="004B5297">
      <w:pPr>
        <w:rPr>
          <w:rFonts w:cs="Calibri"/>
          <w:lang w:val="de-DE"/>
        </w:rPr>
      </w:pPr>
      <w:r>
        <w:rPr>
          <w:rFonts w:cs="Calibri"/>
          <w:lang w:val="de-DE"/>
        </w:rPr>
        <w:t>Ziel des Luft-Klima-Energie-Plans (LKEP) ist es, die Maßnahmen zur Bekämpfung von Treibhausgasemissionen und Luftschadstoffen sowie zur Senkung unseres Energieverbrauchs integriert zu beschreiben.</w:t>
      </w:r>
    </w:p>
    <w:p w:rsidR="000B433A" w:rsidRPr="005F5D9D" w:rsidRDefault="000B433A" w:rsidP="004B5297">
      <w:pPr>
        <w:rPr>
          <w:rFonts w:cs="Calibri"/>
          <w:lang w:val="de-DE"/>
        </w:rPr>
      </w:pPr>
      <w:r>
        <w:rPr>
          <w:rFonts w:cs="Calibri"/>
          <w:lang w:val="de-DE"/>
        </w:rPr>
        <w:t xml:space="preserve">Der LKEP ist Teil der Umsetzung der Klimaverordnung vom 19. Februar 2014, die darauf abzielt, Ziele für die Reduzierung der Treibhausgasemissionen und der Luftqualität festzulegen und die Instrumente zu schaffen, um sicherzustellen, dass diese tatsächlich erreicht werden. </w:t>
      </w:r>
    </w:p>
    <w:p w:rsidR="000B433A" w:rsidRPr="005F5D9D" w:rsidRDefault="000B433A" w:rsidP="004B5297">
      <w:pPr>
        <w:rPr>
          <w:rFonts w:cs="Calibri"/>
          <w:lang w:val="de-DE"/>
        </w:rPr>
      </w:pPr>
      <w:r>
        <w:rPr>
          <w:rFonts w:cs="Calibri"/>
          <w:lang w:val="de-DE"/>
        </w:rPr>
        <w:t xml:space="preserve">In diesem Zusammenhang wird die Regierung in dem Text aufgefordert, einen LKEP aufzustellen, in dem die notwendigen Maßnahmen zur Einhaltung der Emissionsbudgets beschrieben werden. </w:t>
      </w:r>
    </w:p>
    <w:p w:rsidR="000B433A" w:rsidRPr="005F5D9D" w:rsidRDefault="000B433A" w:rsidP="004B5297">
      <w:pPr>
        <w:rPr>
          <w:rFonts w:cs="Calibri"/>
          <w:lang w:val="de-DE"/>
        </w:rPr>
      </w:pPr>
      <w:r>
        <w:rPr>
          <w:rFonts w:cs="Calibri"/>
          <w:lang w:val="de-DE"/>
        </w:rPr>
        <w:t xml:space="preserve">Durch die Festlegung einer transparenten und langfristigen Klima-, Energie und Luftqualitätspolitik ermöglicht das Dekret die Schaffung eines klaren Rahmens und dadurch die Sicherung unserer Wirtschaft, indem die Entwicklung von Märkten im Bereich der erneuerbaren Energien und der Energieeffizienz sowie von umweltfreundlichen Produktionsverfahren, durch die Energieeinsparungen und Arbeitsplätze geschaffen werden, gewährleistet wird. Das Dekret ermöglicht gleichfalls und vor allem, die Wallonie in Hinblick auf die Bekämpfung der Klimaänderung und der Luftschadstoffe an der Spitze der Länder und Regionen zu positionieren. </w:t>
      </w:r>
    </w:p>
    <w:p w:rsidR="000B433A" w:rsidRPr="005F5D9D" w:rsidRDefault="000B433A" w:rsidP="004B5297">
      <w:pPr>
        <w:rPr>
          <w:rFonts w:cs="Calibri"/>
          <w:lang w:val="de-DE"/>
        </w:rPr>
      </w:pPr>
      <w:r>
        <w:rPr>
          <w:rFonts w:cs="Calibri"/>
          <w:lang w:val="de-DE"/>
        </w:rPr>
        <w:t xml:space="preserve">Gemäß dem im Dekret beschriebenen Verfahren ist der LKEP Teil eines dynamischen Prozesses, welcher vorausgehend eine Teilnahme der Öffentlichkeit und anschließend einen Jahresbericht an die Regierung und an das Parlament vorsieht, um gegebenenfalls Anpassungen vorzunehmen, sei es, um den bisherigen Erfahrungen Rechnung zu tragen, oder um die Entwicklung der Gesetzgebung zu berücksichtigen. </w:t>
      </w:r>
    </w:p>
    <w:p w:rsidR="000B433A" w:rsidRPr="005F5D9D" w:rsidRDefault="000B433A" w:rsidP="004B5297">
      <w:pPr>
        <w:rPr>
          <w:rFonts w:cs="Calibri"/>
          <w:lang w:val="de-DE"/>
        </w:rPr>
      </w:pPr>
      <w:r>
        <w:rPr>
          <w:rFonts w:cs="Calibri"/>
          <w:lang w:val="de-DE"/>
        </w:rPr>
        <w:t xml:space="preserve">In Ausführung des „Klima“-Dekrets läuft das erste LKEP-Projekt bis 2022 (d. h. für die ersten beiden Perioden). Es wurde von der wallonischen Regierung am 23. Januar </w:t>
      </w:r>
      <w:smartTag w:uri="urn:schemas-microsoft-com:office:smarttags" w:element="metricconverter">
        <w:smartTagPr>
          <w:attr w:name="ProductID" w:val="2014 in"/>
        </w:smartTagPr>
        <w:r>
          <w:rPr>
            <w:rFonts w:cs="Calibri"/>
            <w:lang w:val="de-DE"/>
          </w:rPr>
          <w:t>2014 in</w:t>
        </w:r>
      </w:smartTag>
      <w:r>
        <w:rPr>
          <w:rFonts w:cs="Calibri"/>
          <w:lang w:val="de-DE"/>
        </w:rPr>
        <w:t xml:space="preserve"> erster Lesung genehmigt. In der Folge wurde eine öffentliche Untersuchung durchgeführt, die eine starke Resonanz fand. Der LKEP 2016 - 2022 wurde in seiner geänderten Fassung auf der Grundlage der öffentlichen Untersuchung in zweiter Lesung durch die wallonische Regierung am 21. April 2016 angenommen.</w:t>
      </w:r>
    </w:p>
    <w:p w:rsidR="000B433A" w:rsidRPr="005F5D9D" w:rsidRDefault="000B433A" w:rsidP="004B5297">
      <w:pPr>
        <w:rPr>
          <w:rFonts w:cs="Calibri"/>
          <w:lang w:val="de-DE"/>
        </w:rPr>
      </w:pPr>
      <w:r>
        <w:rPr>
          <w:rFonts w:cs="Calibri"/>
          <w:lang w:val="de-DE"/>
        </w:rPr>
        <w:t>Die wallonische Regierung hat beschlossen, gemeinsam Maßnahmen in den Bereichen Energie, Klima und Luftqualität in einem neuen Luft-Klima-Energie-Plan für 2030 (LKEP 2030) zu formalisieren. Dieser LKEP 2030 umfasst neue Politiken und Maßnahmen zur Erreichung der in der Europäischen Union festgelegten Energie- und Klimaziele sowie der Luftqualitätsziele gemäß der Richtlinie 2016/2284 zur Verringerung der nationalen Emissionen bestimmter Luftschadstoffe.</w:t>
      </w:r>
    </w:p>
    <w:p w:rsidR="000B433A" w:rsidRPr="005F5D9D" w:rsidRDefault="000B433A" w:rsidP="001A518E">
      <w:pPr>
        <w:ind w:left="284" w:hanging="284"/>
        <w:rPr>
          <w:rFonts w:cs="Calibri"/>
          <w:lang w:val="de-DE"/>
        </w:rPr>
      </w:pPr>
    </w:p>
    <w:p w:rsidR="000B433A" w:rsidRPr="00604E70" w:rsidRDefault="000B433A" w:rsidP="001A518E">
      <w:pPr>
        <w:pStyle w:val="Titre2"/>
        <w:numPr>
          <w:ilvl w:val="1"/>
          <w:numId w:val="1"/>
        </w:numPr>
        <w:ind w:left="851" w:hanging="851"/>
        <w:rPr>
          <w:rFonts w:ascii="Calibri" w:hAnsi="Calibri" w:cs="Calibri"/>
          <w:color w:val="1F497D"/>
          <w:sz w:val="28"/>
          <w:szCs w:val="28"/>
          <w:lang w:val="de-DE"/>
        </w:rPr>
      </w:pPr>
      <w:bookmarkStart w:id="3" w:name="_Toc7802418"/>
      <w:r>
        <w:rPr>
          <w:rFonts w:ascii="Calibri" w:hAnsi="Calibri" w:cs="Calibri"/>
          <w:color w:val="1F497D"/>
          <w:sz w:val="28"/>
          <w:lang w:val="de-DE"/>
        </w:rPr>
        <w:t>Verbindung zwischen einem wallonischen Programm Energie/Klima 2030 und einem Programm Luft 2030.</w:t>
      </w:r>
      <w:bookmarkEnd w:id="3"/>
    </w:p>
    <w:p w:rsidR="000B433A" w:rsidRPr="005F5D9D" w:rsidRDefault="000B433A" w:rsidP="00D23B46">
      <w:pPr>
        <w:rPr>
          <w:rFonts w:cs="Calibri"/>
          <w:lang w:val="de-DE"/>
        </w:rPr>
      </w:pPr>
      <w:r>
        <w:rPr>
          <w:rFonts w:cs="Calibri"/>
          <w:lang w:val="de-DE"/>
        </w:rPr>
        <w:t xml:space="preserve">Die europäischen Bestimmungen über Energie und den Kampf gegen den Klimawandel sowie die europäischen Bestimmungen über die Luftverschmutzung verpflichten die Mitgliedstaaten, einerseits einen nationalen Klima-Energie-Plan und andererseits einen nationalen Luft-Plan auszuarbeiten. </w:t>
      </w:r>
    </w:p>
    <w:p w:rsidR="000B433A" w:rsidRPr="005F5D9D" w:rsidRDefault="000B433A" w:rsidP="00D23B46">
      <w:pPr>
        <w:rPr>
          <w:rFonts w:cs="Calibri"/>
          <w:lang w:val="de-DE"/>
        </w:rPr>
      </w:pPr>
      <w:r>
        <w:rPr>
          <w:rFonts w:cs="Calibri"/>
          <w:lang w:val="de-DE"/>
        </w:rPr>
        <w:t xml:space="preserve">Im Rahmen ihrer institutionellen Verantwortung trägt die Wallonische Region zu diesen beiden nationalen Plänen bei. </w:t>
      </w:r>
    </w:p>
    <w:p w:rsidR="000B433A" w:rsidRPr="005F5D9D" w:rsidRDefault="000B433A" w:rsidP="00D23B46">
      <w:pPr>
        <w:rPr>
          <w:rFonts w:cs="Calibri"/>
          <w:lang w:val="de-DE"/>
        </w:rPr>
      </w:pPr>
      <w:r>
        <w:rPr>
          <w:rFonts w:cs="Calibri"/>
          <w:lang w:val="de-DE"/>
        </w:rPr>
        <w:t>Auf regionaler Ebene werden diese beiden wallonischen Klima-/Energie- und Luftpläne jedoch zu einem LKEP zusammengeführt.</w:t>
      </w:r>
    </w:p>
    <w:p w:rsidR="000B433A" w:rsidRPr="005F5D9D" w:rsidRDefault="000B433A" w:rsidP="00D23B46">
      <w:pPr>
        <w:rPr>
          <w:rFonts w:cs="Calibri"/>
          <w:lang w:val="de-DE"/>
        </w:rPr>
      </w:pPr>
      <w:r>
        <w:rPr>
          <w:rFonts w:cs="Calibri"/>
          <w:lang w:val="de-DE"/>
        </w:rPr>
        <w:t xml:space="preserve">Diese Synergie zwischen den beiden wallonischen Plänen ist dadurch gerechtfertigt, dass Energie und Verkehr zwei hauptsächliche Ursachen für Treibhausgasemissionen und Luftschadstoffe darstellen. Diese Maßnahmen zur besseren Steuerung der Energieerzeugung und -nutzung, auch für Wärme aus dem Wohn- und Dienstleistungssektor, sowie zur Verbesserung des Verkehrs- und Mobilitätsmanagements tragen weitgehend zur Verringerung der Emissionen hauptsächlicher Luftschadstoffe bei. Die Landwirtschaft stellt ebenfalls eine gemeinsame Ursache für beide Themen dar. </w:t>
      </w:r>
    </w:p>
    <w:p w:rsidR="000B433A" w:rsidRPr="005F5D9D" w:rsidRDefault="000B433A" w:rsidP="00D23B46">
      <w:pPr>
        <w:rPr>
          <w:rFonts w:cs="Calibri"/>
          <w:lang w:val="de-DE"/>
        </w:rPr>
      </w:pPr>
      <w:r>
        <w:rPr>
          <w:rFonts w:cs="Calibri"/>
          <w:lang w:val="de-DE"/>
        </w:rPr>
        <w:t>Eine integrierte Sichtweise der Klima-, Energie- und Luftpolitik ermöglicht es auch, antagonistische oder kontraproduktive Maßnahmen zu vermeiden oder zu begrenzen.</w:t>
      </w:r>
    </w:p>
    <w:p w:rsidR="000B433A" w:rsidRPr="005F5D9D" w:rsidRDefault="000B433A" w:rsidP="00D23B46">
      <w:pPr>
        <w:rPr>
          <w:rFonts w:cs="Calibri"/>
          <w:lang w:val="de-DE"/>
        </w:rPr>
      </w:pPr>
      <w:r>
        <w:rPr>
          <w:rFonts w:cs="Calibri"/>
          <w:lang w:val="de-DE"/>
        </w:rPr>
        <w:t>Die wallonischen Verpflichtungen in Bezug auf die Luftqualität könnten ohne die Umsetzung des Klima-Energie-Plans nicht erfüllt werden, und Letzterer kann nicht ohne Berücksichtigung der Auswirkungen der Maßnahmen auf die Luftqualität ausgearbeitet werden.</w:t>
      </w:r>
    </w:p>
    <w:p w:rsidR="000B433A" w:rsidRPr="005F5D9D" w:rsidRDefault="000B433A" w:rsidP="00D23B46">
      <w:pPr>
        <w:rPr>
          <w:rFonts w:cs="Calibri"/>
          <w:lang w:val="de-DE"/>
        </w:rPr>
      </w:pPr>
      <w:r>
        <w:rPr>
          <w:rFonts w:cs="Calibri"/>
          <w:lang w:val="de-DE"/>
        </w:rPr>
        <w:t>Die Luftpolitik basiert daher weitgehend auf der Berücksichtigung von „Klima“-Maßnahmen zur Verringerung der Emissionen von Luftschadstoffen. Spezifische Maßnahmen zur Verringerung der Emissionen von Luftschadstoffen sollten daher als zusätzliche Maßnahmen zu den identifizierten Maßnahmen für Klima und Energie verstanden werden.</w:t>
      </w:r>
    </w:p>
    <w:p w:rsidR="000B433A" w:rsidRPr="00604E70" w:rsidRDefault="000B433A" w:rsidP="001A518E">
      <w:pPr>
        <w:pStyle w:val="Titre2"/>
        <w:numPr>
          <w:ilvl w:val="1"/>
          <w:numId w:val="1"/>
        </w:numPr>
        <w:ind w:left="851" w:hanging="851"/>
        <w:rPr>
          <w:rFonts w:ascii="Calibri" w:hAnsi="Calibri" w:cs="Calibri"/>
          <w:color w:val="1F497D"/>
          <w:sz w:val="28"/>
          <w:szCs w:val="28"/>
          <w:lang w:val="de-DE"/>
        </w:rPr>
      </w:pPr>
      <w:bookmarkStart w:id="4" w:name="_Toc7802419"/>
      <w:r>
        <w:rPr>
          <w:rFonts w:ascii="Calibri" w:hAnsi="Calibri" w:cs="Calibri"/>
          <w:color w:val="1F497D"/>
          <w:sz w:val="28"/>
          <w:lang w:val="de-DE"/>
        </w:rPr>
        <w:t>Entscheidungsverfahren</w:t>
      </w:r>
      <w:bookmarkEnd w:id="4"/>
    </w:p>
    <w:p w:rsidR="000B433A" w:rsidRPr="005F5D9D" w:rsidRDefault="000B433A" w:rsidP="000E05CA">
      <w:pPr>
        <w:rPr>
          <w:rFonts w:cs="Calibri"/>
          <w:lang w:val="de-DE"/>
        </w:rPr>
      </w:pPr>
      <w:r>
        <w:rPr>
          <w:rFonts w:cs="Calibri"/>
          <w:lang w:val="de-DE"/>
        </w:rPr>
        <w:t>Der LKEP 2030 zielt darauf ab, die Verpflichtungen der Wallonie im Rahmen der Annahme nationaler Pläne zu formalisieren. Die in diesem Dokument vorgeschlagene Politik und die Maßnahmen (PAM) beziehen sich hauptsächlich auf regionale Kompetenzen. Angesichts der vielfältigen Interaktionen zwischen den verschiedenen Regierungsebenen auf nationaler Ebene wird die Umsetzung einer großen Anzahl regionaler PAM jedoch nur möglich sein, wenn ergänzende Maßnahmen auf föderaler Ebene ergriffen werden.</w:t>
      </w:r>
    </w:p>
    <w:p w:rsidR="000B433A" w:rsidRPr="005F5D9D" w:rsidRDefault="000B433A" w:rsidP="000E05CA">
      <w:pPr>
        <w:rPr>
          <w:rFonts w:cs="Calibri"/>
          <w:lang w:val="de-DE"/>
        </w:rPr>
      </w:pPr>
      <w:r>
        <w:rPr>
          <w:rFonts w:cs="Calibri"/>
          <w:lang w:val="de-DE"/>
        </w:rPr>
        <w:t>Die wallonische Regierung hat gemeinsam das Ministerium für Energie und nachhaltiges Bauen der operativen Generaldirektion für Raumordnung, Wohnen, Erbe und Energie der DGO4 (https://energie.wallonie.be) und die wallonische Luft- und Klimaagentur (AwAC) (http://www.awac.be/) mit dem Entwurf des neuen LKEP 2030 beauftragt.</w:t>
      </w:r>
    </w:p>
    <w:p w:rsidR="000B433A" w:rsidRPr="005F5D9D" w:rsidRDefault="000B433A" w:rsidP="000E05CA">
      <w:pPr>
        <w:rPr>
          <w:rFonts w:cs="Calibri"/>
          <w:lang w:val="de-DE"/>
        </w:rPr>
      </w:pPr>
      <w:r>
        <w:rPr>
          <w:rFonts w:cs="Calibri"/>
          <w:lang w:val="de-DE"/>
        </w:rPr>
        <w:t xml:space="preserve">Diese beiden Verwaltungen haben einen Lenkungsausschuss (LA) eingesetzt, dessen Aufgabe es ist, die Ausarbeitung des LKEP 2030 zu koordinieren. </w:t>
      </w:r>
    </w:p>
    <w:p w:rsidR="000B433A" w:rsidRPr="005F5D9D" w:rsidRDefault="000B433A" w:rsidP="000E05CA">
      <w:pPr>
        <w:rPr>
          <w:rFonts w:cs="Calibri"/>
          <w:lang w:val="de-DE"/>
        </w:rPr>
      </w:pPr>
      <w:r>
        <w:rPr>
          <w:rFonts w:cs="Calibri"/>
          <w:lang w:val="de-DE"/>
        </w:rPr>
        <w:t>Bei der Ausarbeitung des LKEP 2030 verfügte der LA über die folgenden Elemente:</w:t>
      </w:r>
    </w:p>
    <w:p w:rsidR="000B433A" w:rsidRDefault="000B433A">
      <w:pPr>
        <w:pStyle w:val="Paragraphedeliste"/>
        <w:numPr>
          <w:ilvl w:val="0"/>
          <w:numId w:val="66"/>
        </w:numPr>
        <w:rPr>
          <w:rFonts w:cs="Calibri"/>
          <w:lang w:val="de-DE"/>
        </w:rPr>
      </w:pPr>
      <w:r>
        <w:rPr>
          <w:rFonts w:cs="Calibri"/>
          <w:lang w:val="de-DE"/>
        </w:rPr>
        <w:t>Die interne Arbeit der Abteilung für Energie und der AwAC, zu der auch Branchenexperten gehören;</w:t>
      </w:r>
    </w:p>
    <w:p w:rsidR="000B433A" w:rsidRDefault="000B433A">
      <w:pPr>
        <w:pStyle w:val="Paragraphedeliste"/>
        <w:numPr>
          <w:ilvl w:val="0"/>
          <w:numId w:val="66"/>
        </w:numPr>
        <w:rPr>
          <w:rFonts w:cs="Calibri"/>
          <w:lang w:val="de-DE"/>
        </w:rPr>
      </w:pPr>
      <w:r>
        <w:rPr>
          <w:rFonts w:cs="Calibri"/>
          <w:lang w:val="de-DE"/>
        </w:rPr>
        <w:t>Die Bildung von thematischen Arbeitsgruppen, einschließlich der sonstigen Verwaltungen (Verkehr, Industrie usw.);</w:t>
      </w:r>
    </w:p>
    <w:p w:rsidR="000B433A" w:rsidRDefault="000B433A">
      <w:pPr>
        <w:pStyle w:val="Paragraphedeliste"/>
        <w:numPr>
          <w:ilvl w:val="0"/>
          <w:numId w:val="66"/>
        </w:numPr>
        <w:rPr>
          <w:rFonts w:cs="Calibri"/>
          <w:lang w:val="de-DE"/>
        </w:rPr>
      </w:pPr>
      <w:r>
        <w:rPr>
          <w:rFonts w:cs="Calibri"/>
          <w:lang w:val="de-DE"/>
        </w:rPr>
        <w:t>Der Entwurf des wallonischen Energie- und Klima-Plans, der gemäß der am 19.07.2018 sowie am 18.12.2018 angenommenen Governance-Verordnung vorzulegen ist.</w:t>
      </w:r>
    </w:p>
    <w:p w:rsidR="000B433A" w:rsidRDefault="000B433A">
      <w:pPr>
        <w:pStyle w:val="Paragraphedeliste"/>
        <w:numPr>
          <w:ilvl w:val="0"/>
          <w:numId w:val="66"/>
        </w:numPr>
        <w:rPr>
          <w:rFonts w:cs="Calibri"/>
          <w:lang w:val="de-DE"/>
        </w:rPr>
      </w:pPr>
      <w:r>
        <w:rPr>
          <w:rFonts w:cs="Calibri"/>
          <w:lang w:val="de-DE"/>
        </w:rPr>
        <w:t>Die Arbeit des durch die Klimaverordnung eingerichteten Expertenausschusses (</w:t>
      </w:r>
      <w:hyperlink r:id="rId7" w:history="1">
        <w:r>
          <w:rPr>
            <w:rStyle w:val="Lienhypertexte"/>
            <w:rFonts w:cs="Calibri"/>
            <w:lang w:val="de-DE"/>
          </w:rPr>
          <w:t>http://awac.be/index.php/l-agence/news/item/197-decret-climat-avis-comite-d-experts</w:t>
        </w:r>
      </w:hyperlink>
      <w:r>
        <w:rPr>
          <w:rFonts w:cs="Calibri"/>
          <w:lang w:val="de-DE"/>
        </w:rPr>
        <w:t>).</w:t>
      </w:r>
    </w:p>
    <w:p w:rsidR="000B433A" w:rsidRPr="00604E70" w:rsidRDefault="000B433A" w:rsidP="000E05CA">
      <w:pPr>
        <w:rPr>
          <w:rFonts w:cs="Calibri"/>
          <w:b/>
          <w:color w:val="4F81BD"/>
          <w:lang w:val="de-DE"/>
        </w:rPr>
      </w:pPr>
      <w:r>
        <w:rPr>
          <w:rFonts w:cs="Calibri"/>
          <w:b/>
          <w:color w:val="4F81BD"/>
          <w:lang w:val="de-DE"/>
        </w:rPr>
        <w:t>1. Konsultation</w:t>
      </w:r>
    </w:p>
    <w:p w:rsidR="000B433A" w:rsidRPr="005F5D9D" w:rsidRDefault="000B433A" w:rsidP="000E05CA">
      <w:pPr>
        <w:rPr>
          <w:rFonts w:cs="Calibri"/>
          <w:lang w:val="de-DE"/>
        </w:rPr>
      </w:pPr>
      <w:r>
        <w:rPr>
          <w:rFonts w:cs="Calibri"/>
          <w:lang w:val="de-DE"/>
        </w:rPr>
        <w:t xml:space="preserve">Im Rahmen der Vorbereitung des LKEP 2030 fand vom 13. März 2017 bis 21. April 2017 eine erste Phase der schriftlichen Konsultation statt, die darauf abzielte, auf Grundlage einer Bestandsaufnahme existierender Politiken Reaktionen hervorzurufen und es den verschiedenen Parteien zu ermöglichen, den zuständigen wallonischen Behörden ihre Vorstellungen über die aktuelle wallonische Energie- und Klimapolitik und darüber, wie sich das Energiesystem ihrer Meinung nach bis 2030 entwickeln sollte, vorzulegen. Diese Beiträge wurden analysiert und ermöglichten es, einige Möglichkeiten zur Verbesserung bestehender und neuer Maßnahmen zu identifizieren. </w:t>
      </w:r>
    </w:p>
    <w:p w:rsidR="000B433A" w:rsidRPr="005F5D9D" w:rsidRDefault="000B433A" w:rsidP="000E05CA">
      <w:pPr>
        <w:rPr>
          <w:rFonts w:cs="Calibri"/>
          <w:lang w:val="de-DE"/>
        </w:rPr>
      </w:pPr>
      <w:r>
        <w:rPr>
          <w:rFonts w:cs="Calibri"/>
          <w:lang w:val="de-DE"/>
        </w:rPr>
        <w:t xml:space="preserve">Die vorgelegten Dokumente sollten einen Überblick über die verschiedenen Instrumente und Hebel im Rahmen der Energie- und Klimapolitik in der Wallonie geben. Ausgehend von der Feststellung, dass die bereits bestehenden Politiken und Maßnahmen es nicht ermöglichten, die europäischen Ziele zu erreichen, bildeten sie eine Grundlage für Überlegungen über die laufenden Maßnahmen und die Wege, die es einzuschlagen gilt, um das Ziel zu erreichen, die Treibhausgasemissionen in Belgien und der Wallonie bis 2030 um 35 % zu senken. Die Interessengruppen wurden gebeten, einen Fragebogen nach Themen zu beantworten. </w:t>
      </w:r>
    </w:p>
    <w:p w:rsidR="000B433A" w:rsidRPr="00604E70" w:rsidRDefault="000B433A" w:rsidP="000E05CA">
      <w:pPr>
        <w:rPr>
          <w:rFonts w:cs="Calibri"/>
          <w:b/>
          <w:color w:val="4F81BD"/>
          <w:lang w:val="de-DE"/>
        </w:rPr>
      </w:pPr>
      <w:r>
        <w:rPr>
          <w:rFonts w:cs="Calibri"/>
          <w:b/>
          <w:color w:val="4F81BD"/>
          <w:lang w:val="de-DE"/>
        </w:rPr>
        <w:t>2. Konsultation</w:t>
      </w:r>
    </w:p>
    <w:p w:rsidR="000B433A" w:rsidRPr="005F5D9D" w:rsidRDefault="000B433A" w:rsidP="000E05CA">
      <w:pPr>
        <w:rPr>
          <w:rFonts w:cs="Calibri"/>
          <w:lang w:val="de-DE"/>
        </w:rPr>
      </w:pPr>
      <w:r>
        <w:rPr>
          <w:rFonts w:cs="Calibri"/>
          <w:lang w:val="de-DE"/>
        </w:rPr>
        <w:t>Eine zweite Phase der Konsultation fand vom 19. Februar bis 19. März 2018 statt, die sich auf die Klimapolitik und die Luftqualität konzentrierte. Die schriftliche Konsultation ermöglichte es den Interessengruppen, sich zu den Vorschlägen der Verwaltung zu äußern. Auf einer Begleitveranstaltung (22. und 23. Februar) stellten die Verwaltungen Maßnahmen vor, um diese mit den Sozial- und Wirtschaftspartnern in einer konstruktiven Atmosphäre zu erörtern, bevor die Regierung einen neuen LKEP 2030 verabschiedete.</w:t>
      </w:r>
    </w:p>
    <w:p w:rsidR="000B433A" w:rsidRPr="005F5D9D" w:rsidRDefault="000B433A" w:rsidP="000E05CA">
      <w:pPr>
        <w:rPr>
          <w:rFonts w:cs="Calibri"/>
          <w:lang w:val="de-DE"/>
        </w:rPr>
      </w:pPr>
      <w:r>
        <w:rPr>
          <w:rFonts w:cs="Calibri"/>
          <w:lang w:val="de-DE"/>
        </w:rPr>
        <w:t>Ein Schwerpunkt lag auf der Vorlage von Vorschlägen für neue Maßnahmen, die zwischen 2020 und 2030 umgesetzt werden sollen (nicht alle bestehenden Maßnahmen wurden berücksichtigt).</w:t>
      </w:r>
    </w:p>
    <w:p w:rsidR="000B433A" w:rsidRPr="005F5D9D" w:rsidRDefault="000B433A" w:rsidP="000E05CA">
      <w:pPr>
        <w:rPr>
          <w:rFonts w:cs="Calibri"/>
          <w:lang w:val="de-DE"/>
        </w:rPr>
      </w:pPr>
      <w:r>
        <w:rPr>
          <w:rFonts w:cs="Calibri"/>
          <w:lang w:val="de-DE"/>
        </w:rPr>
        <w:t>Die Hauptthemen, die im Rahmen dieser Konsultationen behandelt werden, beziehen sich auf die Nicht-EHS-Ziele für erneuerbare Energien und die Verringerung der Luftschadstoffe, wie sie in den jeweiligen europäischen Bestimmungen festgelegt sind.</w:t>
      </w:r>
    </w:p>
    <w:p w:rsidR="000B433A" w:rsidRPr="00604E70" w:rsidRDefault="000B433A" w:rsidP="000E05CA">
      <w:pPr>
        <w:rPr>
          <w:rFonts w:cs="Calibri"/>
          <w:b/>
          <w:color w:val="4F81BD"/>
          <w:lang w:val="de-DE"/>
        </w:rPr>
      </w:pPr>
      <w:r>
        <w:rPr>
          <w:rFonts w:cs="Calibri"/>
          <w:b/>
          <w:color w:val="4F81BD"/>
          <w:lang w:val="de-DE"/>
        </w:rPr>
        <w:t xml:space="preserve">Öffentliche Untersuchung </w:t>
      </w:r>
    </w:p>
    <w:p w:rsidR="000B433A" w:rsidRPr="005F5D9D" w:rsidRDefault="000B433A" w:rsidP="000E05CA">
      <w:pPr>
        <w:rPr>
          <w:rFonts w:cs="Calibri"/>
          <w:lang w:val="de-DE"/>
        </w:rPr>
      </w:pPr>
      <w:r>
        <w:rPr>
          <w:rFonts w:cs="Calibri"/>
          <w:lang w:val="de-DE"/>
        </w:rPr>
        <w:t>Am Ende der Konsultationsphasen wird die wallonische Regierung über den Entwurf eines LKEP 2030 entscheiden müssen. Gemäß Artikel D.29-1, Buch I, des Umweltgesetzbuches, wird die Wallonie das Projekt LKEP 2030 und die damit verbundenen Dokumente einer öffentlichen Untersuchung unterziehen.</w:t>
      </w:r>
    </w:p>
    <w:p w:rsidR="000B433A" w:rsidRPr="005F5D9D" w:rsidRDefault="000B433A" w:rsidP="000E05CA">
      <w:pPr>
        <w:rPr>
          <w:rFonts w:cs="Calibri"/>
          <w:lang w:val="de-DE"/>
        </w:rPr>
      </w:pPr>
      <w:r>
        <w:rPr>
          <w:rFonts w:cs="Calibri"/>
          <w:lang w:val="de-DE"/>
        </w:rPr>
        <w:t>Zu Ende der öffentlichen Untersuchung wird die Regierung eine zweite Version des LKEP überprüfen müssen, die die Ergebnisse der Untersuchung berücksichtigt. Diese korrigierten Elemente werden selbst im Nationalen Energie-Klima-Plan (NEKP 2030) und im Belgischen Luft-Plan (National Air Pollution Control Programm (NAPCP) geändert, der durch die Richtlinie 2018/2284 vom 14. Dezember 2016 zur Verringerung bestimmter Luftschadstoffe, die so genannte NEC-Richtlinie (National Emission Ceilings), vorgesehen ist.</w:t>
      </w:r>
    </w:p>
    <w:p w:rsidR="000B433A" w:rsidRPr="00604E70" w:rsidRDefault="000B433A" w:rsidP="000E05CA">
      <w:pPr>
        <w:rPr>
          <w:rFonts w:cs="Calibri"/>
          <w:color w:val="4F81BD"/>
          <w:lang w:val="de-DE"/>
        </w:rPr>
      </w:pPr>
      <w:r>
        <w:rPr>
          <w:rFonts w:cs="Calibri"/>
          <w:b/>
          <w:color w:val="4F81BD"/>
          <w:lang w:val="de-DE"/>
        </w:rPr>
        <w:t>Überwachung des LKEP</w:t>
      </w:r>
    </w:p>
    <w:p w:rsidR="000B433A" w:rsidRPr="00D07F58" w:rsidRDefault="000B433A" w:rsidP="00D92E73">
      <w:pPr>
        <w:rPr>
          <w:lang w:val="de-DE"/>
        </w:rPr>
      </w:pPr>
      <w:r w:rsidRPr="00D07F58">
        <w:rPr>
          <w:lang w:val="de-DE"/>
        </w:rPr>
        <w:t xml:space="preserve">Gemäß Artikel 17 der Klimaverordnung legt die AwAC der Regierung bis zum 30. Juni jeden Jahres einen Überwachungsbericht über ihre Umsetzung vor. </w:t>
      </w:r>
    </w:p>
    <w:p w:rsidR="000B433A" w:rsidRPr="00D07F58" w:rsidRDefault="000B433A" w:rsidP="00D92E73">
      <w:pPr>
        <w:rPr>
          <w:lang w:val="de-DE"/>
        </w:rPr>
      </w:pPr>
      <w:r w:rsidRPr="00D07F58">
        <w:rPr>
          <w:lang w:val="de-DE"/>
        </w:rPr>
        <w:t>Der Überwachungsbericht besteht aus drei Komponenten:</w:t>
      </w:r>
    </w:p>
    <w:p w:rsidR="000B433A" w:rsidRPr="00D07F58" w:rsidRDefault="000B433A">
      <w:pPr>
        <w:pStyle w:val="Paragraphedeliste"/>
        <w:numPr>
          <w:ilvl w:val="0"/>
          <w:numId w:val="58"/>
        </w:numPr>
        <w:rPr>
          <w:lang w:val="de-DE"/>
        </w:rPr>
      </w:pPr>
      <w:r>
        <w:rPr>
          <w:lang w:val="de-DE"/>
        </w:rPr>
        <w:t>ein Überwachungsbericht über die Umsetzung der Maßnahmen des Luft-Klima-Energie-Plans;</w:t>
      </w:r>
    </w:p>
    <w:p w:rsidR="000B433A" w:rsidRPr="00D07F58" w:rsidRDefault="000B433A">
      <w:pPr>
        <w:pStyle w:val="Paragraphedeliste"/>
        <w:numPr>
          <w:ilvl w:val="0"/>
          <w:numId w:val="58"/>
        </w:numPr>
        <w:rPr>
          <w:lang w:val="de-DE"/>
        </w:rPr>
      </w:pPr>
      <w:r>
        <w:rPr>
          <w:lang w:val="de-DE"/>
        </w:rPr>
        <w:t xml:space="preserve">ein Bericht über die Netto-Treibhausgasemissionen des Jahres vor dem letzten Jahr; </w:t>
      </w:r>
    </w:p>
    <w:p w:rsidR="000B433A" w:rsidRDefault="000B433A">
      <w:pPr>
        <w:pStyle w:val="Paragraphedeliste"/>
        <w:numPr>
          <w:ilvl w:val="0"/>
          <w:numId w:val="58"/>
        </w:numPr>
        <w:rPr>
          <w:rFonts w:ascii="Trebuchet MS" w:hAnsi="Trebuchet MS"/>
          <w:bCs/>
          <w:sz w:val="22"/>
          <w:lang w:val="de-DE"/>
        </w:rPr>
      </w:pPr>
      <w:r>
        <w:rPr>
          <w:lang w:val="de-DE"/>
        </w:rPr>
        <w:t>eine Stellungnahme, in der die Agentur in Tonnen CO</w:t>
      </w:r>
      <w:r w:rsidRPr="00D92E73">
        <w:rPr>
          <w:vertAlign w:val="subscript"/>
          <w:lang w:val="de-DE"/>
        </w:rPr>
        <w:t>2</w:t>
      </w:r>
      <w:r>
        <w:rPr>
          <w:lang w:val="de-DE"/>
        </w:rPr>
        <w:t xml:space="preserve">-Äquivalent die mögliche Abweichung der Treibhausgasemissionen vom jährlichen Gesamtemissionsbudget und den jährlichen Teilemissionsbudgets festlegt. </w:t>
      </w:r>
    </w:p>
    <w:p w:rsidR="000B433A" w:rsidRPr="00604E70" w:rsidRDefault="000B433A" w:rsidP="001A518E">
      <w:pPr>
        <w:pStyle w:val="Titre2"/>
        <w:numPr>
          <w:ilvl w:val="1"/>
          <w:numId w:val="1"/>
        </w:numPr>
        <w:ind w:left="851" w:hanging="851"/>
        <w:rPr>
          <w:rFonts w:ascii="Calibri" w:hAnsi="Calibri" w:cs="Calibri"/>
          <w:color w:val="1F497D"/>
          <w:sz w:val="28"/>
          <w:szCs w:val="28"/>
          <w:lang w:val="de-DE"/>
        </w:rPr>
      </w:pPr>
      <w:bookmarkStart w:id="5" w:name="_Toc7802420"/>
      <w:r>
        <w:rPr>
          <w:rFonts w:ascii="Calibri" w:hAnsi="Calibri" w:cs="Calibri"/>
          <w:color w:val="1F497D"/>
          <w:sz w:val="28"/>
          <w:lang w:val="de-DE"/>
        </w:rPr>
        <w:t>Zonen</w:t>
      </w:r>
      <w:bookmarkEnd w:id="5"/>
    </w:p>
    <w:p w:rsidR="000B433A" w:rsidRPr="00250B8C" w:rsidRDefault="000B433A" w:rsidP="00250B8C">
      <w:pPr>
        <w:pStyle w:val="Titre3"/>
      </w:pPr>
      <w:r>
        <w:rPr>
          <w:lang w:val="de-DE"/>
        </w:rPr>
        <w:t>Energie und Klima</w:t>
      </w:r>
    </w:p>
    <w:p w:rsidR="000B433A" w:rsidRPr="005F5D9D" w:rsidRDefault="000B433A" w:rsidP="00156DEE">
      <w:pPr>
        <w:rPr>
          <w:rFonts w:cs="Calibri"/>
          <w:lang w:val="de-DE"/>
        </w:rPr>
      </w:pPr>
      <w:r>
        <w:rPr>
          <w:rFonts w:cs="Calibri"/>
          <w:lang w:val="de-DE"/>
        </w:rPr>
        <w:t>Die Wallonie oder Wallonische Region ist eine föderierte Region mit gesetzgebender Gewalt, mit eigenen Organen und Kompetenzen innerhalb des belgischen Bundesstaates.</w:t>
      </w:r>
    </w:p>
    <w:p w:rsidR="000B433A" w:rsidRPr="005F5D9D" w:rsidRDefault="000B433A" w:rsidP="00156DEE">
      <w:pPr>
        <w:rPr>
          <w:rFonts w:cs="Calibri"/>
          <w:lang w:val="de-DE"/>
        </w:rPr>
      </w:pPr>
      <w:r>
        <w:rPr>
          <w:rFonts w:cs="Calibri"/>
          <w:lang w:val="de-DE"/>
        </w:rPr>
        <w:t>Im Energiebereich ist die Wallonie in ihrem Hoheitsgebiet vor allem für die Verteilung und den lokalen Stromtransport, die öffentliche Gasverteilung, die Wärmeverteilungsnetze, die neuen erneuerbaren Energiequellen (mit Ausnahme derjenigen, die sich auf die Kernenergie beziehen) und die rationelle Energienutzung (REN) zuständig. Der Föderalstaat bleibt für Angelegenheiten zuständig, deren technische und wirtschaftliche Unteilbarkeit eine einheitliche Umsetzung auf nationaler Ebene erfordert, wie z. B. den nationalen Ausrüstungsplan für den Stromsektor, den Verkehr und die Energieerzeugung, die Tarife oder Produktstandards.</w:t>
      </w:r>
    </w:p>
    <w:p w:rsidR="000B433A" w:rsidRPr="005F5D9D" w:rsidRDefault="000B433A" w:rsidP="00156DEE">
      <w:pPr>
        <w:rPr>
          <w:rFonts w:cs="Calibri"/>
          <w:lang w:val="de-DE"/>
        </w:rPr>
      </w:pPr>
      <w:r>
        <w:rPr>
          <w:rFonts w:cs="Calibri"/>
          <w:lang w:val="de-DE"/>
        </w:rPr>
        <w:t xml:space="preserve">Im Bereich Verkehr und Mobilität ist die Wallonie für die Straßen- und Flussinfrastruktur, die Straßenverkehrssicherheit und die Mobilität zuständig. Für den Schienenverkehr ist der Föderalstaat zuständig. </w:t>
      </w:r>
    </w:p>
    <w:p w:rsidR="000B433A" w:rsidRPr="005F5D9D" w:rsidRDefault="000B433A" w:rsidP="00156DEE">
      <w:pPr>
        <w:rPr>
          <w:rFonts w:cs="Calibri"/>
          <w:lang w:val="de-DE"/>
        </w:rPr>
      </w:pPr>
      <w:r>
        <w:rPr>
          <w:rFonts w:cs="Calibri"/>
          <w:lang w:val="de-DE"/>
        </w:rPr>
        <w:t>Das Thema Klimaänderungen ist übergreifend und geht über Energie oder Umwelt im engeren Sinne hinaus. Es ist in die Bereiche Verkehr, Steuern, Energie, Landwirtschaft und andere Politiken integriert. Dies führt zu miteinander verflochtenen Kompetenzen zwischen den verschiedenen Machtebenen, sowohl innerwallonisch als auch national. Diese komplexe Verteilung erfordert daher eine enge Abstimmung zwischen den verschiedenen zuständigen Behörden.</w:t>
      </w:r>
    </w:p>
    <w:p w:rsidR="000B433A" w:rsidRPr="005F5D9D" w:rsidRDefault="000B433A" w:rsidP="004B5297">
      <w:pPr>
        <w:rPr>
          <w:rFonts w:cs="Calibri"/>
          <w:lang w:val="de-DE"/>
        </w:rPr>
      </w:pPr>
      <w:r>
        <w:rPr>
          <w:rFonts w:cs="Calibri"/>
          <w:lang w:val="de-DE"/>
        </w:rPr>
        <w:t>Der LKEP 2030 zielt darauf ab, die Verpflichtungen der Wallonie im Rahmen der Annahme eines nationalen Plans zu formalisieren. Die in diesem Dokument vorgeschlagene Politik und die Maßnahmen (PAM) beziehen sich hauptsächlich auf regionale Kompetenzen. Angesichts der vielfältigen Interaktionen zwischen den verschiedenen Regierungsebenen auf nationaler Ebene, muss die Umsetzung einer großen Anzahl regionaler MAP jedoch Gegenstand der Zusammenarbeit mit anderen Stellen des Landes, einschließlich des Föderalstaates, sein.</w:t>
      </w:r>
    </w:p>
    <w:p w:rsidR="000B433A" w:rsidRPr="00D07F58" w:rsidRDefault="000B433A" w:rsidP="00250B8C">
      <w:pPr>
        <w:pStyle w:val="Titre3"/>
        <w:rPr>
          <w:lang w:val="de-DE"/>
        </w:rPr>
      </w:pPr>
      <w:r>
        <w:rPr>
          <w:lang w:val="de-DE"/>
        </w:rPr>
        <w:t>Luftqualität</w:t>
      </w:r>
    </w:p>
    <w:p w:rsidR="000B433A" w:rsidRPr="005F5D9D" w:rsidRDefault="000B433A" w:rsidP="008C4DCC">
      <w:pPr>
        <w:rPr>
          <w:rFonts w:cs="Calibri"/>
          <w:lang w:val="de-DE"/>
        </w:rPr>
      </w:pPr>
      <w:r>
        <w:rPr>
          <w:rFonts w:cs="Calibri"/>
          <w:lang w:val="de-DE"/>
        </w:rPr>
        <w:t xml:space="preserve">Luftverschmutzung ist die häufigste Umweltursache für vorzeitigen Tod in Europa. In Belgien wird die Anzahl an Todesfällen auf etwa 10.000 </w:t>
      </w:r>
      <w:r>
        <w:rPr>
          <w:rStyle w:val="Appelnotedebasdep"/>
          <w:rFonts w:cs="Calibri"/>
          <w:lang w:val="de-DE"/>
        </w:rPr>
        <w:footnoteReference w:id="2"/>
      </w:r>
      <w:r>
        <w:rPr>
          <w:rFonts w:cs="Calibri"/>
          <w:lang w:val="de-DE"/>
        </w:rPr>
        <w:t>pro Jahr geschätzt, hauptsächlich durch Atemwegs- und Herz-Kreislauf-Erkrankungen. Insbesondere die längere Exposition gegenüber Partikeln, NO</w:t>
      </w:r>
      <w:r w:rsidRPr="003514A5">
        <w:rPr>
          <w:rFonts w:cs="Calibri"/>
          <w:vertAlign w:val="subscript"/>
          <w:lang w:val="de-DE"/>
        </w:rPr>
        <w:t>2</w:t>
      </w:r>
      <w:r>
        <w:rPr>
          <w:rFonts w:cs="Calibri"/>
          <w:lang w:val="de-DE"/>
        </w:rPr>
        <w:t xml:space="preserve"> und Ozon belastet die Organismen stark und trägt zum vorzeitigen Tod bei. </w:t>
      </w:r>
    </w:p>
    <w:p w:rsidR="000B433A" w:rsidRPr="005F5D9D" w:rsidRDefault="000B433A" w:rsidP="008C4DCC">
      <w:pPr>
        <w:rPr>
          <w:rFonts w:cs="Calibri"/>
          <w:lang w:val="de-DE"/>
        </w:rPr>
      </w:pPr>
      <w:r>
        <w:rPr>
          <w:rFonts w:cs="Calibri"/>
          <w:lang w:val="de-DE"/>
        </w:rPr>
        <w:t>Schadstoffe wirken sich auch auf die Ökosysteme aus: Durch Eutrophierung (überschüssiger Stickstoff) und Versauerung (die im Gegensatz zu Belgien in den skandinavischen Ländern weiterhin ein Problem darstellt) tragen sie insbesondere zum Verlust der biologischen Vielfalt bei. Troposphärisches Ozon beeinflusst das Laub von Pflanzen und begrenzt das Wachstum von Pflanzen und Getreide.</w:t>
      </w:r>
    </w:p>
    <w:p w:rsidR="000B433A" w:rsidRDefault="000B433A" w:rsidP="004B5297">
      <w:pPr>
        <w:rPr>
          <w:rFonts w:cs="Calibri"/>
          <w:lang w:val="de-DE"/>
        </w:rPr>
      </w:pPr>
      <w:r>
        <w:rPr>
          <w:rFonts w:cs="Calibri"/>
          <w:lang w:val="de-DE"/>
        </w:rPr>
        <w:t xml:space="preserve">Im Gegensatz zur seit langer Zeit vorherrschenden Meinung ist dies nicht nur ein lokales Phänomen. Viele Luftschadstoffe legen unterschiedliche Entfernungen zurück und können erhebliche Auswirkungen auf Gebiete mit weniger Schadstoffquellen haben, wie beispielsweise ländliche Gebiete. Luftschadstoffe, die in den Nachbarländern und auch über größere Entfernungen ausgeschieden werden, beeinflussen auch unsere Luftqualität, und umgekehrt beeinflussen die Schadstoffe der Wallonischen Region die Luftqualität in den Nachbarregionen. </w:t>
      </w:r>
    </w:p>
    <w:p w:rsidR="000B433A" w:rsidRPr="005F5D9D" w:rsidRDefault="000B433A" w:rsidP="004B5297">
      <w:pPr>
        <w:rPr>
          <w:rFonts w:cs="Calibri"/>
          <w:lang w:val="de-DE"/>
        </w:rPr>
      </w:pPr>
      <w:r>
        <w:rPr>
          <w:rFonts w:cs="Calibri"/>
          <w:lang w:val="de-DE"/>
        </w:rPr>
        <w:t>Dies sind die Parameter: Schutz der Gesundheit und der Ökosysteme und grenzüberschreitender Charakter der Luftverschmutzung, die die Definition der Ziele der oben genannten Richtlinie NEC 2016/2284 bestimmt haben.</w:t>
      </w:r>
    </w:p>
    <w:p w:rsidR="000B433A" w:rsidRPr="005F5D9D" w:rsidRDefault="000B433A" w:rsidP="004B5297">
      <w:pPr>
        <w:rPr>
          <w:rFonts w:cs="Calibri"/>
          <w:lang w:val="de-DE"/>
        </w:rPr>
      </w:pPr>
      <w:r>
        <w:rPr>
          <w:rFonts w:cs="Calibri"/>
          <w:lang w:val="de-DE"/>
        </w:rPr>
        <w:t xml:space="preserve">Diese legt differenzierte Reduktionsziele für fünf Luftschadstoffe pro EU-Mitgliedstaat und pro Schadstoff fest, um die vorzeitige Mortalität um etwa 50 % zu senken und die Ökosysteme bis 2030 besser vor Eutrophierung, Versauerung und Ozoneinwirkung zu schützen, und zwar auf die kostengünstigste Weise in allen EU-Ländern. </w:t>
      </w:r>
    </w:p>
    <w:p w:rsidR="000B433A" w:rsidRPr="005F5D9D" w:rsidRDefault="000B433A" w:rsidP="004B5297">
      <w:pPr>
        <w:rPr>
          <w:rFonts w:cs="Calibri"/>
          <w:szCs w:val="24"/>
          <w:lang w:val="de-DE"/>
        </w:rPr>
      </w:pPr>
      <w:r>
        <w:rPr>
          <w:rFonts w:cs="Calibri"/>
          <w:lang w:val="de-DE"/>
        </w:rPr>
        <w:t>Die integrierte Vision des LKEP 2030 befasst sich mit diesen Zielen, indem sie die Gesundheits- und Umweltwechselwirkungen zwischen Klimawandel und Luftverschmutzung berücksichtigt:</w:t>
      </w:r>
    </w:p>
    <w:p w:rsidR="000B433A" w:rsidRDefault="000B433A">
      <w:pPr>
        <w:pStyle w:val="Paragraphedeliste"/>
        <w:numPr>
          <w:ilvl w:val="0"/>
          <w:numId w:val="14"/>
        </w:numPr>
        <w:rPr>
          <w:rFonts w:cs="Calibri"/>
          <w:lang w:val="de-DE"/>
        </w:rPr>
      </w:pPr>
      <w:r>
        <w:rPr>
          <w:rFonts w:cs="Calibri"/>
          <w:lang w:val="de-DE"/>
        </w:rPr>
        <w:t>Die Wechselwirkungen zwischen Ozon, Stickstoff, Klima und Biodiversität sind komplex und vielfältig: So kann beispielsweise ein klimabedingter Anstieg der Ozonkonzentration die durch die Anwendung der aktuellen Gesetze erreichte Reduzierung der Emissionen ausgleichen und Reaktionen der Ökosysteme auslösen, die die Ozonkonzentration weiter erhöhen können. Infolgedessen müssen die Emissionen von Ozonvorläufern (NOx und VOCs, einschließlich Methan) weiter reduziert werden;</w:t>
      </w:r>
    </w:p>
    <w:p w:rsidR="000B433A" w:rsidRDefault="000B433A">
      <w:pPr>
        <w:pStyle w:val="Paragraphedeliste"/>
        <w:numPr>
          <w:ilvl w:val="0"/>
          <w:numId w:val="14"/>
        </w:numPr>
        <w:rPr>
          <w:rFonts w:cs="Calibri"/>
          <w:lang w:val="de-DE"/>
        </w:rPr>
      </w:pPr>
      <w:r>
        <w:rPr>
          <w:rFonts w:cs="Calibri"/>
          <w:lang w:val="de-DE"/>
        </w:rPr>
        <w:t>Methan (CH</w:t>
      </w:r>
      <w:r w:rsidRPr="005F5D9D">
        <w:rPr>
          <w:rFonts w:cs="Calibri"/>
          <w:vertAlign w:val="subscript"/>
          <w:lang w:val="de-DE"/>
        </w:rPr>
        <w:t>4</w:t>
      </w:r>
      <w:r>
        <w:rPr>
          <w:rFonts w:cs="Calibri"/>
          <w:lang w:val="de-DE"/>
        </w:rPr>
        <w:t>) ist eine flüchtige organische Verbindung (VOC) und als solche ein Ozonvorläufer und ein Treibhausgas. Die Methanemissionen auf der gesamten Nordhalbkugel haben einen erheblichen Einfluss auf die Hintergrundkonzentrationen von Ozon in unseren Regionen. Die Verringerung der Emissionen dieses Treibhausgases (THG) (sowohl regional als auch global) ermöglicht es daher, sowohl den Klimawandel als auch das Luftverschmutzungsproblem zu bekämpfen, das die Gesundheit ernsthaft beeinträchtigt;</w:t>
      </w:r>
    </w:p>
    <w:p w:rsidR="000B433A" w:rsidRDefault="000B433A">
      <w:pPr>
        <w:pStyle w:val="Paragraphedeliste"/>
        <w:numPr>
          <w:ilvl w:val="0"/>
          <w:numId w:val="14"/>
        </w:numPr>
        <w:rPr>
          <w:rFonts w:cs="Calibri"/>
          <w:lang w:val="de-DE"/>
        </w:rPr>
      </w:pPr>
      <w:r>
        <w:rPr>
          <w:rFonts w:cs="Calibri"/>
          <w:lang w:val="de-DE"/>
        </w:rPr>
        <w:t>Die Destabilisierung des Stickstoffkreislaufs, der erhebliche Auswirkungen auf die Ökosysteme hat, erfordert Maßnahmen in den Bereichen Landwirtschaft (NH</w:t>
      </w:r>
      <w:r w:rsidRPr="009D2AC7">
        <w:rPr>
          <w:rFonts w:cs="Calibri"/>
          <w:vertAlign w:val="subscript"/>
          <w:lang w:val="de-DE"/>
        </w:rPr>
        <w:t>3</w:t>
      </w:r>
      <w:r>
        <w:rPr>
          <w:rFonts w:cs="Calibri"/>
          <w:lang w:val="de-DE"/>
        </w:rPr>
        <w:t xml:space="preserve"> et N</w:t>
      </w:r>
      <w:r w:rsidRPr="009D2AC7">
        <w:rPr>
          <w:rFonts w:cs="Calibri"/>
          <w:vertAlign w:val="subscript"/>
          <w:lang w:val="de-DE"/>
        </w:rPr>
        <w:t>2</w:t>
      </w:r>
      <w:r>
        <w:rPr>
          <w:rFonts w:cs="Calibri"/>
          <w:lang w:val="de-DE"/>
        </w:rPr>
        <w:t>O) sowie Verkehr, Energie, Industrie und Haushalte (NOx). Ammoniak (NH3) ist ein wichtiger Vorläufer von Sekundärpartikeln (PM</w:t>
      </w:r>
      <w:r w:rsidRPr="009D2AC7">
        <w:rPr>
          <w:rFonts w:cs="Calibri"/>
          <w:vertAlign w:val="subscript"/>
          <w:lang w:val="de-DE"/>
        </w:rPr>
        <w:t>2</w:t>
      </w:r>
      <w:proofErr w:type="gramStart"/>
      <w:r w:rsidRPr="009D2AC7">
        <w:rPr>
          <w:rFonts w:cs="Calibri"/>
          <w:vertAlign w:val="subscript"/>
          <w:lang w:val="de-DE"/>
        </w:rPr>
        <w:t>,5</w:t>
      </w:r>
      <w:proofErr w:type="gramEnd"/>
      <w:r>
        <w:rPr>
          <w:rFonts w:cs="Calibri"/>
          <w:lang w:val="de-DE"/>
        </w:rPr>
        <w:t>). Handlungen im Agrarsektor sind der effektivste Weg, um reaktive Stickstoffemissionen zu reduzieren. Dennoch müssen wir vorsichtig sein mit den antagonistischen Auswirkungen von Maßnahmen zur Ammoniakreduzierung auf die Emissionen von N2O, das ein Treibhausgas ist;</w:t>
      </w:r>
    </w:p>
    <w:p w:rsidR="000B433A" w:rsidRDefault="000B433A">
      <w:pPr>
        <w:pStyle w:val="Paragraphedeliste"/>
        <w:numPr>
          <w:ilvl w:val="0"/>
          <w:numId w:val="14"/>
        </w:numPr>
        <w:rPr>
          <w:rFonts w:cs="Calibri"/>
          <w:lang w:val="de-DE"/>
        </w:rPr>
      </w:pPr>
      <w:r>
        <w:rPr>
          <w:rFonts w:cs="Calibri"/>
          <w:lang w:val="de-DE"/>
        </w:rPr>
        <w:t>Der Kampf gegen den Klimawandel erfordert eine verstärkte Nutzung erneuerbarer Energien. Die Biomasseverbrennung, die einen vorteilhaften CO2-Fußabdruck aufweist, ist jedoch eine wichtige Quelle für PM2</w:t>
      </w:r>
      <w:proofErr w:type="gramStart"/>
      <w:r>
        <w:rPr>
          <w:rFonts w:cs="Calibri"/>
          <w:lang w:val="de-DE"/>
        </w:rPr>
        <w:t>,5</w:t>
      </w:r>
      <w:proofErr w:type="gramEnd"/>
      <w:r>
        <w:rPr>
          <w:rFonts w:cs="Calibri"/>
          <w:lang w:val="de-DE"/>
        </w:rPr>
        <w:t xml:space="preserve"> und Schwarzen Kohlenstoff (BC).  Diese beiden Schadstoffe sind extrem gesundheitsschädlich und BC ist auch ein kurzlebiger Klimafaktor (und hat daher negative Auswirkungen auf das Klima). Daher ist es notwendig, Biomasse mit einem fairen Gleichgewicht zu betrachten.</w:t>
      </w:r>
    </w:p>
    <w:p w:rsidR="000B433A" w:rsidRPr="005F5D9D" w:rsidRDefault="000B433A" w:rsidP="00853C08">
      <w:pPr>
        <w:spacing w:after="200"/>
        <w:jc w:val="left"/>
        <w:rPr>
          <w:rFonts w:cs="Calibri"/>
          <w:lang w:val="de-DE"/>
        </w:rPr>
      </w:pPr>
      <w:r w:rsidRPr="005F5D9D">
        <w:rPr>
          <w:rFonts w:cs="Calibri"/>
          <w:lang w:val="de-DE"/>
        </w:rPr>
        <w:br w:type="page"/>
      </w:r>
    </w:p>
    <w:p w:rsidR="000B433A" w:rsidRPr="00C73602" w:rsidRDefault="000B433A" w:rsidP="001A518E">
      <w:pPr>
        <w:pStyle w:val="Titre1"/>
        <w:numPr>
          <w:ilvl w:val="0"/>
          <w:numId w:val="1"/>
        </w:numPr>
        <w:ind w:left="851" w:hanging="851"/>
        <w:rPr>
          <w:rFonts w:ascii="Calibri" w:hAnsi="Calibri" w:cs="Calibri"/>
          <w:smallCaps/>
          <w:color w:val="1F497D"/>
          <w:sz w:val="32"/>
          <w:szCs w:val="32"/>
          <w:u w:val="single"/>
          <w:lang w:val="de-DE"/>
        </w:rPr>
      </w:pPr>
      <w:bookmarkStart w:id="6" w:name="_Toc7802421"/>
      <w:r>
        <w:rPr>
          <w:rFonts w:ascii="Calibri" w:hAnsi="Calibri" w:cs="Calibri"/>
          <w:smallCaps/>
          <w:color w:val="1F497D"/>
          <w:sz w:val="32"/>
          <w:u w:val="single"/>
          <w:lang w:val="de-DE"/>
        </w:rPr>
        <w:t>Aktuelle Situation bei Treibhausgasemissionen und Luftschadstoffen</w:t>
      </w:r>
      <w:bookmarkEnd w:id="6"/>
    </w:p>
    <w:p w:rsidR="000B433A" w:rsidRDefault="000B433A" w:rsidP="001A518E">
      <w:pPr>
        <w:pStyle w:val="Titre2"/>
        <w:numPr>
          <w:ilvl w:val="1"/>
          <w:numId w:val="1"/>
        </w:numPr>
        <w:ind w:left="851" w:hanging="851"/>
        <w:rPr>
          <w:rFonts w:ascii="Calibri" w:hAnsi="Calibri" w:cs="Calibri"/>
          <w:color w:val="1F497D"/>
          <w:sz w:val="28"/>
          <w:szCs w:val="28"/>
          <w:lang w:val="de-DE"/>
        </w:rPr>
      </w:pPr>
      <w:bookmarkStart w:id="7" w:name="_Toc7802422"/>
      <w:r>
        <w:rPr>
          <w:rFonts w:ascii="Calibri" w:hAnsi="Calibri" w:cs="Calibri"/>
          <w:color w:val="1F497D"/>
          <w:sz w:val="28"/>
          <w:lang w:val="de-DE"/>
        </w:rPr>
        <w:t>Emissionshandelssystem (EHS) (Emission Trading System / EHS)</w:t>
      </w:r>
      <w:bookmarkEnd w:id="7"/>
    </w:p>
    <w:p w:rsidR="000B433A" w:rsidRPr="001A518E" w:rsidRDefault="000B433A" w:rsidP="009858D5">
      <w:pPr>
        <w:rPr>
          <w:b/>
          <w:lang w:val="de-DE"/>
        </w:rPr>
      </w:pPr>
      <w:r>
        <w:rPr>
          <w:b/>
          <w:lang w:val="de-DE"/>
        </w:rPr>
        <w:t>Was ist das EHS?</w:t>
      </w:r>
    </w:p>
    <w:p w:rsidR="000B433A" w:rsidRPr="009858D5" w:rsidRDefault="000B433A" w:rsidP="009858D5">
      <w:pPr>
        <w:rPr>
          <w:lang w:val="de-DE"/>
        </w:rPr>
      </w:pPr>
      <w:r w:rsidRPr="00D07F58">
        <w:rPr>
          <w:lang w:val="de-DE"/>
        </w:rPr>
        <w:t>Das European Emission Trading Scheme (EU EHS) ((auch bekannt als Emissionshandelssystem (EHS) oder SCEQE)) ist ein durch die Richtlinie 2003/87/EG eingeführtes und in der gesamten Europäischen Union (sowie in Liechtenstein, Island und Norwegen) umgesetztes obligatorisches Instrument. Seit 2005 etabliert es einen CO2-Markt zur Reduzierung der Treibhausgasemissionen in bestimmten Bereichen der Industrie und der Zivilluftfahrt. Bei den vom EU-EHS erfassten Emissionen handelt es sich um CO2-Emissionen aus Industrieanlagen wie Verbrennungsanlagen mit einer Kapazität von mehr als 20 MWth (einschließlich Energieerzeugern), Ölraffinerien, Koksöfen, Stahlwerken, Zement-, Glas-, Kalk-</w:t>
      </w:r>
      <w:r>
        <w:rPr>
          <w:lang w:val="de-DE"/>
        </w:rPr>
        <w:t>,</w:t>
      </w:r>
      <w:r w:rsidRPr="00D07F58">
        <w:rPr>
          <w:lang w:val="de-DE"/>
        </w:rPr>
        <w:t xml:space="preserve"> Ziegel- und Keramikfabriken, Anlagen zur Herstellung von Zellstoff und Papier, Petrochemie, Ammoniak und Aluminium sowie die Emissionen von Lachgas (N2O) aus der Produktion von Salpetersäure, Adipinsäure und Glyoxylsäure und die Emissionen von Perfluorkohlenwasserstoffen (PFCs) aus der Aluminiumherstellung. Das EHS-System deckt damit etwa 43 % der Treibhausgasemissionen der Europäischen Union ab. Bis 2020 beträgt das europäische Emissionsminderungsziel für die im EHS erfassten Sektoren 21 % im Vergleich zum Referenzjahr 2005. Das für 2030 für die EHS-Sektoren angenommene Ziel beträgt -43 % im Vergleich zu 2005. Es gibt daher kein nationales oder subnationales Ziel für diese Sektoren. In der Wallonischen Region betrifft das EHS-System etwa 100 Industrieanlagen. Zwischen 2005 und 2015 sanken die Treibhausgasemissionen der vom EHS betroffenen wallonischen Unternehmen von rund 22 Millionen Tonnen CO2 auf rund 12 Millionen Tonnen CO2, was einer Verringerung von fast 45 % entspricht. Dieser Rückgang der Emissionen von EHS-Emittenten ist auf mehrere Faktoren zurückzuführen, darunter die schlechte Wirtschaftslage der letzten Jahre, die zu einer Verlangsamung der Industrietätigkeit und sogar zur Schließung von Ausrüstungen in bestimmten Sektoren (z. B. Stahl) geführt hat. Relativ gesehen stieg der Anteil der vom EHS erfassten Emissionen in der Wallonie zwischen 2005 und 2014 von 43 % auf 35 % der gesamten Treibhausgasemissionen.</w:t>
      </w:r>
    </w:p>
    <w:p w:rsidR="000B433A" w:rsidRPr="001A518E" w:rsidRDefault="000B433A" w:rsidP="009858D5">
      <w:pPr>
        <w:rPr>
          <w:b/>
          <w:lang w:val="de-DE"/>
        </w:rPr>
      </w:pPr>
      <w:r>
        <w:rPr>
          <w:b/>
          <w:lang w:val="de-DE"/>
        </w:rPr>
        <w:t>Was ist die ESD?</w:t>
      </w:r>
    </w:p>
    <w:p w:rsidR="000B433A" w:rsidRPr="009858D5" w:rsidRDefault="000B433A" w:rsidP="009858D5">
      <w:pPr>
        <w:rPr>
          <w:lang w:val="de-DE"/>
        </w:rPr>
      </w:pPr>
      <w:r w:rsidRPr="00D07F58">
        <w:rPr>
          <w:lang w:val="de-DE"/>
        </w:rPr>
        <w:t>Die Lastenteilungsentscheidung (oder im Englischen Effort Sharing Decision (ESD)) gilt für alle Sektoren, die nicht unter das EHS fallen, wie Verkehr, Landwirtschaft usw. Im Gegensatz zum EHS ist das europäische Ziel auf die Mitgliedstaaten verteilt. Diese können dann entscheiden, welche Maßnahmen sie ergreifen werden, um ihr Ziel zu erreichen.</w:t>
      </w:r>
    </w:p>
    <w:p w:rsidR="000B433A" w:rsidRPr="009858D5" w:rsidRDefault="000B433A" w:rsidP="009858D5">
      <w:pPr>
        <w:rPr>
          <w:lang w:val="de-DE"/>
        </w:rPr>
      </w:pPr>
      <w:r w:rsidRPr="00D07F58">
        <w:rPr>
          <w:lang w:val="de-DE"/>
        </w:rPr>
        <w:t xml:space="preserve">Das Ziel der ESD </w:t>
      </w:r>
      <w:r>
        <w:rPr>
          <w:lang w:val="de-DE"/>
        </w:rPr>
        <w:t xml:space="preserve">für </w:t>
      </w:r>
      <w:r w:rsidRPr="00D07F58">
        <w:rPr>
          <w:lang w:val="de-DE"/>
        </w:rPr>
        <w:t>2020 von -10 % gegenüber 2005 wurde auf der Grundlage des Pro-Kopf-BIP auf die Mitgliedstaaten verteilt, um die Solidarität zwischen den Mitgliedstaaten zu fördern. Die Ziele der Mitgliedstaaten liegen zwischen -20 % und +20 % im Vergleich zu 2005. Das belgische Ziel ist auf -15 % im Vergleich zu 2005 im Jahr 2020 angesetzt, das wallonische Ziel auf -14,7 % nach der belgischen Lastenteilung Ende 2015.</w:t>
      </w:r>
    </w:p>
    <w:p w:rsidR="000B433A" w:rsidRPr="009858D5" w:rsidRDefault="000B433A" w:rsidP="009858D5">
      <w:pPr>
        <w:rPr>
          <w:lang w:val="de-DE"/>
        </w:rPr>
      </w:pPr>
      <w:r w:rsidRPr="00D07F58">
        <w:rPr>
          <w:lang w:val="de-DE"/>
        </w:rPr>
        <w:t xml:space="preserve">In der Praxis werden die Ziele der einzelnen Mitgliedstaaten in jährliche Emissionsbudgets umgesetzt. Die Mitgliedstaaten erhalten somit zugewiesene jährliche Emissionsmengen (im Englischen Annual Emission Allocations (AEA)). Ein kleiner Prozentsatz kann zwischen den Mitgliedstaaten übertragen werden. Letztere können innerhalb bestimmter Grenzen auch internationale Kredite nutzen. Schließlich kann ein Mitgliedstaat in diesem Zeitraum 2013 - 2020 Mengen von einem Jahr auf </w:t>
      </w:r>
      <w:proofErr w:type="gramStart"/>
      <w:r w:rsidRPr="00D07F58">
        <w:rPr>
          <w:lang w:val="de-DE"/>
        </w:rPr>
        <w:t>das nächste</w:t>
      </w:r>
      <w:proofErr w:type="gramEnd"/>
      <w:r w:rsidRPr="00D07F58">
        <w:rPr>
          <w:lang w:val="de-DE"/>
        </w:rPr>
        <w:t xml:space="preserve"> (Banking) übertragen oder von Folgejahren entnehmen (Borrowing).</w:t>
      </w:r>
    </w:p>
    <w:p w:rsidR="000B433A" w:rsidRPr="009858D5" w:rsidRDefault="000B433A" w:rsidP="009858D5">
      <w:pPr>
        <w:rPr>
          <w:lang w:val="de-DE"/>
        </w:rPr>
      </w:pPr>
      <w:r w:rsidRPr="00D07F58">
        <w:rPr>
          <w:lang w:val="de-DE"/>
        </w:rPr>
        <w:t>Für den Zeitraum 2021 - 2030. Das Ziel für die EU als Ganzes liegt bei -30 % im Vergleich zu 2005 im Jahr 2030. Dieses wurde durch eine neue Verordnung auf die Mitgliedstaaten verteilt. Die Ziele der Mitgliedstaaten liegen zwischen 0 und -40 % im Vergleich zu 2005 im Jahr 2030. Sie wurden auf der Grundlage des Pro-Kopf-BIP verteilt, wobei die Kosteneffizienz für Mitgliedstaaten mit einem BIP über dem europäischen Durchschnitt berücksichtigt wird. Das Ziel für Belgien: -35 % gegenüber 2005 im Jahr 2030. Dieses nationale Ziel muss noch Gegenstand eines internen Burden Sharing auf belgischer Ebene sein, bevor das Ziel für die Wallonie genau definiert werden kann. Die Mechanismen für Übertragungen zwischen den Mitgliedstaaten wie Banking und Borrowing bleiben bestehen. Dahingegen wird die Nutzung von internationalen Krediten nicht länger möglich sein.</w:t>
      </w:r>
    </w:p>
    <w:p w:rsidR="000B433A" w:rsidRPr="00604E70" w:rsidRDefault="000B433A" w:rsidP="001A518E">
      <w:pPr>
        <w:pStyle w:val="Titre2"/>
        <w:numPr>
          <w:ilvl w:val="1"/>
          <w:numId w:val="1"/>
        </w:numPr>
        <w:ind w:left="851" w:hanging="851"/>
        <w:rPr>
          <w:rFonts w:ascii="Calibri" w:hAnsi="Calibri" w:cs="Calibri"/>
          <w:color w:val="1F497D"/>
          <w:sz w:val="28"/>
          <w:szCs w:val="28"/>
          <w:lang w:val="de-DE"/>
        </w:rPr>
      </w:pPr>
      <w:bookmarkStart w:id="8" w:name="_Toc7802423"/>
      <w:r>
        <w:rPr>
          <w:rFonts w:ascii="Calibri" w:hAnsi="Calibri" w:cs="Calibri"/>
          <w:color w:val="1F497D"/>
          <w:sz w:val="28"/>
          <w:lang w:val="de-DE"/>
        </w:rPr>
        <w:t>Treibhausgasemissionen</w:t>
      </w:r>
      <w:bookmarkEnd w:id="8"/>
    </w:p>
    <w:p w:rsidR="000B433A" w:rsidRPr="005F5D9D" w:rsidRDefault="000B433A" w:rsidP="00A40602">
      <w:pPr>
        <w:rPr>
          <w:rFonts w:cs="Calibri"/>
          <w:lang w:val="de-DE"/>
        </w:rPr>
      </w:pPr>
      <w:r>
        <w:rPr>
          <w:rFonts w:cs="Calibri"/>
          <w:lang w:val="de-DE"/>
        </w:rPr>
        <w:t>Nach dem im März 2019 vorgelegten Inventar emittierte die Wallonie im Jahr 2017 35,3 Millionen Tonnen CO</w:t>
      </w:r>
      <w:r w:rsidRPr="00362E25">
        <w:rPr>
          <w:rFonts w:cs="Calibri"/>
          <w:snapToGrid w:val="0"/>
          <w:vertAlign w:val="subscript"/>
          <w:lang w:val="de-DE"/>
        </w:rPr>
        <w:t>2</w:t>
      </w:r>
      <w:r>
        <w:rPr>
          <w:rFonts w:cs="Calibri"/>
          <w:lang w:val="de-DE"/>
        </w:rPr>
        <w:t>-Äquivalente, d. h. 31 % der jährlichen Emissionen Belgiens (ohne Forstwirtschaft)</w:t>
      </w:r>
      <w:r>
        <w:rPr>
          <w:rStyle w:val="Appelnotedebasdep"/>
          <w:rFonts w:cs="Calibri"/>
          <w:lang w:val="de-DE"/>
        </w:rPr>
        <w:footnoteReference w:id="3"/>
      </w:r>
      <w:r>
        <w:rPr>
          <w:rFonts w:cs="Calibri"/>
          <w:lang w:val="de-DE"/>
        </w:rPr>
        <w:t>. Dieses Inventar wurde nach den Leitlinien des Zwischenstaatlichen Ausschusses für Klimaänderungen (Intergovernmental Panel on Climate Change (IPCC)) von 2006 und gemäß den für den Zeitraum 2013 - 2020 geltenden Treibhauspotenzialen (Global Warming Potential (GWP)) erstellt.</w:t>
      </w:r>
      <w:r w:rsidRPr="005F5D9D">
        <w:rPr>
          <w:rStyle w:val="Appelnotedebasdep"/>
          <w:rFonts w:cs="Calibri"/>
          <w:lang w:val="de-DE"/>
        </w:rPr>
        <w:footnoteReference w:id="4"/>
      </w:r>
    </w:p>
    <w:p w:rsidR="000B433A" w:rsidRDefault="000B433A" w:rsidP="00A40602">
      <w:pPr>
        <w:tabs>
          <w:tab w:val="left" w:pos="576"/>
        </w:tabs>
        <w:rPr>
          <w:rFonts w:cs="Calibri"/>
          <w:lang w:val="de-DE"/>
        </w:rPr>
      </w:pPr>
      <w:r>
        <w:rPr>
          <w:rFonts w:cs="Calibri"/>
          <w:lang w:val="de-DE"/>
        </w:rPr>
        <w:t>Das wallonische Inventar der Treibhausgasemissionen, das zu den Inventaren der Region Flandern und der Region Brüssel-Hauptstadt hinzugefügt wird, bildet das belgische Inventar, das Belgien jährlich im Rahmen des Kyoto-Protokolls und der europäischen Verpflichtungen (</w:t>
      </w:r>
      <w:r w:rsidRPr="00773B55">
        <w:rPr>
          <w:rFonts w:cs="Calibri"/>
          <w:i/>
          <w:lang w:val="de-DE"/>
        </w:rPr>
        <w:t>Effort Sharing Decision</w:t>
      </w:r>
      <w:r>
        <w:rPr>
          <w:rFonts w:cs="Calibri"/>
          <w:lang w:val="de-DE"/>
        </w:rPr>
        <w:t xml:space="preserve"> oder ESD, EC/406/2009) erstellt. </w:t>
      </w:r>
    </w:p>
    <w:p w:rsidR="000B433A" w:rsidRPr="005F5D9D" w:rsidRDefault="000B433A" w:rsidP="00A40602">
      <w:pPr>
        <w:tabs>
          <w:tab w:val="left" w:pos="576"/>
        </w:tabs>
        <w:rPr>
          <w:rFonts w:cs="Calibri"/>
          <w:lang w:val="de-DE"/>
        </w:rPr>
      </w:pPr>
    </w:p>
    <w:p w:rsidR="000B433A" w:rsidRPr="005F5D9D" w:rsidRDefault="00372180" w:rsidP="00A40602">
      <w:pPr>
        <w:rPr>
          <w:rFonts w:cs="Calibri"/>
          <w:lang w:val="de-DE"/>
        </w:rPr>
      </w:pPr>
      <w:r>
        <w:rPr>
          <w:noProof/>
          <w:lang w:eastAsia="fr-BE"/>
        </w:rPr>
        <w:drawing>
          <wp:anchor distT="0" distB="0" distL="114300" distR="114300" simplePos="0" relativeHeight="251658240" behindDoc="0" locked="0" layoutInCell="1" allowOverlap="1">
            <wp:simplePos x="0" y="0"/>
            <wp:positionH relativeFrom="margin">
              <wp:align>center</wp:align>
            </wp:positionH>
            <wp:positionV relativeFrom="paragraph">
              <wp:posOffset>635</wp:posOffset>
            </wp:positionV>
            <wp:extent cx="4596765" cy="3072130"/>
            <wp:effectExtent l="19050" t="0" r="0" b="0"/>
            <wp:wrapTopAndBottom/>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srcRect/>
                    <a:stretch>
                      <a:fillRect/>
                    </a:stretch>
                  </pic:blipFill>
                  <pic:spPr bwMode="auto">
                    <a:xfrm>
                      <a:off x="0" y="0"/>
                      <a:ext cx="4596765" cy="3072130"/>
                    </a:xfrm>
                    <a:prstGeom prst="rect">
                      <a:avLst/>
                    </a:prstGeom>
                    <a:noFill/>
                  </pic:spPr>
                </pic:pic>
              </a:graphicData>
            </a:graphic>
          </wp:anchor>
        </w:drawing>
      </w:r>
    </w:p>
    <w:p w:rsidR="000B433A" w:rsidRDefault="000B433A" w:rsidP="00E65AA5">
      <w:pPr>
        <w:pStyle w:val="Lgende"/>
        <w:spacing w:after="0"/>
        <w:rPr>
          <w:rFonts w:cs="Calibri"/>
          <w:color w:val="808080"/>
          <w:lang w:val="de-DE"/>
        </w:rPr>
      </w:pPr>
      <w:r>
        <w:rPr>
          <w:rFonts w:cs="Calibri"/>
          <w:color w:val="808080"/>
          <w:lang w:val="de-DE"/>
        </w:rPr>
        <w:t>Industrie</w:t>
      </w:r>
    </w:p>
    <w:p w:rsidR="000B433A" w:rsidRDefault="000B433A" w:rsidP="00E65AA5">
      <w:pPr>
        <w:pStyle w:val="Lgende"/>
        <w:spacing w:after="0"/>
        <w:rPr>
          <w:rFonts w:cs="Calibri"/>
          <w:color w:val="808080"/>
          <w:lang w:val="de-DE"/>
        </w:rPr>
      </w:pPr>
      <w:r>
        <w:rPr>
          <w:rFonts w:cs="Calibri"/>
          <w:color w:val="808080"/>
          <w:lang w:val="de-DE"/>
        </w:rPr>
        <w:t>Transport</w:t>
      </w:r>
    </w:p>
    <w:p w:rsidR="000B433A" w:rsidRPr="00E65AA5" w:rsidRDefault="000B433A" w:rsidP="00E65AA5">
      <w:pPr>
        <w:pStyle w:val="Lgende"/>
        <w:spacing w:after="0"/>
        <w:rPr>
          <w:rFonts w:cs="Calibri"/>
          <w:color w:val="808080"/>
          <w:lang w:val="de-DE"/>
        </w:rPr>
      </w:pPr>
      <w:r>
        <w:rPr>
          <w:rFonts w:cs="Calibri"/>
          <w:color w:val="808080"/>
          <w:lang w:val="de-DE"/>
        </w:rPr>
        <w:t>Wohnen</w:t>
      </w:r>
    </w:p>
    <w:p w:rsidR="000B433A" w:rsidRPr="00E65AA5" w:rsidRDefault="000B433A" w:rsidP="00E65AA5">
      <w:pPr>
        <w:pStyle w:val="Lgende"/>
        <w:spacing w:after="0"/>
        <w:rPr>
          <w:rFonts w:cs="Calibri"/>
          <w:color w:val="808080"/>
          <w:lang w:val="de-DE"/>
        </w:rPr>
      </w:pPr>
      <w:r>
        <w:rPr>
          <w:rFonts w:cs="Calibri"/>
          <w:color w:val="808080"/>
          <w:lang w:val="de-DE"/>
        </w:rPr>
        <w:t>Dienstleistungen</w:t>
      </w:r>
    </w:p>
    <w:p w:rsidR="000B433A" w:rsidRPr="00E65AA5" w:rsidRDefault="000B433A" w:rsidP="00E65AA5">
      <w:pPr>
        <w:pStyle w:val="Lgende"/>
        <w:spacing w:after="0"/>
        <w:rPr>
          <w:rFonts w:cs="Calibri"/>
          <w:color w:val="808080"/>
          <w:lang w:val="de-DE"/>
        </w:rPr>
      </w:pPr>
      <w:r>
        <w:rPr>
          <w:rFonts w:cs="Calibri"/>
          <w:color w:val="808080"/>
          <w:lang w:val="de-DE"/>
        </w:rPr>
        <w:t>Landwirtschaft</w:t>
      </w:r>
    </w:p>
    <w:p w:rsidR="000B433A" w:rsidRPr="00E65AA5" w:rsidRDefault="000B433A" w:rsidP="00E65AA5">
      <w:pPr>
        <w:pStyle w:val="Lgende"/>
        <w:spacing w:after="0"/>
        <w:rPr>
          <w:rFonts w:cs="Calibri"/>
          <w:color w:val="808080"/>
          <w:lang w:val="de-DE"/>
        </w:rPr>
      </w:pPr>
      <w:r>
        <w:rPr>
          <w:rFonts w:cs="Calibri"/>
          <w:color w:val="808080"/>
          <w:lang w:val="de-DE"/>
        </w:rPr>
        <w:t>Abfälle</w:t>
      </w:r>
    </w:p>
    <w:p w:rsidR="000B433A" w:rsidRPr="00E65AA5" w:rsidRDefault="000B433A" w:rsidP="00E65AA5">
      <w:pPr>
        <w:pStyle w:val="Lgende"/>
        <w:spacing w:after="0"/>
        <w:rPr>
          <w:rFonts w:cs="Calibri"/>
          <w:color w:val="808080"/>
          <w:lang w:val="de-DE"/>
        </w:rPr>
      </w:pPr>
      <w:r>
        <w:rPr>
          <w:rFonts w:cs="Calibri"/>
          <w:color w:val="808080"/>
          <w:lang w:val="de-DE"/>
        </w:rPr>
        <w:t>Sonstige</w:t>
      </w:r>
    </w:p>
    <w:p w:rsidR="000B433A" w:rsidRPr="00E65AA5" w:rsidRDefault="000B433A" w:rsidP="00E65AA5">
      <w:pPr>
        <w:pStyle w:val="Lgende"/>
        <w:spacing w:after="0"/>
        <w:rPr>
          <w:rFonts w:cs="Calibri"/>
          <w:color w:val="808080"/>
          <w:lang w:val="de-DE"/>
        </w:rPr>
      </w:pPr>
      <w:r>
        <w:rPr>
          <w:rFonts w:cs="Calibri"/>
          <w:color w:val="808080"/>
          <w:lang w:val="de-DE"/>
        </w:rPr>
        <w:t>Energie (Stromerzeugung)</w:t>
      </w:r>
    </w:p>
    <w:p w:rsidR="000B433A" w:rsidRPr="00B33CC4" w:rsidRDefault="000B433A" w:rsidP="00A40602">
      <w:pPr>
        <w:pStyle w:val="Lgende"/>
        <w:rPr>
          <w:rFonts w:cs="Calibri"/>
          <w:b/>
          <w:lang w:val="de-DE"/>
        </w:rPr>
      </w:pPr>
      <w:r>
        <w:rPr>
          <w:rFonts w:cs="Calibri"/>
          <w:lang w:val="de-DE"/>
        </w:rPr>
        <w:t xml:space="preserve">Abteilung </w:t>
      </w:r>
      <w:r w:rsidR="005A6B21" w:rsidRPr="00B33CC4">
        <w:rPr>
          <w:rFonts w:cs="Calibri"/>
          <w:lang w:val="de-DE"/>
        </w:rPr>
        <w:fldChar w:fldCharType="begin"/>
      </w:r>
      <w:r w:rsidRPr="00B33CC4">
        <w:rPr>
          <w:rFonts w:cs="Calibri"/>
          <w:lang w:val="de-DE"/>
        </w:rPr>
        <w:instrText xml:space="preserve"> SEQ Figure \* ARABIC </w:instrText>
      </w:r>
      <w:r w:rsidR="005A6B21" w:rsidRPr="00B33CC4">
        <w:rPr>
          <w:rFonts w:cs="Calibri"/>
          <w:lang w:val="de-DE"/>
        </w:rPr>
        <w:fldChar w:fldCharType="separate"/>
      </w:r>
      <w:r w:rsidRPr="00B33CC4">
        <w:rPr>
          <w:rFonts w:cs="Calibri"/>
          <w:lang w:val="de-DE"/>
        </w:rPr>
        <w:t>1</w:t>
      </w:r>
      <w:r w:rsidR="005A6B21" w:rsidRPr="00B33CC4">
        <w:rPr>
          <w:rFonts w:cs="Calibri"/>
          <w:lang w:val="de-DE"/>
        </w:rPr>
        <w:fldChar w:fldCharType="end"/>
      </w:r>
      <w:r>
        <w:rPr>
          <w:rFonts w:cs="Calibri"/>
          <w:lang w:val="de-DE"/>
        </w:rPr>
        <w:t>: Verteilung der THG-Emissionen nach Sektor in der Wallonie im Jahre 2017 (Quelle: AwAC)</w:t>
      </w:r>
    </w:p>
    <w:p w:rsidR="000B433A" w:rsidRPr="005F5D9D" w:rsidRDefault="00372180" w:rsidP="00A40602">
      <w:pPr>
        <w:rPr>
          <w:rFonts w:cs="Calibri"/>
          <w:lang w:val="de-DE"/>
        </w:rPr>
      </w:pPr>
      <w:r>
        <w:rPr>
          <w:noProof/>
          <w:lang w:eastAsia="fr-BE"/>
        </w:rPr>
        <w:drawing>
          <wp:anchor distT="0" distB="0" distL="114300" distR="114300" simplePos="0" relativeHeight="251659264" behindDoc="0" locked="0" layoutInCell="1" allowOverlap="1">
            <wp:simplePos x="0" y="0"/>
            <wp:positionH relativeFrom="margin">
              <wp:posOffset>885825</wp:posOffset>
            </wp:positionH>
            <wp:positionV relativeFrom="paragraph">
              <wp:posOffset>2093595</wp:posOffset>
            </wp:positionV>
            <wp:extent cx="3989070" cy="2607945"/>
            <wp:effectExtent l="19050" t="0" r="0" b="0"/>
            <wp:wrapTopAndBottom/>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a:srcRect/>
                    <a:stretch>
                      <a:fillRect/>
                    </a:stretch>
                  </pic:blipFill>
                  <pic:spPr bwMode="auto">
                    <a:xfrm>
                      <a:off x="0" y="0"/>
                      <a:ext cx="3989070" cy="2607945"/>
                    </a:xfrm>
                    <a:prstGeom prst="rect">
                      <a:avLst/>
                    </a:prstGeom>
                    <a:noFill/>
                  </pic:spPr>
                </pic:pic>
              </a:graphicData>
            </a:graphic>
          </wp:anchor>
        </w:drawing>
      </w:r>
      <w:r w:rsidR="000B433A">
        <w:rPr>
          <w:rFonts w:cs="Calibri"/>
          <w:lang w:val="de-DE"/>
        </w:rPr>
        <w:t>CO</w:t>
      </w:r>
      <w:r w:rsidR="000B433A" w:rsidRPr="005F5D9D">
        <w:rPr>
          <w:rFonts w:cs="Calibri"/>
          <w:vertAlign w:val="subscript"/>
          <w:lang w:val="de-DE"/>
        </w:rPr>
        <w:t>2</w:t>
      </w:r>
      <w:r w:rsidR="000B433A">
        <w:rPr>
          <w:rFonts w:cs="Calibri"/>
          <w:lang w:val="de-DE"/>
        </w:rPr>
        <w:t>, das 83 % der gesamten THG-Emissionen ausmacht, wird vor allem bei den Verbrennungsverfahren in verschiedenen Sektoren freigesetzt: Industrie, Verkehr, Wärme aus dem Wohn- und Dienstleistungssektor, Kraftwerke. CH</w:t>
      </w:r>
      <w:r w:rsidR="000B433A" w:rsidRPr="00362E25">
        <w:rPr>
          <w:rFonts w:cs="Calibri"/>
          <w:vertAlign w:val="subscript"/>
          <w:lang w:val="de-DE"/>
        </w:rPr>
        <w:t>4</w:t>
      </w:r>
      <w:r w:rsidR="000B433A">
        <w:rPr>
          <w:rFonts w:cs="Calibri"/>
          <w:lang w:val="de-DE"/>
        </w:rPr>
        <w:t>, das 8 % der Gesamtemissionen ausmacht, stammt zu 78 % aus der Landwirtschaft, zu 10 % aus der Abfallwirtschaft und zu 7 % aus dem Erdgasverteilungsnetz (Kompressoren und Lecks); die verbleibenden Emissionen gehen auf die Verbrennungsverfahren insgesamt zurück. N</w:t>
      </w:r>
      <w:r w:rsidR="000B433A" w:rsidRPr="00362E25">
        <w:rPr>
          <w:rFonts w:cs="Calibri"/>
          <w:vertAlign w:val="subscript"/>
          <w:lang w:val="de-DE"/>
        </w:rPr>
        <w:t>2</w:t>
      </w:r>
      <w:r w:rsidR="000B433A">
        <w:rPr>
          <w:rFonts w:cs="Calibri"/>
          <w:lang w:val="de-DE"/>
        </w:rPr>
        <w:t>O macht 8 % der Gesamtemissionen aus und wird vor allem von der Landwirtschaft (81 %), der chemischen Industrie (4 %) und durch Verbrennungsverfahren (9 %) freigesetzt. Die fluorierten Gase machen 2 % der Gesamtemissionen aus und werden bei der Herstellung und Verwendung bestimmter Produkte (Kühlung, Schaumstoffisolierung usw.) freigesetzt.</w:t>
      </w:r>
    </w:p>
    <w:p w:rsidR="000B433A" w:rsidRPr="005F5D9D" w:rsidRDefault="000B433A" w:rsidP="00A40602">
      <w:pPr>
        <w:jc w:val="center"/>
        <w:rPr>
          <w:rFonts w:cs="Calibri"/>
          <w:highlight w:val="yellow"/>
          <w:lang w:val="de-DE"/>
        </w:rPr>
      </w:pPr>
    </w:p>
    <w:p w:rsidR="000B433A" w:rsidRPr="00B33CC4" w:rsidRDefault="000B433A" w:rsidP="00A40602">
      <w:pPr>
        <w:pStyle w:val="Lgende"/>
        <w:rPr>
          <w:rFonts w:cs="Calibri"/>
          <w:b/>
          <w:lang w:val="de-DE"/>
        </w:rPr>
      </w:pPr>
      <w:r>
        <w:rPr>
          <w:rFonts w:cs="Calibri"/>
          <w:lang w:val="de-DE"/>
        </w:rPr>
        <w:t xml:space="preserve">Abbildung </w:t>
      </w:r>
      <w:r w:rsidR="005A6B21" w:rsidRPr="00B33CC4">
        <w:rPr>
          <w:rFonts w:cs="Calibri"/>
          <w:lang w:val="de-DE"/>
        </w:rPr>
        <w:fldChar w:fldCharType="begin"/>
      </w:r>
      <w:r w:rsidRPr="00B33CC4">
        <w:rPr>
          <w:rFonts w:cs="Calibri"/>
          <w:lang w:val="de-DE"/>
        </w:rPr>
        <w:instrText xml:space="preserve"> SEQ Figure \* ARABIC </w:instrText>
      </w:r>
      <w:r w:rsidR="005A6B21" w:rsidRPr="00B33CC4">
        <w:rPr>
          <w:rFonts w:cs="Calibri"/>
          <w:lang w:val="de-DE"/>
        </w:rPr>
        <w:fldChar w:fldCharType="separate"/>
      </w:r>
      <w:r w:rsidRPr="00B33CC4">
        <w:rPr>
          <w:rFonts w:cs="Calibri"/>
          <w:lang w:val="de-DE"/>
        </w:rPr>
        <w:t>2</w:t>
      </w:r>
      <w:r w:rsidR="005A6B21" w:rsidRPr="00B33CC4">
        <w:rPr>
          <w:rFonts w:cs="Calibri"/>
          <w:lang w:val="de-DE"/>
        </w:rPr>
        <w:fldChar w:fldCharType="end"/>
      </w:r>
      <w:r>
        <w:rPr>
          <w:rFonts w:cs="Calibri"/>
          <w:lang w:val="de-DE"/>
        </w:rPr>
        <w:t>: Verteilung der THG-Emissionen 2017 nach Gasart (Quelle: AwAC)</w:t>
      </w:r>
    </w:p>
    <w:p w:rsidR="000B433A" w:rsidRPr="005F5D9D" w:rsidRDefault="000B433A" w:rsidP="00A40602">
      <w:pPr>
        <w:rPr>
          <w:rFonts w:cs="Calibri"/>
          <w:lang w:val="de-DE"/>
        </w:rPr>
      </w:pPr>
      <w:r>
        <w:rPr>
          <w:rFonts w:cs="Calibri"/>
          <w:lang w:val="de-DE"/>
        </w:rPr>
        <w:t xml:space="preserve">Auf der Grundlage der verfügbaren neuesten Schätzungen waren die anthropogenen THG-Emissionen (außer Forstwirtschaft) in der Wallonie 2017 um 36,9 % niedriger als im Jahre 1990. </w:t>
      </w:r>
    </w:p>
    <w:p w:rsidR="000B433A" w:rsidRPr="00B33CC4" w:rsidRDefault="000B433A" w:rsidP="00A40602">
      <w:pPr>
        <w:rPr>
          <w:rFonts w:cs="Calibri"/>
          <w:color w:val="4F81BD"/>
          <w:lang w:val="de-DE"/>
        </w:rPr>
      </w:pPr>
      <w:r>
        <w:rPr>
          <w:rFonts w:cs="Calibri"/>
          <w:color w:val="4F81BD"/>
          <w:lang w:val="de-DE"/>
        </w:rPr>
        <w:t>Ziel bis 2020.</w:t>
      </w:r>
    </w:p>
    <w:p w:rsidR="000B433A" w:rsidRDefault="000B433A" w:rsidP="00A40602">
      <w:pPr>
        <w:rPr>
          <w:rFonts w:cs="Calibri"/>
          <w:lang w:val="de-DE"/>
        </w:rPr>
      </w:pPr>
      <w:r>
        <w:rPr>
          <w:rFonts w:cs="Calibri"/>
          <w:lang w:val="de-DE"/>
        </w:rPr>
        <w:t xml:space="preserve">Im Rahmen der Lastenteilung zwischen den föderierten Unternehmen (oder Burden Sharing 2013 - 2020) besteht das wallonische Ziel bis 2020 darin, die Emissionen für die ESD-Sektoren im Vergleich zu 2005 um 14,7 % zu reduzieren. Die Jahresziele für 2013 - 2020 werden nach einem progressiven Reduktionspfad berechnet, der 2013 nach dem durchschnittlichen Emissionswert für 2008 - 2010 beginnt und linear bis zum Wert des Ziels 2020 sinkt. </w:t>
      </w:r>
    </w:p>
    <w:p w:rsidR="000B433A" w:rsidRPr="005F5D9D" w:rsidRDefault="000B433A" w:rsidP="00A40602">
      <w:pPr>
        <w:rPr>
          <w:rFonts w:cs="Calibri"/>
          <w:lang w:val="de-DE"/>
        </w:rPr>
      </w:pPr>
      <w:r>
        <w:rPr>
          <w:rFonts w:cs="Calibri"/>
          <w:lang w:val="de-DE"/>
        </w:rPr>
        <w:t>Dieses Ziel betrifft nur die ESD-Sektoren (Effort Sharing Decision EC/406/2009), nämlich: Wohnen, Dienstleistungen, Verkehr, Landwirtschaft, Abfall und kleine Nicht-EHS-Unternehmen, die 2017 Emissionen von 23,5 Millionen Tonnen verursachen. Das Ziel für die Sektoren, die unter das Europäische Emissionshandelssystem (Emission Trading Scheme oder EHS, das fast 90 % der Industrieemissionen abdeckt) fallen, d. h. 11,8 Millionen Tonnen im Jahr 2017, wird auf europäischer Ebene verwaltet und unterliegt daher keinem nationalen oder regionalen Ziel.</w:t>
      </w:r>
    </w:p>
    <w:p w:rsidR="000B433A" w:rsidRPr="005F5D9D" w:rsidRDefault="000B433A" w:rsidP="00A40602">
      <w:pPr>
        <w:rPr>
          <w:rFonts w:cs="Calibri"/>
          <w:lang w:val="de-DE"/>
        </w:rPr>
      </w:pPr>
      <w:r>
        <w:rPr>
          <w:rFonts w:cs="Calibri"/>
          <w:lang w:val="de-DE"/>
        </w:rPr>
        <w:t xml:space="preserve">Die gemessenen Emissionen der betroffenen Sektoren im Zeitraum 2013 - 2016 liegen unter dem Reduktionspfad. </w:t>
      </w:r>
    </w:p>
    <w:tbl>
      <w:tblPr>
        <w:tblW w:w="9212" w:type="dxa"/>
        <w:jc w:val="center"/>
        <w:tblCellMar>
          <w:left w:w="70" w:type="dxa"/>
          <w:right w:w="70" w:type="dxa"/>
        </w:tblCellMar>
        <w:tblLook w:val="00A0"/>
      </w:tblPr>
      <w:tblGrid>
        <w:gridCol w:w="2420"/>
        <w:gridCol w:w="1680"/>
        <w:gridCol w:w="1900"/>
        <w:gridCol w:w="1840"/>
        <w:gridCol w:w="1372"/>
      </w:tblGrid>
      <w:tr w:rsidR="000B433A" w:rsidRPr="005759E4" w:rsidTr="001A518E">
        <w:trPr>
          <w:trHeight w:val="288"/>
          <w:jc w:val="center"/>
        </w:trPr>
        <w:tc>
          <w:tcPr>
            <w:tcW w:w="2420" w:type="dxa"/>
            <w:tcBorders>
              <w:top w:val="single" w:sz="4" w:space="0" w:color="auto"/>
              <w:left w:val="single" w:sz="4" w:space="0" w:color="auto"/>
              <w:bottom w:val="single" w:sz="4" w:space="0" w:color="auto"/>
              <w:right w:val="single" w:sz="4" w:space="0" w:color="auto"/>
            </w:tcBorders>
            <w:noWrap/>
            <w:vAlign w:val="bottom"/>
          </w:tcPr>
          <w:p w:rsidR="000B433A" w:rsidRPr="005759E4" w:rsidRDefault="000B433A" w:rsidP="001A518E">
            <w:pPr>
              <w:spacing w:after="0" w:line="240" w:lineRule="auto"/>
              <w:rPr>
                <w:rFonts w:cs="Calibri"/>
                <w:sz w:val="20"/>
                <w:szCs w:val="20"/>
                <w:lang w:val="de-DE"/>
              </w:rPr>
            </w:pPr>
            <w:r w:rsidRPr="005759E4">
              <w:rPr>
                <w:rFonts w:cs="Calibri"/>
                <w:sz w:val="20"/>
                <w:lang w:val="de-DE"/>
              </w:rPr>
              <w:t>Wallonie (kt CO</w:t>
            </w:r>
            <w:r w:rsidRPr="005759E4">
              <w:rPr>
                <w:rFonts w:cs="Calibri"/>
                <w:sz w:val="20"/>
                <w:szCs w:val="20"/>
                <w:vertAlign w:val="subscript"/>
                <w:lang w:val="de-DE"/>
              </w:rPr>
              <w:t>2</w:t>
            </w:r>
            <w:r w:rsidRPr="005759E4">
              <w:rPr>
                <w:rFonts w:cs="Calibri"/>
                <w:sz w:val="20"/>
                <w:lang w:val="de-DE"/>
              </w:rPr>
              <w:t>-Äquiv.)</w:t>
            </w:r>
          </w:p>
        </w:tc>
        <w:tc>
          <w:tcPr>
            <w:tcW w:w="1680" w:type="dxa"/>
            <w:tcBorders>
              <w:top w:val="single" w:sz="4" w:space="0" w:color="auto"/>
              <w:left w:val="nil"/>
              <w:bottom w:val="single" w:sz="4" w:space="0" w:color="auto"/>
              <w:right w:val="single" w:sz="4" w:space="0" w:color="auto"/>
            </w:tcBorders>
            <w:noWrap/>
            <w:vAlign w:val="bottom"/>
          </w:tcPr>
          <w:p w:rsidR="000B433A" w:rsidRPr="005759E4" w:rsidRDefault="000B433A" w:rsidP="001A518E">
            <w:pPr>
              <w:spacing w:after="0" w:line="240" w:lineRule="auto"/>
              <w:jc w:val="right"/>
              <w:rPr>
                <w:rFonts w:cs="Calibri"/>
                <w:b/>
                <w:bCs/>
                <w:lang w:val="de-DE"/>
              </w:rPr>
            </w:pPr>
            <w:r w:rsidRPr="005759E4">
              <w:rPr>
                <w:rFonts w:cs="Calibri"/>
                <w:b/>
                <w:lang w:val="de-DE"/>
              </w:rPr>
              <w:t>2013</w:t>
            </w:r>
          </w:p>
        </w:tc>
        <w:tc>
          <w:tcPr>
            <w:tcW w:w="1900" w:type="dxa"/>
            <w:tcBorders>
              <w:top w:val="single" w:sz="4" w:space="0" w:color="auto"/>
              <w:left w:val="nil"/>
              <w:bottom w:val="single" w:sz="4" w:space="0" w:color="auto"/>
              <w:right w:val="single" w:sz="4" w:space="0" w:color="auto"/>
            </w:tcBorders>
            <w:noWrap/>
            <w:vAlign w:val="bottom"/>
          </w:tcPr>
          <w:p w:rsidR="000B433A" w:rsidRPr="005759E4" w:rsidRDefault="000B433A" w:rsidP="001A518E">
            <w:pPr>
              <w:spacing w:after="0" w:line="240" w:lineRule="auto"/>
              <w:jc w:val="right"/>
              <w:rPr>
                <w:rFonts w:cs="Calibri"/>
                <w:b/>
                <w:bCs/>
                <w:lang w:val="de-DE"/>
              </w:rPr>
            </w:pPr>
            <w:r w:rsidRPr="005759E4">
              <w:rPr>
                <w:rFonts w:cs="Calibri"/>
                <w:b/>
                <w:lang w:val="de-DE"/>
              </w:rPr>
              <w:t>2014</w:t>
            </w:r>
          </w:p>
        </w:tc>
        <w:tc>
          <w:tcPr>
            <w:tcW w:w="1840" w:type="dxa"/>
            <w:tcBorders>
              <w:top w:val="single" w:sz="4" w:space="0" w:color="auto"/>
              <w:left w:val="nil"/>
              <w:bottom w:val="single" w:sz="4" w:space="0" w:color="auto"/>
              <w:right w:val="single" w:sz="4" w:space="0" w:color="auto"/>
            </w:tcBorders>
            <w:noWrap/>
            <w:vAlign w:val="bottom"/>
          </w:tcPr>
          <w:p w:rsidR="000B433A" w:rsidRPr="005759E4" w:rsidRDefault="000B433A" w:rsidP="001A518E">
            <w:pPr>
              <w:spacing w:after="0" w:line="240" w:lineRule="auto"/>
              <w:jc w:val="right"/>
              <w:rPr>
                <w:rFonts w:cs="Calibri"/>
                <w:b/>
                <w:bCs/>
                <w:lang w:val="de-DE"/>
              </w:rPr>
            </w:pPr>
            <w:r w:rsidRPr="005759E4">
              <w:rPr>
                <w:rFonts w:cs="Calibri"/>
                <w:b/>
                <w:lang w:val="de-DE"/>
              </w:rPr>
              <w:t>2015</w:t>
            </w:r>
          </w:p>
        </w:tc>
        <w:tc>
          <w:tcPr>
            <w:tcW w:w="1372" w:type="dxa"/>
            <w:tcBorders>
              <w:top w:val="single" w:sz="4" w:space="0" w:color="auto"/>
              <w:left w:val="nil"/>
              <w:bottom w:val="single" w:sz="4" w:space="0" w:color="auto"/>
              <w:right w:val="single" w:sz="4" w:space="0" w:color="auto"/>
            </w:tcBorders>
          </w:tcPr>
          <w:p w:rsidR="000B433A" w:rsidRPr="005759E4" w:rsidRDefault="000B433A" w:rsidP="001A518E">
            <w:pPr>
              <w:spacing w:after="0" w:line="240" w:lineRule="auto"/>
              <w:jc w:val="right"/>
              <w:rPr>
                <w:rFonts w:cs="Calibri"/>
                <w:b/>
                <w:bCs/>
                <w:lang w:val="de-DE"/>
              </w:rPr>
            </w:pPr>
            <w:r w:rsidRPr="005759E4">
              <w:rPr>
                <w:rFonts w:cs="Calibri"/>
                <w:b/>
                <w:lang w:val="de-DE"/>
              </w:rPr>
              <w:t>2016</w:t>
            </w:r>
          </w:p>
        </w:tc>
      </w:tr>
      <w:tr w:rsidR="000B433A" w:rsidRPr="005759E4" w:rsidTr="001A518E">
        <w:trPr>
          <w:trHeight w:val="288"/>
          <w:jc w:val="center"/>
        </w:trPr>
        <w:tc>
          <w:tcPr>
            <w:tcW w:w="2420" w:type="dxa"/>
            <w:tcBorders>
              <w:top w:val="nil"/>
              <w:left w:val="single" w:sz="4" w:space="0" w:color="auto"/>
              <w:bottom w:val="single" w:sz="4" w:space="0" w:color="auto"/>
              <w:right w:val="single" w:sz="4" w:space="0" w:color="auto"/>
            </w:tcBorders>
            <w:noWrap/>
            <w:vAlign w:val="bottom"/>
          </w:tcPr>
          <w:p w:rsidR="000B433A" w:rsidRPr="005759E4" w:rsidRDefault="000B433A" w:rsidP="001A518E">
            <w:pPr>
              <w:spacing w:after="0" w:line="240" w:lineRule="auto"/>
              <w:rPr>
                <w:rFonts w:cs="Calibri"/>
                <w:sz w:val="20"/>
                <w:szCs w:val="20"/>
                <w:lang w:val="de-DE"/>
              </w:rPr>
            </w:pPr>
            <w:r w:rsidRPr="005759E4">
              <w:rPr>
                <w:rFonts w:cs="Calibri"/>
                <w:sz w:val="20"/>
                <w:lang w:val="de-DE"/>
              </w:rPr>
              <w:t xml:space="preserve">ESD-Ziel </w:t>
            </w:r>
          </w:p>
        </w:tc>
        <w:tc>
          <w:tcPr>
            <w:tcW w:w="1680" w:type="dxa"/>
            <w:tcBorders>
              <w:top w:val="nil"/>
              <w:left w:val="nil"/>
              <w:bottom w:val="single" w:sz="4" w:space="0" w:color="auto"/>
              <w:right w:val="single" w:sz="4" w:space="0" w:color="auto"/>
            </w:tcBorders>
            <w:noWrap/>
            <w:vAlign w:val="bottom"/>
          </w:tcPr>
          <w:p w:rsidR="000B433A" w:rsidRPr="005759E4" w:rsidRDefault="000B433A" w:rsidP="001A518E">
            <w:pPr>
              <w:spacing w:after="0" w:line="240" w:lineRule="auto"/>
              <w:jc w:val="right"/>
              <w:rPr>
                <w:rFonts w:cs="Calibri"/>
                <w:lang w:val="de-DE"/>
              </w:rPr>
            </w:pPr>
            <w:r w:rsidRPr="005759E4">
              <w:rPr>
                <w:rFonts w:cs="Calibri"/>
                <w:lang w:val="de-DE"/>
              </w:rPr>
              <w:t>26 029</w:t>
            </w:r>
          </w:p>
        </w:tc>
        <w:tc>
          <w:tcPr>
            <w:tcW w:w="1900" w:type="dxa"/>
            <w:tcBorders>
              <w:top w:val="nil"/>
              <w:left w:val="nil"/>
              <w:bottom w:val="single" w:sz="4" w:space="0" w:color="auto"/>
              <w:right w:val="single" w:sz="4" w:space="0" w:color="auto"/>
            </w:tcBorders>
            <w:noWrap/>
            <w:vAlign w:val="bottom"/>
          </w:tcPr>
          <w:p w:rsidR="000B433A" w:rsidRPr="005759E4" w:rsidRDefault="000B433A" w:rsidP="001A518E">
            <w:pPr>
              <w:spacing w:after="0" w:line="240" w:lineRule="auto"/>
              <w:jc w:val="right"/>
              <w:rPr>
                <w:rFonts w:cs="Calibri"/>
                <w:lang w:val="de-DE"/>
              </w:rPr>
            </w:pPr>
            <w:r w:rsidRPr="005759E4">
              <w:rPr>
                <w:rFonts w:cs="Calibri"/>
                <w:lang w:val="de-DE"/>
              </w:rPr>
              <w:t>25 624</w:t>
            </w:r>
          </w:p>
        </w:tc>
        <w:tc>
          <w:tcPr>
            <w:tcW w:w="1840" w:type="dxa"/>
            <w:tcBorders>
              <w:top w:val="nil"/>
              <w:left w:val="nil"/>
              <w:bottom w:val="single" w:sz="4" w:space="0" w:color="auto"/>
              <w:right w:val="single" w:sz="4" w:space="0" w:color="auto"/>
            </w:tcBorders>
            <w:noWrap/>
            <w:vAlign w:val="bottom"/>
          </w:tcPr>
          <w:p w:rsidR="000B433A" w:rsidRPr="005759E4" w:rsidRDefault="000B433A" w:rsidP="001A518E">
            <w:pPr>
              <w:spacing w:after="0" w:line="240" w:lineRule="auto"/>
              <w:jc w:val="right"/>
              <w:rPr>
                <w:rFonts w:cs="Calibri"/>
                <w:lang w:val="de-DE"/>
              </w:rPr>
            </w:pPr>
            <w:r w:rsidRPr="005759E4">
              <w:rPr>
                <w:rFonts w:cs="Calibri"/>
                <w:lang w:val="de-DE"/>
              </w:rPr>
              <w:t>25 219</w:t>
            </w:r>
          </w:p>
        </w:tc>
        <w:tc>
          <w:tcPr>
            <w:tcW w:w="1372" w:type="dxa"/>
            <w:tcBorders>
              <w:top w:val="nil"/>
              <w:left w:val="nil"/>
              <w:bottom w:val="single" w:sz="4" w:space="0" w:color="auto"/>
              <w:right w:val="single" w:sz="4" w:space="0" w:color="auto"/>
            </w:tcBorders>
          </w:tcPr>
          <w:p w:rsidR="000B433A" w:rsidRPr="005759E4" w:rsidRDefault="000B433A" w:rsidP="001A518E">
            <w:pPr>
              <w:spacing w:after="0" w:line="240" w:lineRule="auto"/>
              <w:jc w:val="right"/>
              <w:rPr>
                <w:rFonts w:cs="Calibri"/>
                <w:lang w:val="de-DE"/>
              </w:rPr>
            </w:pPr>
            <w:r w:rsidRPr="005759E4">
              <w:rPr>
                <w:rFonts w:cs="Calibri"/>
                <w:lang w:val="de-DE"/>
              </w:rPr>
              <w:t>24 813</w:t>
            </w:r>
          </w:p>
        </w:tc>
      </w:tr>
      <w:tr w:rsidR="000B433A" w:rsidRPr="005759E4" w:rsidTr="001A518E">
        <w:trPr>
          <w:trHeight w:val="288"/>
          <w:jc w:val="center"/>
        </w:trPr>
        <w:tc>
          <w:tcPr>
            <w:tcW w:w="2420" w:type="dxa"/>
            <w:tcBorders>
              <w:top w:val="nil"/>
              <w:left w:val="single" w:sz="4" w:space="0" w:color="auto"/>
              <w:bottom w:val="single" w:sz="4" w:space="0" w:color="auto"/>
              <w:right w:val="single" w:sz="4" w:space="0" w:color="auto"/>
            </w:tcBorders>
            <w:noWrap/>
            <w:vAlign w:val="bottom"/>
          </w:tcPr>
          <w:p w:rsidR="000B433A" w:rsidRPr="005759E4" w:rsidRDefault="000B433A" w:rsidP="001A518E">
            <w:pPr>
              <w:spacing w:after="0" w:line="240" w:lineRule="auto"/>
              <w:rPr>
                <w:rFonts w:cs="Calibri"/>
                <w:sz w:val="20"/>
                <w:szCs w:val="20"/>
                <w:lang w:val="de-DE"/>
              </w:rPr>
            </w:pPr>
            <w:r w:rsidRPr="005759E4">
              <w:rPr>
                <w:rFonts w:cs="Calibri"/>
                <w:sz w:val="20"/>
                <w:lang w:val="de-DE"/>
              </w:rPr>
              <w:t>ESD-Emissionen</w:t>
            </w:r>
          </w:p>
        </w:tc>
        <w:tc>
          <w:tcPr>
            <w:tcW w:w="1680" w:type="dxa"/>
            <w:tcBorders>
              <w:top w:val="nil"/>
              <w:left w:val="nil"/>
              <w:bottom w:val="single" w:sz="4" w:space="0" w:color="auto"/>
              <w:right w:val="single" w:sz="4" w:space="0" w:color="auto"/>
            </w:tcBorders>
            <w:noWrap/>
            <w:vAlign w:val="bottom"/>
          </w:tcPr>
          <w:p w:rsidR="000B433A" w:rsidRPr="005759E4" w:rsidRDefault="000B433A" w:rsidP="001A518E">
            <w:pPr>
              <w:spacing w:after="0" w:line="240" w:lineRule="auto"/>
              <w:jc w:val="right"/>
              <w:rPr>
                <w:rFonts w:cs="Calibri"/>
                <w:lang w:val="de-DE"/>
              </w:rPr>
            </w:pPr>
            <w:r w:rsidRPr="005759E4">
              <w:rPr>
                <w:rFonts w:cs="Calibri"/>
                <w:lang w:val="de-DE"/>
              </w:rPr>
              <w:t>24 283</w:t>
            </w:r>
          </w:p>
        </w:tc>
        <w:tc>
          <w:tcPr>
            <w:tcW w:w="1900" w:type="dxa"/>
            <w:tcBorders>
              <w:top w:val="nil"/>
              <w:left w:val="nil"/>
              <w:bottom w:val="single" w:sz="4" w:space="0" w:color="auto"/>
              <w:right w:val="single" w:sz="4" w:space="0" w:color="auto"/>
            </w:tcBorders>
            <w:noWrap/>
            <w:vAlign w:val="bottom"/>
          </w:tcPr>
          <w:p w:rsidR="000B433A" w:rsidRPr="005759E4" w:rsidRDefault="000B433A" w:rsidP="001A518E">
            <w:pPr>
              <w:spacing w:after="0" w:line="240" w:lineRule="auto"/>
              <w:jc w:val="right"/>
              <w:rPr>
                <w:rFonts w:cs="Calibri"/>
                <w:lang w:val="de-DE"/>
              </w:rPr>
            </w:pPr>
            <w:r w:rsidRPr="005759E4">
              <w:rPr>
                <w:rFonts w:cs="Calibri"/>
                <w:lang w:val="de-DE"/>
              </w:rPr>
              <w:t>23 207</w:t>
            </w:r>
          </w:p>
        </w:tc>
        <w:tc>
          <w:tcPr>
            <w:tcW w:w="1840" w:type="dxa"/>
            <w:tcBorders>
              <w:top w:val="nil"/>
              <w:left w:val="nil"/>
              <w:bottom w:val="single" w:sz="4" w:space="0" w:color="auto"/>
              <w:right w:val="single" w:sz="4" w:space="0" w:color="auto"/>
            </w:tcBorders>
            <w:noWrap/>
            <w:vAlign w:val="bottom"/>
          </w:tcPr>
          <w:p w:rsidR="000B433A" w:rsidRPr="005759E4" w:rsidRDefault="000B433A" w:rsidP="001A518E">
            <w:pPr>
              <w:spacing w:after="0" w:line="240" w:lineRule="auto"/>
              <w:jc w:val="right"/>
              <w:rPr>
                <w:rFonts w:cs="Calibri"/>
                <w:lang w:val="de-DE"/>
              </w:rPr>
            </w:pPr>
            <w:r w:rsidRPr="005759E4">
              <w:rPr>
                <w:rFonts w:cs="Calibri"/>
                <w:lang w:val="de-DE"/>
              </w:rPr>
              <w:t>23 889</w:t>
            </w:r>
          </w:p>
        </w:tc>
        <w:tc>
          <w:tcPr>
            <w:tcW w:w="1372" w:type="dxa"/>
            <w:tcBorders>
              <w:top w:val="nil"/>
              <w:left w:val="nil"/>
              <w:bottom w:val="single" w:sz="4" w:space="0" w:color="auto"/>
              <w:right w:val="single" w:sz="4" w:space="0" w:color="auto"/>
            </w:tcBorders>
          </w:tcPr>
          <w:p w:rsidR="000B433A" w:rsidRPr="005759E4" w:rsidRDefault="000B433A" w:rsidP="001A518E">
            <w:pPr>
              <w:spacing w:after="0" w:line="240" w:lineRule="auto"/>
              <w:jc w:val="right"/>
              <w:rPr>
                <w:rFonts w:cs="Calibri"/>
                <w:lang w:val="de-DE"/>
              </w:rPr>
            </w:pPr>
            <w:r w:rsidRPr="005759E4">
              <w:rPr>
                <w:rFonts w:cs="Calibri"/>
                <w:lang w:val="de-DE"/>
              </w:rPr>
              <w:t>24 146</w:t>
            </w:r>
          </w:p>
        </w:tc>
      </w:tr>
      <w:tr w:rsidR="000B433A" w:rsidRPr="005759E4" w:rsidTr="001A518E">
        <w:trPr>
          <w:trHeight w:val="288"/>
          <w:jc w:val="center"/>
        </w:trPr>
        <w:tc>
          <w:tcPr>
            <w:tcW w:w="2420" w:type="dxa"/>
            <w:tcBorders>
              <w:top w:val="nil"/>
              <w:left w:val="single" w:sz="4" w:space="0" w:color="auto"/>
              <w:bottom w:val="single" w:sz="4" w:space="0" w:color="auto"/>
              <w:right w:val="single" w:sz="4" w:space="0" w:color="auto"/>
            </w:tcBorders>
            <w:noWrap/>
            <w:vAlign w:val="bottom"/>
          </w:tcPr>
          <w:p w:rsidR="000B433A" w:rsidRPr="005759E4" w:rsidRDefault="000B433A" w:rsidP="001A518E">
            <w:pPr>
              <w:spacing w:after="0" w:line="240" w:lineRule="auto"/>
              <w:rPr>
                <w:rFonts w:cs="Calibri"/>
                <w:sz w:val="20"/>
                <w:szCs w:val="20"/>
                <w:lang w:val="de-DE"/>
              </w:rPr>
            </w:pPr>
            <w:r w:rsidRPr="005759E4">
              <w:rPr>
                <w:rFonts w:cs="Calibri"/>
                <w:sz w:val="20"/>
                <w:lang w:val="de-DE"/>
              </w:rPr>
              <w:t>ESD-Saldo (Überschuss)</w:t>
            </w:r>
          </w:p>
        </w:tc>
        <w:tc>
          <w:tcPr>
            <w:tcW w:w="1680" w:type="dxa"/>
            <w:tcBorders>
              <w:top w:val="nil"/>
              <w:left w:val="nil"/>
              <w:bottom w:val="single" w:sz="4" w:space="0" w:color="auto"/>
              <w:right w:val="single" w:sz="4" w:space="0" w:color="auto"/>
            </w:tcBorders>
            <w:noWrap/>
            <w:vAlign w:val="bottom"/>
          </w:tcPr>
          <w:p w:rsidR="000B433A" w:rsidRPr="005759E4" w:rsidRDefault="000B433A" w:rsidP="001A518E">
            <w:pPr>
              <w:spacing w:after="0" w:line="240" w:lineRule="auto"/>
              <w:jc w:val="right"/>
              <w:rPr>
                <w:rFonts w:cs="Calibri"/>
                <w:lang w:val="de-DE"/>
              </w:rPr>
            </w:pPr>
            <w:r w:rsidRPr="005759E4">
              <w:rPr>
                <w:rFonts w:cs="Calibri"/>
                <w:lang w:val="de-DE"/>
              </w:rPr>
              <w:t>1 747</w:t>
            </w:r>
          </w:p>
        </w:tc>
        <w:tc>
          <w:tcPr>
            <w:tcW w:w="1900" w:type="dxa"/>
            <w:tcBorders>
              <w:top w:val="nil"/>
              <w:left w:val="nil"/>
              <w:bottom w:val="single" w:sz="4" w:space="0" w:color="auto"/>
              <w:right w:val="single" w:sz="4" w:space="0" w:color="auto"/>
            </w:tcBorders>
            <w:noWrap/>
            <w:vAlign w:val="bottom"/>
          </w:tcPr>
          <w:p w:rsidR="000B433A" w:rsidRPr="005759E4" w:rsidRDefault="000B433A" w:rsidP="001A518E">
            <w:pPr>
              <w:spacing w:after="0" w:line="240" w:lineRule="auto"/>
              <w:jc w:val="right"/>
              <w:rPr>
                <w:rFonts w:cs="Calibri"/>
                <w:lang w:val="de-DE"/>
              </w:rPr>
            </w:pPr>
            <w:r w:rsidRPr="005759E4">
              <w:rPr>
                <w:rFonts w:cs="Calibri"/>
                <w:lang w:val="de-DE"/>
              </w:rPr>
              <w:t>2 417</w:t>
            </w:r>
          </w:p>
        </w:tc>
        <w:tc>
          <w:tcPr>
            <w:tcW w:w="1840" w:type="dxa"/>
            <w:tcBorders>
              <w:top w:val="nil"/>
              <w:left w:val="nil"/>
              <w:bottom w:val="single" w:sz="4" w:space="0" w:color="auto"/>
              <w:right w:val="single" w:sz="4" w:space="0" w:color="auto"/>
            </w:tcBorders>
            <w:noWrap/>
            <w:vAlign w:val="bottom"/>
          </w:tcPr>
          <w:p w:rsidR="000B433A" w:rsidRPr="005759E4" w:rsidRDefault="000B433A" w:rsidP="001A518E">
            <w:pPr>
              <w:spacing w:after="0" w:line="240" w:lineRule="auto"/>
              <w:jc w:val="right"/>
              <w:rPr>
                <w:rFonts w:cs="Calibri"/>
                <w:lang w:val="de-DE"/>
              </w:rPr>
            </w:pPr>
            <w:r w:rsidRPr="005759E4">
              <w:rPr>
                <w:rFonts w:cs="Calibri"/>
                <w:lang w:val="de-DE"/>
              </w:rPr>
              <w:t>1 329</w:t>
            </w:r>
          </w:p>
        </w:tc>
        <w:tc>
          <w:tcPr>
            <w:tcW w:w="1372" w:type="dxa"/>
            <w:tcBorders>
              <w:top w:val="nil"/>
              <w:left w:val="nil"/>
              <w:bottom w:val="single" w:sz="4" w:space="0" w:color="auto"/>
              <w:right w:val="single" w:sz="4" w:space="0" w:color="auto"/>
            </w:tcBorders>
          </w:tcPr>
          <w:p w:rsidR="000B433A" w:rsidRPr="005759E4" w:rsidRDefault="000B433A" w:rsidP="001A518E">
            <w:pPr>
              <w:spacing w:after="0" w:line="240" w:lineRule="auto"/>
              <w:jc w:val="right"/>
              <w:rPr>
                <w:rFonts w:cs="Calibri"/>
                <w:lang w:val="de-DE"/>
              </w:rPr>
            </w:pPr>
            <w:r w:rsidRPr="005759E4">
              <w:rPr>
                <w:rFonts w:cs="Calibri"/>
                <w:lang w:val="de-DE"/>
              </w:rPr>
              <w:t>667</w:t>
            </w:r>
          </w:p>
        </w:tc>
      </w:tr>
    </w:tbl>
    <w:p w:rsidR="000B433A" w:rsidRPr="00B33CC4" w:rsidRDefault="000B433A" w:rsidP="00BB673C">
      <w:pPr>
        <w:jc w:val="left"/>
        <w:rPr>
          <w:rFonts w:cs="Calibri"/>
          <w:color w:val="1F497D"/>
          <w:sz w:val="22"/>
          <w:lang w:val="de-DE"/>
        </w:rPr>
      </w:pPr>
      <w:r>
        <w:rPr>
          <w:rFonts w:cs="Calibri"/>
          <w:color w:val="1F497D"/>
          <w:sz w:val="22"/>
          <w:lang w:val="de-DE"/>
        </w:rPr>
        <w:t>Bilanz der wallonischen ESD-Emissionen, 2013 - 2016 (kt CO</w:t>
      </w:r>
      <w:r w:rsidRPr="00B33CC4">
        <w:rPr>
          <w:rFonts w:cs="Calibri"/>
          <w:color w:val="1F497D"/>
          <w:sz w:val="22"/>
          <w:vertAlign w:val="subscript"/>
          <w:lang w:val="de-DE"/>
        </w:rPr>
        <w:t>2</w:t>
      </w:r>
      <w:r>
        <w:rPr>
          <w:rFonts w:cs="Calibri"/>
          <w:color w:val="1F497D"/>
          <w:sz w:val="22"/>
          <w:lang w:val="de-DE"/>
        </w:rPr>
        <w:t>-Äqu.), validierte Daten</w:t>
      </w:r>
    </w:p>
    <w:p w:rsidR="000B433A" w:rsidRPr="00362E25" w:rsidRDefault="000B433A" w:rsidP="00A40602">
      <w:pPr>
        <w:rPr>
          <w:rFonts w:cs="Calibri"/>
          <w:lang w:val="de-DE"/>
        </w:rPr>
      </w:pPr>
      <w:r>
        <w:rPr>
          <w:rFonts w:cs="Calibri"/>
          <w:lang w:val="de-DE"/>
        </w:rPr>
        <w:t>Die endgültige Bilanz für 2017 kann erst Ende 2019 erstellt werden, nachdem die Emissionsinventur von der Europäischen Kommission überprüft und die regionalen Bilanzen von der Nationalen Klimakommission validiert wurden. Nach den aktuellen Daten (Inventur am 15. März 2019) würde die Wallonie im Jahr 2017 einen Bonus von rund 1,6 Millionen Tonnen CO</w:t>
      </w:r>
      <w:r w:rsidRPr="00362E25">
        <w:rPr>
          <w:rFonts w:cs="Calibri"/>
          <w:vertAlign w:val="subscript"/>
          <w:lang w:val="de-DE"/>
        </w:rPr>
        <w:t>2</w:t>
      </w:r>
      <w:r>
        <w:rPr>
          <w:rFonts w:cs="Calibri"/>
          <w:lang w:val="de-DE"/>
        </w:rPr>
        <w:t>-Äquivalent erhalten.</w:t>
      </w:r>
    </w:p>
    <w:p w:rsidR="000B433A" w:rsidRPr="005F5D9D" w:rsidRDefault="000B433A" w:rsidP="00A40602">
      <w:pPr>
        <w:rPr>
          <w:rFonts w:cs="Calibri"/>
          <w:lang w:val="de-DE"/>
        </w:rPr>
      </w:pPr>
      <w:r>
        <w:rPr>
          <w:rFonts w:cs="Calibri"/>
          <w:lang w:val="de-DE"/>
        </w:rPr>
        <w:t xml:space="preserve">Da die einzuschlagende Richtung von Jahr zu Jahr zwingender ist, ist die Einhaltung des Ziels für die Folgejahre nicht gewährleistet, wobei die in den ersten Jahren erzielten Überschüsse zur Sicherstellung der Einhaltung verwendet werden können. </w:t>
      </w:r>
    </w:p>
    <w:p w:rsidR="000B433A" w:rsidRDefault="00372180" w:rsidP="00A40602">
      <w:pPr>
        <w:pStyle w:val="Lgende"/>
        <w:rPr>
          <w:rFonts w:cs="Calibri"/>
          <w:lang w:val="de-DE"/>
        </w:rPr>
      </w:pPr>
      <w:r>
        <w:rPr>
          <w:noProof/>
          <w:lang w:val="fr-BE" w:eastAsia="fr-BE"/>
        </w:rPr>
        <w:drawing>
          <wp:inline distT="0" distB="0" distL="0" distR="0">
            <wp:extent cx="5671185" cy="3694430"/>
            <wp:effectExtent l="1905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srcRect/>
                    <a:stretch>
                      <a:fillRect/>
                    </a:stretch>
                  </pic:blipFill>
                  <pic:spPr bwMode="auto">
                    <a:xfrm>
                      <a:off x="0" y="0"/>
                      <a:ext cx="5671185" cy="3694430"/>
                    </a:xfrm>
                    <a:prstGeom prst="rect">
                      <a:avLst/>
                    </a:prstGeom>
                    <a:noFill/>
                    <a:ln w="9525">
                      <a:noFill/>
                      <a:miter lim="800000"/>
                      <a:headEnd/>
                      <a:tailEnd/>
                    </a:ln>
                  </pic:spPr>
                </pic:pic>
              </a:graphicData>
            </a:graphic>
          </wp:inline>
        </w:drawing>
      </w:r>
    </w:p>
    <w:p w:rsidR="000B433A" w:rsidRPr="004F0E80" w:rsidRDefault="000B433A" w:rsidP="004F0E80">
      <w:pPr>
        <w:pStyle w:val="Lgende"/>
        <w:spacing w:after="0"/>
        <w:rPr>
          <w:rFonts w:cs="Calibri"/>
          <w:color w:val="808080"/>
          <w:sz w:val="16"/>
          <w:lang w:val="de-DE"/>
        </w:rPr>
      </w:pPr>
      <w:r>
        <w:rPr>
          <w:rFonts w:cs="Calibri"/>
          <w:color w:val="808080"/>
          <w:sz w:val="16"/>
          <w:lang w:val="de-DE"/>
        </w:rPr>
        <w:t>Entwicklung der Emissionen in % von 1990</w:t>
      </w:r>
    </w:p>
    <w:p w:rsidR="000B433A" w:rsidRPr="004F0E80" w:rsidRDefault="000B433A" w:rsidP="004F0E80">
      <w:pPr>
        <w:pStyle w:val="Lgende"/>
        <w:spacing w:after="0"/>
        <w:rPr>
          <w:rFonts w:cs="Calibri"/>
          <w:color w:val="808080"/>
          <w:sz w:val="16"/>
          <w:lang w:val="de-DE"/>
        </w:rPr>
      </w:pPr>
      <w:r>
        <w:rPr>
          <w:rFonts w:cs="Calibri"/>
          <w:b/>
          <w:color w:val="808080"/>
          <w:sz w:val="16"/>
          <w:lang w:val="de-DE"/>
        </w:rPr>
        <w:t>1995:</w:t>
      </w:r>
      <w:r w:rsidRPr="004F0E80">
        <w:rPr>
          <w:rFonts w:cs="Calibri"/>
          <w:color w:val="808080"/>
          <w:sz w:val="16"/>
          <w:lang w:val="de-DE"/>
        </w:rPr>
        <w:t xml:space="preserve"> Kaltes Jahr, jedoch begrenzte Erhöhung der Emissionen infolge der Stilllegung eines Hochofens</w:t>
      </w:r>
      <w:r>
        <w:rPr>
          <w:rFonts w:cs="Calibri"/>
          <w:b/>
          <w:color w:val="808080"/>
          <w:sz w:val="16"/>
          <w:lang w:val="de-DE"/>
        </w:rPr>
        <w:t>;</w:t>
      </w:r>
    </w:p>
    <w:p w:rsidR="000B433A" w:rsidRPr="004F0E80" w:rsidRDefault="000B433A" w:rsidP="004F0E80">
      <w:pPr>
        <w:pStyle w:val="Lgende"/>
        <w:spacing w:after="0"/>
        <w:rPr>
          <w:rFonts w:cs="Calibri"/>
          <w:color w:val="808080"/>
          <w:sz w:val="16"/>
          <w:lang w:val="de-DE"/>
        </w:rPr>
      </w:pPr>
      <w:r>
        <w:rPr>
          <w:rFonts w:cs="Calibri"/>
          <w:b/>
          <w:color w:val="808080"/>
          <w:sz w:val="16"/>
          <w:lang w:val="de-DE"/>
        </w:rPr>
        <w:t xml:space="preserve">ab 2001: </w:t>
      </w:r>
      <w:r w:rsidRPr="004F0E80">
        <w:rPr>
          <w:rFonts w:cs="Calibri"/>
          <w:color w:val="808080"/>
          <w:sz w:val="16"/>
          <w:lang w:val="de-DE"/>
        </w:rPr>
        <w:t>Entwicklung der Verbrennung von Biomasse in Zementwerken und Gewinnung von Biogas in den technischen Vergrabungszentren</w:t>
      </w:r>
    </w:p>
    <w:p w:rsidR="000B433A" w:rsidRPr="004F0E80" w:rsidRDefault="000B433A" w:rsidP="004F0E80">
      <w:pPr>
        <w:pStyle w:val="Lgende"/>
        <w:spacing w:after="0"/>
        <w:rPr>
          <w:rFonts w:cs="Calibri"/>
          <w:color w:val="808080"/>
          <w:sz w:val="16"/>
          <w:lang w:val="de-DE"/>
        </w:rPr>
      </w:pPr>
      <w:r>
        <w:rPr>
          <w:rFonts w:cs="Calibri"/>
          <w:b/>
          <w:color w:val="808080"/>
          <w:sz w:val="16"/>
          <w:lang w:val="de-DE"/>
        </w:rPr>
        <w:t xml:space="preserve">2002: </w:t>
      </w:r>
      <w:r w:rsidRPr="004F0E80">
        <w:rPr>
          <w:rFonts w:cs="Calibri"/>
          <w:color w:val="808080"/>
          <w:sz w:val="16"/>
          <w:lang w:val="de-DE"/>
        </w:rPr>
        <w:t>Stilllegung eines Hochofens und einer Kokerei</w:t>
      </w:r>
    </w:p>
    <w:p w:rsidR="000B433A" w:rsidRPr="004F0E80" w:rsidRDefault="000B433A" w:rsidP="004F0E80">
      <w:pPr>
        <w:pStyle w:val="Lgende"/>
        <w:spacing w:after="0"/>
        <w:rPr>
          <w:rFonts w:cs="Calibri"/>
          <w:color w:val="808080"/>
          <w:sz w:val="16"/>
          <w:lang w:val="de-DE"/>
        </w:rPr>
      </w:pPr>
      <w:r>
        <w:rPr>
          <w:rFonts w:cs="Calibri"/>
          <w:b/>
          <w:color w:val="808080"/>
          <w:sz w:val="16"/>
          <w:lang w:val="de-DE"/>
        </w:rPr>
        <w:t xml:space="preserve">2006 - 2007: </w:t>
      </w:r>
      <w:r w:rsidRPr="004F0E80">
        <w:rPr>
          <w:rFonts w:cs="Calibri"/>
          <w:color w:val="808080"/>
          <w:sz w:val="16"/>
          <w:lang w:val="de-DE"/>
        </w:rPr>
        <w:t>Sehr milde Winter, starker Rückgang des Verbrauchs in den Bereichen Wohnen und Dienstleistungen</w:t>
      </w:r>
    </w:p>
    <w:p w:rsidR="000B433A" w:rsidRPr="004F0E80" w:rsidRDefault="000B433A" w:rsidP="004F0E80">
      <w:pPr>
        <w:pStyle w:val="Lgende"/>
        <w:spacing w:after="0"/>
        <w:rPr>
          <w:rFonts w:cs="Calibri"/>
          <w:color w:val="808080"/>
          <w:sz w:val="16"/>
          <w:lang w:val="de-DE"/>
        </w:rPr>
      </w:pPr>
      <w:r>
        <w:rPr>
          <w:rFonts w:cs="Calibri"/>
          <w:b/>
          <w:color w:val="808080"/>
          <w:sz w:val="16"/>
          <w:lang w:val="de-DE"/>
        </w:rPr>
        <w:t xml:space="preserve">2009: </w:t>
      </w:r>
      <w:r w:rsidRPr="004F0E80">
        <w:rPr>
          <w:rFonts w:cs="Calibri"/>
          <w:color w:val="808080"/>
          <w:sz w:val="16"/>
          <w:lang w:val="de-DE"/>
        </w:rPr>
        <w:t>Die Wirtschaftskrise führt zu außergewöhnlich niedrigen Industrieemissionen (fast vollständige Einstellung der Warmbetriebe)</w:t>
      </w:r>
    </w:p>
    <w:p w:rsidR="000B433A" w:rsidRPr="004F0E80" w:rsidRDefault="000B433A" w:rsidP="004F0E80">
      <w:pPr>
        <w:pStyle w:val="Lgende"/>
        <w:spacing w:after="0"/>
        <w:rPr>
          <w:rFonts w:cs="Calibri"/>
          <w:color w:val="808080"/>
          <w:sz w:val="16"/>
          <w:lang w:val="de-DE"/>
        </w:rPr>
      </w:pPr>
      <w:r>
        <w:rPr>
          <w:rFonts w:cs="Calibri"/>
          <w:b/>
          <w:color w:val="808080"/>
          <w:sz w:val="16"/>
          <w:lang w:val="de-DE"/>
        </w:rPr>
        <w:t>2010:</w:t>
      </w:r>
      <w:r w:rsidRPr="004F0E80">
        <w:rPr>
          <w:rFonts w:cs="Calibri"/>
          <w:color w:val="808080"/>
          <w:sz w:val="16"/>
          <w:lang w:val="de-DE"/>
        </w:rPr>
        <w:t xml:space="preserve"> Die meisten Branchen erholen sich, das Produktionsniveau der Warmbetriebe bleibt jedoch sehr niedrig</w:t>
      </w:r>
    </w:p>
    <w:p w:rsidR="000B433A" w:rsidRPr="004F0E80" w:rsidRDefault="000B433A" w:rsidP="004F0E80">
      <w:pPr>
        <w:pStyle w:val="Lgende"/>
        <w:spacing w:after="0"/>
        <w:rPr>
          <w:rFonts w:cs="Calibri"/>
          <w:color w:val="808080"/>
          <w:sz w:val="16"/>
          <w:lang w:val="de-DE"/>
        </w:rPr>
      </w:pPr>
      <w:r>
        <w:rPr>
          <w:rFonts w:cs="Calibri"/>
          <w:b/>
          <w:color w:val="808080"/>
          <w:sz w:val="16"/>
          <w:lang w:val="de-DE"/>
        </w:rPr>
        <w:t xml:space="preserve">2011: </w:t>
      </w:r>
      <w:r w:rsidRPr="004F0E80">
        <w:rPr>
          <w:rFonts w:cs="Calibri"/>
          <w:color w:val="808080"/>
          <w:sz w:val="16"/>
          <w:lang w:val="de-DE"/>
        </w:rPr>
        <w:t xml:space="preserve">Verbesserung der Prozesse der Herstellung von Salpetersäure &amp; geringe Heizungsemissionen (zweitwärmstes Jahr in Belgien, nach </w:t>
      </w:r>
      <w:r>
        <w:rPr>
          <w:rFonts w:cs="Calibri"/>
          <w:color w:val="808080"/>
          <w:sz w:val="16"/>
          <w:lang w:val="de-DE"/>
        </w:rPr>
        <w:t>2</w:t>
      </w:r>
      <w:r w:rsidRPr="004F0E80">
        <w:rPr>
          <w:rFonts w:cs="Calibri"/>
          <w:color w:val="808080"/>
          <w:sz w:val="16"/>
          <w:lang w:val="de-DE"/>
        </w:rPr>
        <w:t>014)</w:t>
      </w:r>
    </w:p>
    <w:p w:rsidR="000B433A" w:rsidRPr="004F0E80" w:rsidRDefault="000B433A" w:rsidP="004F0E80">
      <w:pPr>
        <w:pStyle w:val="Lgende"/>
        <w:spacing w:after="0"/>
        <w:rPr>
          <w:rFonts w:cs="Calibri"/>
          <w:color w:val="808080"/>
          <w:sz w:val="16"/>
          <w:lang w:val="de-DE"/>
        </w:rPr>
      </w:pPr>
      <w:r>
        <w:rPr>
          <w:rFonts w:cs="Calibri"/>
          <w:b/>
          <w:color w:val="808080"/>
          <w:sz w:val="16"/>
          <w:lang w:val="de-DE"/>
        </w:rPr>
        <w:t xml:space="preserve">2012 - 2013: </w:t>
      </w:r>
      <w:r w:rsidRPr="004F0E80">
        <w:rPr>
          <w:rFonts w:cs="Calibri"/>
          <w:color w:val="808080"/>
          <w:sz w:val="16"/>
          <w:lang w:val="de-DE"/>
        </w:rPr>
        <w:t>Endgültiger Abschluss der heißen Phase in der Stahlindustrie, Verlangsamung der Stromkraftwerke, Schließung von 2 Glaslinien</w:t>
      </w:r>
    </w:p>
    <w:p w:rsidR="000B433A" w:rsidRPr="004F0E80" w:rsidRDefault="000B433A" w:rsidP="004F0E80">
      <w:pPr>
        <w:pStyle w:val="Lgende"/>
        <w:spacing w:after="0"/>
        <w:rPr>
          <w:rFonts w:cs="Calibri"/>
          <w:color w:val="808080"/>
          <w:sz w:val="16"/>
          <w:lang w:val="de-DE"/>
        </w:rPr>
      </w:pPr>
      <w:r>
        <w:rPr>
          <w:rFonts w:cs="Calibri"/>
          <w:b/>
          <w:color w:val="808080"/>
          <w:sz w:val="16"/>
          <w:lang w:val="de-DE"/>
        </w:rPr>
        <w:t xml:space="preserve">2014: </w:t>
      </w:r>
      <w:r w:rsidRPr="004F0E80">
        <w:rPr>
          <w:rFonts w:cs="Calibri"/>
          <w:color w:val="808080"/>
          <w:sz w:val="16"/>
          <w:lang w:val="de-DE"/>
        </w:rPr>
        <w:t>Das in Belgien wärmste gemessene Jahr, im Gleichstand mit 2018.</w:t>
      </w:r>
    </w:p>
    <w:p w:rsidR="000B433A" w:rsidRPr="00B33CC4" w:rsidRDefault="000B433A" w:rsidP="00A40602">
      <w:pPr>
        <w:pStyle w:val="Lgende"/>
        <w:rPr>
          <w:rFonts w:cs="Calibri"/>
          <w:b/>
          <w:i w:val="0"/>
          <w:lang w:val="de-DE"/>
        </w:rPr>
      </w:pPr>
      <w:r>
        <w:rPr>
          <w:rFonts w:cs="Calibri"/>
          <w:lang w:val="de-DE"/>
        </w:rPr>
        <w:t xml:space="preserve">Abbildung </w:t>
      </w:r>
      <w:r w:rsidR="005A6B21" w:rsidRPr="00B33CC4">
        <w:rPr>
          <w:rFonts w:cs="Calibri"/>
          <w:lang w:val="de-DE"/>
        </w:rPr>
        <w:fldChar w:fldCharType="begin"/>
      </w:r>
      <w:r w:rsidRPr="00B33CC4">
        <w:rPr>
          <w:rFonts w:cs="Calibri"/>
          <w:lang w:val="de-DE"/>
        </w:rPr>
        <w:instrText xml:space="preserve"> SEQ Figure \* ARABIC </w:instrText>
      </w:r>
      <w:r w:rsidR="005A6B21" w:rsidRPr="00B33CC4">
        <w:rPr>
          <w:rFonts w:cs="Calibri"/>
          <w:lang w:val="de-DE"/>
        </w:rPr>
        <w:fldChar w:fldCharType="separate"/>
      </w:r>
      <w:r w:rsidRPr="00B33CC4">
        <w:rPr>
          <w:rFonts w:cs="Calibri"/>
          <w:lang w:val="de-DE"/>
        </w:rPr>
        <w:t>3</w:t>
      </w:r>
      <w:r w:rsidR="005A6B21" w:rsidRPr="00B33CC4">
        <w:rPr>
          <w:rFonts w:cs="Calibri"/>
          <w:lang w:val="de-DE"/>
        </w:rPr>
        <w:fldChar w:fldCharType="end"/>
      </w:r>
      <w:r>
        <w:rPr>
          <w:rFonts w:cs="Calibri"/>
          <w:lang w:val="de-DE"/>
        </w:rPr>
        <w:t>: Entwicklung der gesamten Treibhausgasemissionen in der Wallonie, einschließlich EHS- und ESD-Bereiche (Quelle: AwAC)</w:t>
      </w:r>
    </w:p>
    <w:p w:rsidR="000B433A" w:rsidRPr="005F5D9D" w:rsidRDefault="000B433A" w:rsidP="00A40602">
      <w:pPr>
        <w:rPr>
          <w:rFonts w:cs="Calibri"/>
          <w:lang w:val="de-DE"/>
        </w:rPr>
      </w:pPr>
      <w:r>
        <w:rPr>
          <w:rFonts w:cs="Calibri"/>
          <w:lang w:val="de-DE"/>
        </w:rPr>
        <w:t>Die bei den Emissionen zwischen den Jahren bestehenden starken Schwankungen sind im Allgemeinen auf eine Kombination verschiedener Faktoren zurückzuführen. Es können jedoch einige Ereignisse genannt werden, deren Auswirkungen auf die jährlichen Emissionen sich als signifikant erweisen:</w:t>
      </w:r>
    </w:p>
    <w:p w:rsidR="000B433A" w:rsidRDefault="000B433A">
      <w:pPr>
        <w:pStyle w:val="Paragraphedeliste"/>
        <w:numPr>
          <w:ilvl w:val="0"/>
          <w:numId w:val="68"/>
        </w:numPr>
        <w:spacing w:after="200"/>
        <w:rPr>
          <w:rFonts w:cs="Calibri"/>
          <w:lang w:val="de-DE"/>
        </w:rPr>
      </w:pPr>
      <w:r>
        <w:rPr>
          <w:rFonts w:cs="Calibri"/>
          <w:lang w:val="de-DE"/>
        </w:rPr>
        <w:t xml:space="preserve">1992 - 1993: Stilllegung eines Elektrizitätswerks, die Wirtschaftskrise, durch die ein Produktionsrückgang in der chemischen und Eisen- und Stahlindustrie bewirkt wurde; </w:t>
      </w:r>
    </w:p>
    <w:p w:rsidR="000B433A" w:rsidRDefault="000B433A">
      <w:pPr>
        <w:pStyle w:val="Paragraphedeliste"/>
        <w:numPr>
          <w:ilvl w:val="0"/>
          <w:numId w:val="68"/>
        </w:numPr>
        <w:spacing w:after="200"/>
        <w:rPr>
          <w:rFonts w:cs="Calibri"/>
          <w:lang w:val="de-DE"/>
        </w:rPr>
      </w:pPr>
      <w:r>
        <w:rPr>
          <w:rFonts w:cs="Calibri"/>
          <w:lang w:val="de-DE"/>
        </w:rPr>
        <w:t>1996: Kaltes Jahr (hoher Heizbedarf), jedoch Stilllegung eines Hochofens;</w:t>
      </w:r>
    </w:p>
    <w:p w:rsidR="000B433A" w:rsidRDefault="000B433A">
      <w:pPr>
        <w:pStyle w:val="Paragraphedeliste"/>
        <w:numPr>
          <w:ilvl w:val="0"/>
          <w:numId w:val="68"/>
        </w:numPr>
        <w:spacing w:after="200"/>
        <w:rPr>
          <w:rFonts w:cs="Calibri"/>
          <w:lang w:val="de-DE"/>
        </w:rPr>
      </w:pPr>
      <w:r>
        <w:rPr>
          <w:rFonts w:cs="Calibri"/>
          <w:lang w:val="de-DE"/>
        </w:rPr>
        <w:t>1997: Stilllegung einer Kokerei, von Hochöfen und sonstigen Anlagen der Eisen- und Stahlindustrie;</w:t>
      </w:r>
    </w:p>
    <w:p w:rsidR="000B433A" w:rsidRDefault="000B433A">
      <w:pPr>
        <w:pStyle w:val="Paragraphedeliste"/>
        <w:numPr>
          <w:ilvl w:val="0"/>
          <w:numId w:val="68"/>
        </w:numPr>
        <w:spacing w:after="200"/>
        <w:rPr>
          <w:rFonts w:cs="Calibri"/>
          <w:lang w:val="de-DE"/>
        </w:rPr>
      </w:pPr>
      <w:r>
        <w:rPr>
          <w:rFonts w:cs="Calibri"/>
          <w:lang w:val="de-DE"/>
        </w:rPr>
        <w:t>ab 2001: Entwicklung der Verbrennung von Biomasse in Zementwerken und Gewinnung von Methangas in den technischen Vergrabungszentren;</w:t>
      </w:r>
    </w:p>
    <w:p w:rsidR="000B433A" w:rsidRDefault="000B433A">
      <w:pPr>
        <w:pStyle w:val="Paragraphedeliste"/>
        <w:numPr>
          <w:ilvl w:val="0"/>
          <w:numId w:val="68"/>
        </w:numPr>
        <w:spacing w:after="200"/>
        <w:rPr>
          <w:rFonts w:cs="Calibri"/>
          <w:lang w:val="de-DE"/>
        </w:rPr>
      </w:pPr>
      <w:r>
        <w:rPr>
          <w:rFonts w:cs="Calibri"/>
          <w:lang w:val="de-DE"/>
        </w:rPr>
        <w:t xml:space="preserve">2002: Stilllegung eines Hochofens und einer Kokerei; </w:t>
      </w:r>
    </w:p>
    <w:p w:rsidR="000B433A" w:rsidRDefault="000B433A">
      <w:pPr>
        <w:pStyle w:val="Paragraphedeliste"/>
        <w:numPr>
          <w:ilvl w:val="0"/>
          <w:numId w:val="68"/>
        </w:numPr>
        <w:spacing w:after="200"/>
        <w:rPr>
          <w:rFonts w:cs="Calibri"/>
          <w:lang w:val="de-DE"/>
        </w:rPr>
      </w:pPr>
      <w:r>
        <w:rPr>
          <w:rFonts w:cs="Calibri"/>
          <w:lang w:val="de-DE"/>
        </w:rPr>
        <w:t>2006 und 2007: Sehr milde Winter, starker Rückgang des Verbrauchs in den Bereichen Wohnen und Dienstleistungen;</w:t>
      </w:r>
    </w:p>
    <w:p w:rsidR="000B433A" w:rsidRDefault="000B433A">
      <w:pPr>
        <w:pStyle w:val="Paragraphedeliste"/>
        <w:numPr>
          <w:ilvl w:val="0"/>
          <w:numId w:val="68"/>
        </w:numPr>
        <w:spacing w:after="200"/>
        <w:rPr>
          <w:rFonts w:cs="Calibri"/>
          <w:lang w:val="de-DE"/>
        </w:rPr>
      </w:pPr>
      <w:r>
        <w:rPr>
          <w:rFonts w:cs="Calibri"/>
          <w:lang w:val="de-DE"/>
        </w:rPr>
        <w:t>2009: Die Wirtschaftskrise verursacht eine beträchtliche Verlangsamung der industriellen Aktivität, was auf industrieller Ebene zu außerordentlich niedrigen Emissionen, mit beispielsweise vollständigem Stillstand bei Warmbetrieben der Eisen- und Stahlindustrie, führt;</w:t>
      </w:r>
    </w:p>
    <w:p w:rsidR="000B433A" w:rsidRDefault="000B433A">
      <w:pPr>
        <w:pStyle w:val="Paragraphedeliste"/>
        <w:numPr>
          <w:ilvl w:val="0"/>
          <w:numId w:val="68"/>
        </w:numPr>
        <w:spacing w:after="200"/>
        <w:rPr>
          <w:rFonts w:cs="Calibri"/>
          <w:lang w:val="de-DE"/>
        </w:rPr>
      </w:pPr>
      <w:r>
        <w:rPr>
          <w:rFonts w:cs="Calibri"/>
          <w:lang w:val="de-DE"/>
        </w:rPr>
        <w:t xml:space="preserve">2010: Bestimmte Branchen erholen sich nach und nach, das Produktionsniveau der Warmbetriebe bleibt jedoch sehr niedrig. </w:t>
      </w:r>
    </w:p>
    <w:p w:rsidR="000B433A" w:rsidRDefault="000B433A">
      <w:pPr>
        <w:pStyle w:val="Paragraphedeliste"/>
        <w:numPr>
          <w:ilvl w:val="0"/>
          <w:numId w:val="68"/>
        </w:numPr>
        <w:spacing w:after="200"/>
        <w:rPr>
          <w:rFonts w:cs="Calibri"/>
          <w:lang w:val="de-DE"/>
        </w:rPr>
      </w:pPr>
      <w:r>
        <w:rPr>
          <w:rFonts w:cs="Calibri"/>
          <w:lang w:val="de-DE"/>
        </w:rPr>
        <w:t>2011: Prozessverbesserung im Chemiebereich. Niedrige Heizungsemissionen (das nach 2014 und 2018 drittwärmste Jahr, das je in Belgien aufgezeichnet wurde)</w:t>
      </w:r>
    </w:p>
    <w:p w:rsidR="000B433A" w:rsidRDefault="000B433A">
      <w:pPr>
        <w:pStyle w:val="Paragraphedeliste"/>
        <w:numPr>
          <w:ilvl w:val="0"/>
          <w:numId w:val="68"/>
        </w:numPr>
        <w:spacing w:after="200"/>
        <w:rPr>
          <w:rFonts w:cs="Calibri"/>
          <w:lang w:val="de-DE"/>
        </w:rPr>
      </w:pPr>
      <w:r>
        <w:rPr>
          <w:rFonts w:cs="Calibri"/>
          <w:lang w:val="de-DE"/>
        </w:rPr>
        <w:t xml:space="preserve">2012 - 2013: Endgültiger Abschluss der heißen Phase in der Stahlindustrie, Verlangsamung der Stromkraftwerke, Schließung von 2 Glaslinien, offensichtlicher Rückgang des Straßenverkehrs im Zusammenhang mit den föderalen Statistiken. </w:t>
      </w:r>
    </w:p>
    <w:p w:rsidR="000B433A" w:rsidRDefault="000B433A">
      <w:pPr>
        <w:pStyle w:val="Paragraphedeliste"/>
        <w:numPr>
          <w:ilvl w:val="0"/>
          <w:numId w:val="68"/>
        </w:numPr>
        <w:spacing w:after="200"/>
        <w:rPr>
          <w:rFonts w:cs="Calibri"/>
          <w:lang w:val="de-DE"/>
        </w:rPr>
      </w:pPr>
      <w:r>
        <w:rPr>
          <w:rFonts w:cs="Calibri"/>
          <w:lang w:val="de-DE"/>
        </w:rPr>
        <w:t>2014: Sehr milder Winter: mit 1424 Gradtagen 15/15 weist 2014 einen Rückgang von 33 % gegenüber 2013 und 25 % gegenüber dem Durchschnitt von 1981 - 2010 (DGO4 Energiebilanz) auf. 2014 ist das in Belgien wärmste gemessene Jahr, im Gleichstand mit 2018.</w:t>
      </w:r>
    </w:p>
    <w:p w:rsidR="000B433A" w:rsidRPr="0068452F" w:rsidRDefault="000B433A" w:rsidP="00CB5387">
      <w:pPr>
        <w:rPr>
          <w:rFonts w:cs="Calibri"/>
          <w:lang w:val="de-DE"/>
        </w:rPr>
      </w:pPr>
      <w:r>
        <w:rPr>
          <w:rFonts w:cs="Calibri"/>
          <w:lang w:val="de-DE"/>
        </w:rPr>
        <w:t xml:space="preserve">Die allgemeine Entwicklung ist das Ergebnis </w:t>
      </w:r>
      <w:r w:rsidRPr="0068452F">
        <w:rPr>
          <w:rFonts w:cs="Calibri"/>
          <w:b/>
          <w:lang w:val="de-DE"/>
        </w:rPr>
        <w:t>sehr unterschiedlicher</w:t>
      </w:r>
      <w:r>
        <w:rPr>
          <w:rFonts w:cs="Calibri"/>
          <w:lang w:val="de-DE"/>
        </w:rPr>
        <w:t xml:space="preserve"> Trends in den einzelnen Sektoren (</w:t>
      </w:r>
      <w:fldSimple w:instr=" REF _Ref325620708 \h  \* MERGEFORMAT ">
        <w:r w:rsidRPr="0068452F">
          <w:rPr>
            <w:rFonts w:cs="Calibri"/>
            <w:lang w:val="de-DE"/>
          </w:rPr>
          <w:t>Abbildung 4</w:t>
        </w:r>
      </w:fldSimple>
      <w:r>
        <w:rPr>
          <w:rFonts w:cs="Calibri"/>
          <w:lang w:val="de-DE"/>
        </w:rPr>
        <w:t>) Die Sektoren Industrie und Stromerzeugung verzeichnen eine Reduzierung der Gesamtemissionen von 28 % bezw. 7 %, der Zuwachs der Emissionen in Verbindung mit dem Verkehr hingegen bewirkt eine Erhöhung der Gesamtemissionen um 3 %.</w:t>
      </w:r>
    </w:p>
    <w:p w:rsidR="000B433A" w:rsidRPr="0068452F" w:rsidRDefault="000B433A" w:rsidP="00CB5387">
      <w:pPr>
        <w:rPr>
          <w:rFonts w:cs="Calibri"/>
          <w:lang w:val="de-DE"/>
        </w:rPr>
      </w:pPr>
      <w:r w:rsidRPr="00A85733">
        <w:rPr>
          <w:rFonts w:cs="Calibri"/>
          <w:lang w:val="de-DE"/>
        </w:rPr>
        <w:t>Die wichtigsten Faktoren</w:t>
      </w:r>
      <w:r>
        <w:rPr>
          <w:rFonts w:cs="Calibri"/>
          <w:lang w:val="de-DE"/>
        </w:rPr>
        <w:t xml:space="preserve"> für die sektorale Entwicklung sind die folgenden:</w:t>
      </w:r>
    </w:p>
    <w:p w:rsidR="000B433A" w:rsidRDefault="000B433A">
      <w:pPr>
        <w:numPr>
          <w:ilvl w:val="0"/>
          <w:numId w:val="69"/>
        </w:numPr>
        <w:spacing w:after="200" w:line="240" w:lineRule="auto"/>
        <w:rPr>
          <w:rFonts w:cs="Calibri"/>
          <w:lang w:val="de-DE"/>
        </w:rPr>
      </w:pPr>
      <w:r>
        <w:rPr>
          <w:rFonts w:cs="Calibri"/>
          <w:i/>
          <w:lang w:val="de-DE"/>
        </w:rPr>
        <w:t>Energie:</w:t>
      </w:r>
      <w:r w:rsidRPr="0068452F">
        <w:rPr>
          <w:rFonts w:cs="Calibri"/>
          <w:lang w:val="de-DE"/>
        </w:rPr>
        <w:t xml:space="preserve"> Umstellung von Kohle auf Erdgas oder Holz, Schließung von Kokereien</w:t>
      </w:r>
    </w:p>
    <w:p w:rsidR="000B433A" w:rsidRDefault="000B433A">
      <w:pPr>
        <w:numPr>
          <w:ilvl w:val="0"/>
          <w:numId w:val="69"/>
        </w:numPr>
        <w:spacing w:after="200" w:line="240" w:lineRule="auto"/>
        <w:rPr>
          <w:rFonts w:cs="Calibri"/>
          <w:lang w:val="de-DE"/>
        </w:rPr>
      </w:pPr>
      <w:r>
        <w:rPr>
          <w:rFonts w:cs="Calibri"/>
          <w:i/>
          <w:lang w:val="de-DE"/>
        </w:rPr>
        <w:t>Industrie:</w:t>
      </w:r>
      <w:r w:rsidRPr="0068452F">
        <w:rPr>
          <w:rFonts w:cs="Calibri"/>
          <w:lang w:val="de-DE"/>
        </w:rPr>
        <w:t xml:space="preserve"> Schließung in der Stahlindustrie, verstärkter Einsatz von Gas oder alternativen Brennstoffen. Branchenabkommen und EHS. Die Wertschöpfung steigt trotz dieses Rückgangs.</w:t>
      </w:r>
    </w:p>
    <w:p w:rsidR="000B433A" w:rsidRDefault="000B433A">
      <w:pPr>
        <w:numPr>
          <w:ilvl w:val="0"/>
          <w:numId w:val="69"/>
        </w:numPr>
        <w:spacing w:after="200" w:line="240" w:lineRule="auto"/>
        <w:rPr>
          <w:rFonts w:cs="Calibri"/>
          <w:lang w:val="de-DE"/>
        </w:rPr>
      </w:pPr>
      <w:r>
        <w:rPr>
          <w:rFonts w:cs="Calibri"/>
          <w:i/>
          <w:lang w:val="de-DE"/>
        </w:rPr>
        <w:t>Wohn- und Dienstleistungsbereich:</w:t>
      </w:r>
      <w:r w:rsidRPr="0068452F">
        <w:rPr>
          <w:rFonts w:cs="Calibri"/>
          <w:lang w:val="de-DE"/>
        </w:rPr>
        <w:t xml:space="preserve"> Zunahme der Zahl der Wohnparks, erhöhter Stromverbrauch, begrenzter Übergang zu Erdgas, Isolierung, milderes Klima.</w:t>
      </w:r>
    </w:p>
    <w:p w:rsidR="000B433A" w:rsidRDefault="000B433A">
      <w:pPr>
        <w:numPr>
          <w:ilvl w:val="0"/>
          <w:numId w:val="69"/>
        </w:numPr>
        <w:spacing w:after="200" w:line="240" w:lineRule="auto"/>
        <w:rPr>
          <w:rFonts w:cs="Calibri"/>
          <w:lang w:val="de-DE"/>
        </w:rPr>
      </w:pPr>
      <w:r>
        <w:rPr>
          <w:rFonts w:cs="Calibri"/>
          <w:i/>
          <w:lang w:val="de-DE"/>
        </w:rPr>
        <w:t xml:space="preserve">Verkehr: </w:t>
      </w:r>
      <w:r w:rsidRPr="0068452F">
        <w:rPr>
          <w:rFonts w:cs="Calibri"/>
          <w:lang w:val="de-DE"/>
        </w:rPr>
        <w:t>Zunahme der Anzahl der Autos, ihres Hubraums und der zurückgelegten Kilometer.</w:t>
      </w:r>
    </w:p>
    <w:p w:rsidR="000B433A" w:rsidRDefault="000B433A">
      <w:pPr>
        <w:numPr>
          <w:ilvl w:val="0"/>
          <w:numId w:val="69"/>
        </w:numPr>
        <w:spacing w:after="200" w:line="240" w:lineRule="auto"/>
        <w:rPr>
          <w:rFonts w:cs="Calibri"/>
          <w:lang w:val="de-DE"/>
        </w:rPr>
      </w:pPr>
      <w:r>
        <w:rPr>
          <w:rFonts w:cs="Calibri"/>
          <w:i/>
          <w:lang w:val="de-DE"/>
        </w:rPr>
        <w:t>Landwirtschaft:</w:t>
      </w:r>
      <w:r w:rsidRPr="0068452F">
        <w:rPr>
          <w:rFonts w:cs="Calibri"/>
          <w:lang w:val="de-DE"/>
        </w:rPr>
        <w:t xml:space="preserve"> Reduzierung und Veränderung des Leben</w:t>
      </w:r>
      <w:r>
        <w:rPr>
          <w:rFonts w:cs="Calibri"/>
          <w:lang w:val="de-DE"/>
        </w:rPr>
        <w:t>d</w:t>
      </w:r>
      <w:r w:rsidRPr="0068452F">
        <w:rPr>
          <w:rFonts w:cs="Calibri"/>
          <w:lang w:val="de-DE"/>
        </w:rPr>
        <w:t>viehbestands. Reduzierung von mineralischen Düngemitteln.</w:t>
      </w:r>
    </w:p>
    <w:p w:rsidR="000B433A" w:rsidRDefault="000B433A">
      <w:pPr>
        <w:numPr>
          <w:ilvl w:val="0"/>
          <w:numId w:val="69"/>
        </w:numPr>
        <w:spacing w:after="200" w:line="240" w:lineRule="auto"/>
        <w:rPr>
          <w:rFonts w:cs="Calibri"/>
          <w:lang w:val="de-DE"/>
        </w:rPr>
      </w:pPr>
      <w:r>
        <w:rPr>
          <w:rFonts w:cs="Calibri"/>
          <w:i/>
          <w:lang w:val="de-DE"/>
        </w:rPr>
        <w:t>Abfälle:</w:t>
      </w:r>
      <w:r w:rsidRPr="0068452F">
        <w:rPr>
          <w:rFonts w:cs="Calibri"/>
          <w:lang w:val="de-DE"/>
        </w:rPr>
        <w:t xml:space="preserve"> Gewinnung und Verwertung von Biogas in den TVZ</w:t>
      </w:r>
    </w:p>
    <w:p w:rsidR="000B433A" w:rsidRPr="005F5D9D" w:rsidRDefault="000B433A" w:rsidP="00A40602">
      <w:pPr>
        <w:jc w:val="center"/>
        <w:rPr>
          <w:rFonts w:cs="Calibri"/>
          <w:lang w:val="de-DE"/>
        </w:rPr>
      </w:pPr>
    </w:p>
    <w:p w:rsidR="000B433A" w:rsidRDefault="000B433A" w:rsidP="00A40602">
      <w:pPr>
        <w:pStyle w:val="Lgende"/>
        <w:rPr>
          <w:rFonts w:cs="Calibri"/>
          <w:lang w:val="de-DE"/>
        </w:rPr>
      </w:pPr>
    </w:p>
    <w:p w:rsidR="000B433A" w:rsidRDefault="00372180" w:rsidP="00A40602">
      <w:pPr>
        <w:pStyle w:val="Lgende"/>
        <w:rPr>
          <w:rFonts w:cs="Calibri"/>
          <w:lang w:val="de-DE"/>
        </w:rPr>
      </w:pPr>
      <w:r>
        <w:rPr>
          <w:noProof/>
          <w:lang w:val="fr-BE" w:eastAsia="fr-BE"/>
        </w:rPr>
        <w:drawing>
          <wp:inline distT="0" distB="0" distL="0" distR="0">
            <wp:extent cx="5745480" cy="3763010"/>
            <wp:effectExtent l="1905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745480" cy="3763010"/>
                    </a:xfrm>
                    <a:prstGeom prst="rect">
                      <a:avLst/>
                    </a:prstGeom>
                    <a:noFill/>
                    <a:ln w="9525">
                      <a:noFill/>
                      <a:miter lim="800000"/>
                      <a:headEnd/>
                      <a:tailEnd/>
                    </a:ln>
                  </pic:spPr>
                </pic:pic>
              </a:graphicData>
            </a:graphic>
          </wp:inline>
        </w:drawing>
      </w:r>
    </w:p>
    <w:p w:rsidR="000B433A" w:rsidRPr="00791E99" w:rsidRDefault="000B433A" w:rsidP="00791E99">
      <w:pPr>
        <w:spacing w:after="0"/>
        <w:rPr>
          <w:b/>
          <w:i/>
          <w:color w:val="808080"/>
          <w:sz w:val="20"/>
          <w:lang w:val="de-DE"/>
        </w:rPr>
      </w:pPr>
      <w:r>
        <w:rPr>
          <w:b/>
          <w:i/>
          <w:color w:val="808080"/>
          <w:sz w:val="20"/>
          <w:lang w:val="de-DE"/>
        </w:rPr>
        <w:t>Entwicklung der Emissionen zwischen 1990 und 2017 (in kt CO2e)</w:t>
      </w:r>
    </w:p>
    <w:p w:rsidR="000B433A" w:rsidRPr="00791E99" w:rsidRDefault="000B433A" w:rsidP="00791E99">
      <w:pPr>
        <w:spacing w:after="0"/>
        <w:rPr>
          <w:i/>
          <w:color w:val="808080"/>
          <w:sz w:val="20"/>
          <w:lang w:val="de-DE"/>
        </w:rPr>
      </w:pPr>
      <w:r>
        <w:rPr>
          <w:i/>
          <w:color w:val="808080"/>
          <w:sz w:val="20"/>
          <w:lang w:val="de-DE"/>
        </w:rPr>
        <w:t>Energie (Stromerzeugung)</w:t>
      </w:r>
    </w:p>
    <w:p w:rsidR="000B433A" w:rsidRPr="00791E99" w:rsidRDefault="000B433A" w:rsidP="00791E99">
      <w:pPr>
        <w:spacing w:after="0"/>
        <w:rPr>
          <w:i/>
          <w:color w:val="808080"/>
          <w:sz w:val="20"/>
          <w:lang w:val="de-DE"/>
        </w:rPr>
      </w:pPr>
      <w:r>
        <w:rPr>
          <w:i/>
          <w:color w:val="808080"/>
          <w:sz w:val="20"/>
          <w:lang w:val="de-DE"/>
        </w:rPr>
        <w:t>Industrie</w:t>
      </w:r>
    </w:p>
    <w:p w:rsidR="000B433A" w:rsidRPr="00791E99" w:rsidRDefault="000B433A" w:rsidP="00791E99">
      <w:pPr>
        <w:spacing w:after="0"/>
        <w:rPr>
          <w:i/>
          <w:color w:val="808080"/>
          <w:sz w:val="20"/>
          <w:lang w:val="de-DE"/>
        </w:rPr>
      </w:pPr>
      <w:r>
        <w:rPr>
          <w:i/>
          <w:color w:val="808080"/>
          <w:sz w:val="20"/>
          <w:lang w:val="de-DE"/>
        </w:rPr>
        <w:t>Transport</w:t>
      </w:r>
    </w:p>
    <w:p w:rsidR="000B433A" w:rsidRPr="00791E99" w:rsidRDefault="000B433A" w:rsidP="00791E99">
      <w:pPr>
        <w:spacing w:after="0"/>
        <w:rPr>
          <w:i/>
          <w:color w:val="808080"/>
          <w:sz w:val="20"/>
          <w:lang w:val="de-DE"/>
        </w:rPr>
      </w:pPr>
      <w:r>
        <w:rPr>
          <w:i/>
          <w:color w:val="808080"/>
          <w:sz w:val="20"/>
          <w:lang w:val="de-DE"/>
        </w:rPr>
        <w:t>Wohnen</w:t>
      </w:r>
    </w:p>
    <w:p w:rsidR="000B433A" w:rsidRPr="00791E99" w:rsidRDefault="000B433A" w:rsidP="00791E99">
      <w:pPr>
        <w:spacing w:after="0"/>
        <w:rPr>
          <w:i/>
          <w:color w:val="808080"/>
          <w:sz w:val="20"/>
          <w:lang w:val="de-DE"/>
        </w:rPr>
      </w:pPr>
      <w:r>
        <w:rPr>
          <w:i/>
          <w:color w:val="808080"/>
          <w:sz w:val="20"/>
          <w:lang w:val="de-DE"/>
        </w:rPr>
        <w:t>Dienstleistungen</w:t>
      </w:r>
    </w:p>
    <w:p w:rsidR="000B433A" w:rsidRPr="00791E99" w:rsidRDefault="000B433A" w:rsidP="00791E99">
      <w:pPr>
        <w:spacing w:after="0"/>
        <w:rPr>
          <w:i/>
          <w:color w:val="808080"/>
          <w:sz w:val="20"/>
          <w:lang w:val="de-DE"/>
        </w:rPr>
      </w:pPr>
      <w:r>
        <w:rPr>
          <w:i/>
          <w:color w:val="808080"/>
          <w:sz w:val="20"/>
          <w:lang w:val="de-DE"/>
        </w:rPr>
        <w:t>Landwirtschaft</w:t>
      </w:r>
    </w:p>
    <w:p w:rsidR="000B433A" w:rsidRPr="00791E99" w:rsidRDefault="000B433A" w:rsidP="00791E99">
      <w:pPr>
        <w:spacing w:after="0"/>
        <w:rPr>
          <w:i/>
          <w:color w:val="808080"/>
          <w:sz w:val="20"/>
          <w:lang w:val="de-DE"/>
        </w:rPr>
      </w:pPr>
      <w:r>
        <w:rPr>
          <w:i/>
          <w:color w:val="808080"/>
          <w:sz w:val="20"/>
          <w:lang w:val="de-DE"/>
        </w:rPr>
        <w:t>Abfälle</w:t>
      </w:r>
    </w:p>
    <w:p w:rsidR="000B433A" w:rsidRPr="00791E99" w:rsidRDefault="000B433A" w:rsidP="00791E99">
      <w:pPr>
        <w:spacing w:after="0"/>
        <w:rPr>
          <w:i/>
          <w:color w:val="808080"/>
          <w:sz w:val="20"/>
          <w:lang w:val="de-DE"/>
        </w:rPr>
      </w:pPr>
      <w:r>
        <w:rPr>
          <w:i/>
          <w:color w:val="808080"/>
          <w:sz w:val="20"/>
          <w:lang w:val="de-DE"/>
        </w:rPr>
        <w:t>Sonstige</w:t>
      </w:r>
    </w:p>
    <w:p w:rsidR="000B433A" w:rsidRPr="00791E99" w:rsidRDefault="000B433A" w:rsidP="00791E99">
      <w:pPr>
        <w:spacing w:after="0"/>
        <w:rPr>
          <w:i/>
          <w:color w:val="808080"/>
          <w:sz w:val="20"/>
          <w:lang w:val="de-DE"/>
        </w:rPr>
      </w:pPr>
      <w:r>
        <w:rPr>
          <w:i/>
          <w:color w:val="808080"/>
          <w:sz w:val="20"/>
          <w:lang w:val="de-DE"/>
        </w:rPr>
        <w:t>Gesamtsumme Wallonie</w:t>
      </w:r>
    </w:p>
    <w:p w:rsidR="000B433A" w:rsidRPr="00B33CC4" w:rsidRDefault="000B433A" w:rsidP="00A40602">
      <w:pPr>
        <w:pStyle w:val="Lgende"/>
        <w:rPr>
          <w:rFonts w:cs="Calibri"/>
          <w:b/>
          <w:lang w:val="de-DE"/>
        </w:rPr>
      </w:pPr>
      <w:r>
        <w:rPr>
          <w:rFonts w:cs="Calibri"/>
          <w:lang w:val="de-DE"/>
        </w:rPr>
        <w:t xml:space="preserve">Abbildung </w:t>
      </w:r>
      <w:r w:rsidR="005A6B21" w:rsidRPr="00B33CC4">
        <w:rPr>
          <w:rFonts w:cs="Calibri"/>
          <w:lang w:val="de-DE"/>
        </w:rPr>
        <w:fldChar w:fldCharType="begin"/>
      </w:r>
      <w:r w:rsidRPr="00B33CC4">
        <w:rPr>
          <w:rFonts w:cs="Calibri"/>
          <w:lang w:val="de-DE"/>
        </w:rPr>
        <w:instrText xml:space="preserve"> SEQ Figure \* ARABIC </w:instrText>
      </w:r>
      <w:r w:rsidR="005A6B21" w:rsidRPr="00B33CC4">
        <w:rPr>
          <w:rFonts w:cs="Calibri"/>
          <w:lang w:val="de-DE"/>
        </w:rPr>
        <w:fldChar w:fldCharType="separate"/>
      </w:r>
      <w:r w:rsidRPr="00B33CC4">
        <w:rPr>
          <w:rFonts w:cs="Calibri"/>
          <w:lang w:val="de-DE"/>
        </w:rPr>
        <w:t>4</w:t>
      </w:r>
      <w:r w:rsidR="005A6B21" w:rsidRPr="00B33CC4">
        <w:rPr>
          <w:rFonts w:cs="Calibri"/>
          <w:lang w:val="de-DE"/>
        </w:rPr>
        <w:fldChar w:fldCharType="end"/>
      </w:r>
      <w:r>
        <w:rPr>
          <w:rFonts w:cs="Calibri"/>
          <w:lang w:val="de-DE"/>
        </w:rPr>
        <w:t>: Entwicklung der Treibhausgasemissionen nach Wirtschaftszweigen in der Wallonie (kt CO</w:t>
      </w:r>
      <w:r w:rsidRPr="00B33CC4">
        <w:rPr>
          <w:rFonts w:cs="Calibri"/>
          <w:vertAlign w:val="subscript"/>
          <w:lang w:val="de-DE"/>
        </w:rPr>
        <w:t>2</w:t>
      </w:r>
      <w:r>
        <w:rPr>
          <w:rFonts w:cs="Calibri"/>
          <w:lang w:val="de-DE"/>
        </w:rPr>
        <w:t>-Äqu., zwischen 1990 und 2017; Quelle AwAC)</w:t>
      </w:r>
    </w:p>
    <w:p w:rsidR="000B433A" w:rsidRPr="00B33CC4" w:rsidRDefault="000B433A" w:rsidP="00BB673C">
      <w:pPr>
        <w:pStyle w:val="Titre2"/>
        <w:numPr>
          <w:ilvl w:val="1"/>
          <w:numId w:val="1"/>
        </w:numPr>
        <w:ind w:left="851" w:hanging="851"/>
        <w:rPr>
          <w:rFonts w:ascii="Calibri" w:hAnsi="Calibri" w:cs="Calibri"/>
          <w:color w:val="1F497D"/>
          <w:sz w:val="28"/>
          <w:szCs w:val="28"/>
          <w:lang w:val="de-DE"/>
        </w:rPr>
      </w:pPr>
      <w:bookmarkStart w:id="9" w:name="_Toc7802424"/>
      <w:r>
        <w:rPr>
          <w:rFonts w:ascii="Calibri" w:hAnsi="Calibri" w:cs="Calibri"/>
          <w:color w:val="1F497D"/>
          <w:sz w:val="28"/>
          <w:lang w:val="de-DE"/>
        </w:rPr>
        <w:t>Energieeffizienz</w:t>
      </w:r>
      <w:bookmarkEnd w:id="9"/>
      <w:r>
        <w:rPr>
          <w:rFonts w:ascii="Calibri" w:hAnsi="Calibri" w:cs="Calibri"/>
          <w:color w:val="1F497D"/>
          <w:sz w:val="28"/>
          <w:lang w:val="de-DE"/>
        </w:rPr>
        <w:t xml:space="preserve"> </w:t>
      </w:r>
    </w:p>
    <w:p w:rsidR="000B433A" w:rsidRPr="005F5D9D" w:rsidRDefault="000B433A" w:rsidP="00EE0630">
      <w:pPr>
        <w:rPr>
          <w:rFonts w:cs="Calibri"/>
          <w:lang w:val="de-DE"/>
        </w:rPr>
      </w:pPr>
      <w:r>
        <w:rPr>
          <w:rFonts w:cs="Calibri"/>
          <w:lang w:val="de-DE"/>
        </w:rPr>
        <w:t>Die Umweltauswirkungen der Energieerzeugung und -nutzung hängen von den verbrauchten Energiemengen ab, aber auch von der Art der verwendeten Ressourcen: primäre oder sekundäre, fossile oder erneuerbare.</w:t>
      </w:r>
    </w:p>
    <w:p w:rsidR="000B433A" w:rsidRPr="005F5D9D" w:rsidRDefault="000B433A" w:rsidP="00EE0630">
      <w:pPr>
        <w:rPr>
          <w:rFonts w:cs="Calibri"/>
          <w:lang w:val="de-DE"/>
        </w:rPr>
      </w:pPr>
      <w:r>
        <w:rPr>
          <w:rFonts w:cs="Calibri"/>
          <w:lang w:val="de-DE"/>
        </w:rPr>
        <w:t>Der reale Energiebedarf der Wallonie wird durch den Bruttoinlandsenergieverbrauch (BIEV) dargestellt.</w:t>
      </w:r>
      <w:r w:rsidRPr="003514A5">
        <w:rPr>
          <w:rFonts w:cs="Calibri"/>
          <w:b/>
          <w:vertAlign w:val="superscript"/>
          <w:lang w:val="de-DE"/>
        </w:rPr>
        <w:footnoteReference w:id="5"/>
      </w:r>
    </w:p>
    <w:p w:rsidR="000B433A" w:rsidRPr="005F5D9D" w:rsidRDefault="000B433A" w:rsidP="00EE0630">
      <w:pPr>
        <w:rPr>
          <w:rFonts w:cs="Calibri"/>
          <w:lang w:val="de-DE"/>
        </w:rPr>
      </w:pPr>
      <w:r>
        <w:rPr>
          <w:rFonts w:cs="Calibri"/>
          <w:lang w:val="de-DE"/>
        </w:rPr>
        <w:t xml:space="preserve">Im Vergleich zum bekannteren Begriff „Endenergieverbrauch“ ist zu beachten, dass zum Endverbrauch Verluste aus der Energieumwandlung und -verteilung sowie der Brennstoffverbrauch von Kraftwerken hinzukommen. </w:t>
      </w:r>
    </w:p>
    <w:p w:rsidR="000B433A" w:rsidRPr="005F5D9D" w:rsidRDefault="000B433A" w:rsidP="00EE0630">
      <w:pPr>
        <w:rPr>
          <w:rFonts w:cs="Calibri"/>
          <w:lang w:val="de-DE"/>
        </w:rPr>
      </w:pPr>
      <w:r>
        <w:rPr>
          <w:rFonts w:cs="Calibri"/>
          <w:lang w:val="de-DE"/>
        </w:rPr>
        <w:t>Die folgende Grafik zeigt, dass wir insgesamt und seit 2004 jedes Jahr weniger Energie verbrauchen, mit einem Rückgang von 15 % gegenüber 1990. Wir sehen, dass dieser Rückgang des Verbrauchs Auswirkungen auf die Stromerzeugung aus Kernenergie hat, die von 65 TWh im Jahr 1990 auf 57 TWh im Jahr 2016 steigt. Dieser Rückgang des Kernenergieanteils wird durch den Anstieg der erneuerbaren Energien Anfang der 2000er- Jahre ausgeglichen, die heute 12 % unseres Bruttoinlandsverbrauchs ausmachen.</w:t>
      </w:r>
    </w:p>
    <w:p w:rsidR="000B433A" w:rsidRPr="005F5D9D" w:rsidRDefault="000B433A" w:rsidP="00EE0630">
      <w:pPr>
        <w:rPr>
          <w:rFonts w:cs="Calibri"/>
          <w:lang w:val="de-DE"/>
        </w:rPr>
      </w:pPr>
      <w:r>
        <w:rPr>
          <w:rFonts w:cs="Calibri"/>
          <w:lang w:val="de-DE"/>
        </w:rPr>
        <w:t>Die Wallonie verbessert daher Jahr für Jahr seine Energieunabhängigkeit.</w:t>
      </w:r>
    </w:p>
    <w:p w:rsidR="000B433A" w:rsidRPr="005F5D9D" w:rsidRDefault="000B433A" w:rsidP="00EE0630">
      <w:pPr>
        <w:rPr>
          <w:rFonts w:cs="Calibri"/>
          <w:lang w:val="de-DE"/>
        </w:rPr>
      </w:pPr>
    </w:p>
    <w:p w:rsidR="000B433A" w:rsidRPr="005F5D9D" w:rsidRDefault="00372180" w:rsidP="00EE0630">
      <w:pPr>
        <w:keepNext/>
        <w:rPr>
          <w:rFonts w:cs="Calibri"/>
          <w:lang w:val="de-DE"/>
        </w:rPr>
      </w:pPr>
      <w:r>
        <w:rPr>
          <w:rFonts w:cs="Calibri"/>
          <w:noProof/>
          <w:lang w:eastAsia="fr-BE"/>
        </w:rPr>
        <w:drawing>
          <wp:inline distT="0" distB="0" distL="0" distR="0">
            <wp:extent cx="5766435" cy="3181985"/>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srcRect/>
                    <a:stretch>
                      <a:fillRect/>
                    </a:stretch>
                  </pic:blipFill>
                  <pic:spPr bwMode="auto">
                    <a:xfrm>
                      <a:off x="0" y="0"/>
                      <a:ext cx="5766435" cy="3181985"/>
                    </a:xfrm>
                    <a:prstGeom prst="rect">
                      <a:avLst/>
                    </a:prstGeom>
                    <a:noFill/>
                    <a:ln w="9525">
                      <a:noFill/>
                      <a:miter lim="800000"/>
                      <a:headEnd/>
                      <a:tailEnd/>
                    </a:ln>
                  </pic:spPr>
                </pic:pic>
              </a:graphicData>
            </a:graphic>
          </wp:inline>
        </w:drawing>
      </w:r>
    </w:p>
    <w:p w:rsidR="000B433A" w:rsidRPr="003F0BD0" w:rsidRDefault="000B433A" w:rsidP="003F0BD0">
      <w:pPr>
        <w:pStyle w:val="Lgende"/>
        <w:spacing w:after="0"/>
        <w:rPr>
          <w:rFonts w:cs="Calibri"/>
          <w:color w:val="808080"/>
          <w:sz w:val="16"/>
          <w:szCs w:val="16"/>
          <w:lang w:val="de-DE"/>
        </w:rPr>
      </w:pPr>
      <w:r>
        <w:rPr>
          <w:rFonts w:cs="Calibri"/>
          <w:color w:val="808080"/>
          <w:sz w:val="16"/>
          <w:lang w:val="de-DE"/>
        </w:rPr>
        <w:t>Feste Brennstoffe</w:t>
      </w:r>
    </w:p>
    <w:p w:rsidR="000B433A" w:rsidRPr="003F0BD0" w:rsidRDefault="000B433A" w:rsidP="003F0BD0">
      <w:pPr>
        <w:spacing w:after="0"/>
        <w:rPr>
          <w:i/>
          <w:color w:val="808080"/>
          <w:sz w:val="16"/>
          <w:szCs w:val="16"/>
          <w:lang w:val="de-DE"/>
        </w:rPr>
      </w:pPr>
      <w:r>
        <w:rPr>
          <w:i/>
          <w:color w:val="808080"/>
          <w:sz w:val="16"/>
          <w:lang w:val="de-DE"/>
        </w:rPr>
        <w:t>Strom</w:t>
      </w:r>
    </w:p>
    <w:p w:rsidR="000B433A" w:rsidRPr="003F0BD0" w:rsidRDefault="000B433A" w:rsidP="003F0BD0">
      <w:pPr>
        <w:spacing w:after="0"/>
        <w:rPr>
          <w:i/>
          <w:color w:val="808080"/>
          <w:sz w:val="16"/>
          <w:szCs w:val="16"/>
          <w:lang w:val="de-DE"/>
        </w:rPr>
      </w:pPr>
      <w:r>
        <w:rPr>
          <w:i/>
          <w:color w:val="808080"/>
          <w:sz w:val="16"/>
          <w:lang w:val="de-DE"/>
        </w:rPr>
        <w:t>Erdölprodukte</w:t>
      </w:r>
    </w:p>
    <w:p w:rsidR="000B433A" w:rsidRPr="003F0BD0" w:rsidRDefault="000B433A" w:rsidP="003F0BD0">
      <w:pPr>
        <w:spacing w:after="0"/>
        <w:rPr>
          <w:i/>
          <w:color w:val="808080"/>
          <w:sz w:val="16"/>
          <w:szCs w:val="16"/>
          <w:lang w:val="de-DE"/>
        </w:rPr>
      </w:pPr>
      <w:r>
        <w:rPr>
          <w:i/>
          <w:color w:val="808080"/>
          <w:sz w:val="16"/>
          <w:lang w:val="de-DE"/>
        </w:rPr>
        <w:t>Sonstige</w:t>
      </w:r>
    </w:p>
    <w:p w:rsidR="000B433A" w:rsidRPr="003F0BD0" w:rsidRDefault="000B433A" w:rsidP="003F0BD0">
      <w:pPr>
        <w:spacing w:after="0"/>
        <w:rPr>
          <w:i/>
          <w:color w:val="808080"/>
          <w:sz w:val="16"/>
          <w:szCs w:val="16"/>
          <w:lang w:val="de-DE"/>
        </w:rPr>
      </w:pPr>
      <w:r>
        <w:rPr>
          <w:i/>
          <w:color w:val="808080"/>
          <w:sz w:val="16"/>
          <w:lang w:val="de-DE"/>
        </w:rPr>
        <w:t>Erdgas</w:t>
      </w:r>
    </w:p>
    <w:p w:rsidR="000B433A" w:rsidRPr="003F0BD0" w:rsidRDefault="000B433A" w:rsidP="003F0BD0">
      <w:pPr>
        <w:spacing w:after="0"/>
        <w:rPr>
          <w:i/>
          <w:color w:val="808080"/>
          <w:sz w:val="16"/>
          <w:szCs w:val="16"/>
          <w:lang w:val="de-DE"/>
        </w:rPr>
      </w:pPr>
      <w:r>
        <w:rPr>
          <w:i/>
          <w:color w:val="808080"/>
          <w:sz w:val="16"/>
          <w:lang w:val="de-DE"/>
        </w:rPr>
        <w:t>Gesamter BIEV</w:t>
      </w:r>
    </w:p>
    <w:p w:rsidR="000B433A" w:rsidRPr="003F0BD0" w:rsidRDefault="000B433A" w:rsidP="003F0BD0">
      <w:pPr>
        <w:spacing w:after="0"/>
        <w:rPr>
          <w:i/>
          <w:color w:val="808080"/>
          <w:sz w:val="16"/>
          <w:szCs w:val="16"/>
          <w:lang w:val="de-DE"/>
        </w:rPr>
      </w:pPr>
      <w:r>
        <w:rPr>
          <w:i/>
          <w:color w:val="808080"/>
          <w:sz w:val="16"/>
          <w:lang w:val="de-DE"/>
        </w:rPr>
        <w:t>Kernkraft</w:t>
      </w:r>
    </w:p>
    <w:p w:rsidR="000B433A" w:rsidRPr="00B33CC4" w:rsidRDefault="000B433A" w:rsidP="00EE0630">
      <w:pPr>
        <w:pStyle w:val="Lgende"/>
        <w:rPr>
          <w:rFonts w:cs="Calibri"/>
          <w:lang w:val="de-DE"/>
        </w:rPr>
      </w:pPr>
      <w:r>
        <w:rPr>
          <w:rFonts w:cs="Calibri"/>
          <w:lang w:val="de-DE"/>
        </w:rPr>
        <w:t xml:space="preserve">Grafik </w:t>
      </w:r>
      <w:r w:rsidR="005A6B21" w:rsidRPr="00B33CC4">
        <w:rPr>
          <w:rFonts w:cs="Calibri"/>
          <w:lang w:val="de-DE"/>
        </w:rPr>
        <w:fldChar w:fldCharType="begin"/>
      </w:r>
      <w:r w:rsidRPr="00B33CC4">
        <w:rPr>
          <w:rFonts w:cs="Calibri"/>
          <w:lang w:val="de-DE"/>
        </w:rPr>
        <w:instrText xml:space="preserve"> SEQ Graphique \* ARABIC </w:instrText>
      </w:r>
      <w:r w:rsidR="005A6B21" w:rsidRPr="00B33CC4">
        <w:rPr>
          <w:rFonts w:cs="Calibri"/>
          <w:lang w:val="de-DE"/>
        </w:rPr>
        <w:fldChar w:fldCharType="separate"/>
      </w:r>
      <w:r>
        <w:rPr>
          <w:rFonts w:cs="Calibri"/>
          <w:lang w:val="de-DE"/>
        </w:rPr>
        <w:t>1</w:t>
      </w:r>
      <w:r w:rsidR="005A6B21" w:rsidRPr="00B33CC4">
        <w:rPr>
          <w:rFonts w:cs="Calibri"/>
          <w:lang w:val="de-DE"/>
        </w:rPr>
        <w:fldChar w:fldCharType="end"/>
      </w:r>
      <w:r>
        <w:rPr>
          <w:rFonts w:cs="Calibri"/>
          <w:lang w:val="de-DE"/>
        </w:rPr>
        <w:t xml:space="preserve"> Entwicklung des Bruttoinlandsverbrauchs pro Energieträger zwischen 1990 und 2016</w:t>
      </w:r>
    </w:p>
    <w:p w:rsidR="000B433A" w:rsidRPr="005F5D9D" w:rsidRDefault="000B433A" w:rsidP="00EE0630">
      <w:pPr>
        <w:rPr>
          <w:rFonts w:cs="Calibri"/>
          <w:lang w:val="de-DE"/>
        </w:rPr>
      </w:pPr>
      <w:r>
        <w:rPr>
          <w:rFonts w:cs="Calibri"/>
          <w:lang w:val="de-DE"/>
        </w:rPr>
        <w:t>Die Grafik zeigt jedoch, dass 2015 das erste Jahr mit einem Stromimportsaldo seit 1990 ist. Das bedeutet, dass die Wallonie im Jahr 2015 nicht mehr Strom produziert hat als nötig, und dass wir insgesamt mehr Strom von unseren Nachbarn kaufen mussten, als wir ihnen verkauft haben. Im Jahr 2016 konnte in der Wallonie erneut ein Stromexportsaldo von 5 TWh verzeichnet werden.</w:t>
      </w:r>
    </w:p>
    <w:p w:rsidR="000B433A" w:rsidRPr="005F5D9D" w:rsidRDefault="000B433A" w:rsidP="00EE0630">
      <w:pPr>
        <w:rPr>
          <w:rFonts w:cs="Calibri"/>
          <w:lang w:val="de-DE"/>
        </w:rPr>
      </w:pPr>
      <w:r>
        <w:rPr>
          <w:rFonts w:cs="Calibri"/>
          <w:lang w:val="de-DE"/>
        </w:rPr>
        <w:t xml:space="preserve">Parallel zur Entwicklung des Energiebedarfs in der Wallonie ermöglicht die Entwicklung des Endverbrauchs eine detaillierte Darstellung der Verbindungen zwischen den für diesen Verbrauch verantwortlichen Wirtschaftssektoren und dem Verbrauch pro Energieträger. </w:t>
      </w:r>
    </w:p>
    <w:p w:rsidR="000B433A" w:rsidRPr="005F5D9D" w:rsidRDefault="000B433A" w:rsidP="00EE0630">
      <w:pPr>
        <w:rPr>
          <w:rFonts w:cs="Calibri"/>
          <w:lang w:val="de-DE"/>
        </w:rPr>
      </w:pPr>
      <w:r>
        <w:rPr>
          <w:rFonts w:cs="Calibri"/>
          <w:lang w:val="de-DE"/>
        </w:rPr>
        <w:t xml:space="preserve">Tatsächlich nutzen wir für den Transport nicht die gleiche Energiequelle wie jene, die für die Entwicklung von Industrieprodukten notwendig ist. Eine Änderung der Verteilung nach Wirtschaftszweigen führt daher zu einer Änderung der Verteilung nach Energieträgern. Das folgende Doppeldiagramm zeigt diese Perspektive: </w:t>
      </w:r>
    </w:p>
    <w:p w:rsidR="000B433A" w:rsidRDefault="00372180" w:rsidP="00EE0630">
      <w:pPr>
        <w:rPr>
          <w:rFonts w:cs="Calibri"/>
          <w:szCs w:val="24"/>
          <w:lang w:val="de-DE"/>
        </w:rPr>
      </w:pPr>
      <w:r>
        <w:rPr>
          <w:rFonts w:cs="Calibri"/>
          <w:noProof/>
          <w:szCs w:val="24"/>
          <w:lang w:eastAsia="fr-BE"/>
        </w:rPr>
        <w:drawing>
          <wp:inline distT="0" distB="0" distL="0" distR="0">
            <wp:extent cx="5586730" cy="2632075"/>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3"/>
                    <a:srcRect t="16866" r="4684" b="1131"/>
                    <a:stretch>
                      <a:fillRect/>
                    </a:stretch>
                  </pic:blipFill>
                  <pic:spPr bwMode="auto">
                    <a:xfrm>
                      <a:off x="0" y="0"/>
                      <a:ext cx="5586730" cy="2632075"/>
                    </a:xfrm>
                    <a:prstGeom prst="rect">
                      <a:avLst/>
                    </a:prstGeom>
                    <a:noFill/>
                    <a:ln w="9525">
                      <a:noFill/>
                      <a:miter lim="800000"/>
                      <a:headEnd/>
                      <a:tailEnd/>
                    </a:ln>
                  </pic:spPr>
                </pic:pic>
              </a:graphicData>
            </a:graphic>
          </wp:inline>
        </w:drawing>
      </w:r>
    </w:p>
    <w:p w:rsidR="000B433A" w:rsidRPr="005F5D9D" w:rsidRDefault="000B433A" w:rsidP="00EE0630">
      <w:pPr>
        <w:rPr>
          <w:rFonts w:cs="Calibri"/>
          <w:szCs w:val="24"/>
          <w:lang w:val="de-DE"/>
        </w:rPr>
      </w:pPr>
    </w:p>
    <w:p w:rsidR="000B433A" w:rsidRPr="005F5D9D" w:rsidRDefault="00372180" w:rsidP="00EE0630">
      <w:pPr>
        <w:keepNext/>
        <w:rPr>
          <w:rFonts w:cs="Calibri"/>
          <w:lang w:val="de-DE"/>
        </w:rPr>
      </w:pPr>
      <w:r>
        <w:rPr>
          <w:rFonts w:cs="Calibri"/>
          <w:noProof/>
          <w:szCs w:val="24"/>
          <w:lang w:eastAsia="fr-BE"/>
        </w:rPr>
        <w:drawing>
          <wp:inline distT="0" distB="0" distL="0" distR="0">
            <wp:extent cx="5661025" cy="3145155"/>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4"/>
                    <a:srcRect r="3328" b="3323"/>
                    <a:stretch>
                      <a:fillRect/>
                    </a:stretch>
                  </pic:blipFill>
                  <pic:spPr bwMode="auto">
                    <a:xfrm>
                      <a:off x="0" y="0"/>
                      <a:ext cx="5661025" cy="3145155"/>
                    </a:xfrm>
                    <a:prstGeom prst="rect">
                      <a:avLst/>
                    </a:prstGeom>
                    <a:noFill/>
                    <a:ln w="9525">
                      <a:noFill/>
                      <a:miter lim="800000"/>
                      <a:headEnd/>
                      <a:tailEnd/>
                    </a:ln>
                  </pic:spPr>
                </pic:pic>
              </a:graphicData>
            </a:graphic>
          </wp:inline>
        </w:drawing>
      </w:r>
    </w:p>
    <w:p w:rsidR="000B433A" w:rsidRPr="00505DDA" w:rsidRDefault="000B433A" w:rsidP="00505DDA">
      <w:pPr>
        <w:pStyle w:val="Lgende"/>
        <w:spacing w:after="0"/>
        <w:rPr>
          <w:rFonts w:cs="Calibri"/>
          <w:color w:val="808080"/>
          <w:sz w:val="16"/>
          <w:lang w:val="de-DE"/>
        </w:rPr>
      </w:pPr>
      <w:r>
        <w:rPr>
          <w:rFonts w:cs="Calibri"/>
          <w:color w:val="808080"/>
          <w:sz w:val="16"/>
          <w:lang w:val="de-DE"/>
        </w:rPr>
        <w:t>Industrie</w:t>
      </w:r>
    </w:p>
    <w:p w:rsidR="000B433A" w:rsidRPr="00505DDA" w:rsidRDefault="000B433A" w:rsidP="00505DDA">
      <w:pPr>
        <w:pStyle w:val="Lgende"/>
        <w:spacing w:after="0"/>
        <w:rPr>
          <w:rFonts w:cs="Calibri"/>
          <w:color w:val="808080"/>
          <w:sz w:val="16"/>
          <w:lang w:val="de-DE"/>
        </w:rPr>
      </w:pPr>
      <w:r>
        <w:rPr>
          <w:rFonts w:cs="Calibri"/>
          <w:color w:val="808080"/>
          <w:sz w:val="16"/>
          <w:lang w:val="de-DE"/>
        </w:rPr>
        <w:t>Wohnen</w:t>
      </w:r>
    </w:p>
    <w:p w:rsidR="000B433A" w:rsidRPr="00505DDA" w:rsidRDefault="000B433A" w:rsidP="00505DDA">
      <w:pPr>
        <w:pStyle w:val="Lgende"/>
        <w:spacing w:after="0"/>
        <w:rPr>
          <w:rFonts w:cs="Calibri"/>
          <w:color w:val="808080"/>
          <w:sz w:val="16"/>
          <w:lang w:val="de-DE"/>
        </w:rPr>
      </w:pPr>
      <w:r>
        <w:rPr>
          <w:rFonts w:cs="Calibri"/>
          <w:color w:val="808080"/>
          <w:sz w:val="16"/>
          <w:lang w:val="de-DE"/>
        </w:rPr>
        <w:t>Transport</w:t>
      </w:r>
    </w:p>
    <w:p w:rsidR="000B433A" w:rsidRPr="00505DDA" w:rsidRDefault="000B433A" w:rsidP="00505DDA">
      <w:pPr>
        <w:pStyle w:val="Lgende"/>
        <w:spacing w:after="0"/>
        <w:rPr>
          <w:rFonts w:cs="Calibri"/>
          <w:color w:val="808080"/>
          <w:sz w:val="16"/>
          <w:lang w:val="de-DE"/>
        </w:rPr>
      </w:pPr>
      <w:r>
        <w:rPr>
          <w:rFonts w:cs="Calibri"/>
          <w:color w:val="808080"/>
          <w:sz w:val="16"/>
          <w:lang w:val="de-DE"/>
        </w:rPr>
        <w:t>Dienstleistungen</w:t>
      </w:r>
    </w:p>
    <w:p w:rsidR="000B433A" w:rsidRPr="00505DDA" w:rsidRDefault="000B433A" w:rsidP="00505DDA">
      <w:pPr>
        <w:pStyle w:val="Lgende"/>
        <w:spacing w:after="0"/>
        <w:rPr>
          <w:rFonts w:cs="Calibri"/>
          <w:color w:val="808080"/>
          <w:sz w:val="16"/>
          <w:lang w:val="de-DE"/>
        </w:rPr>
      </w:pPr>
      <w:r>
        <w:rPr>
          <w:rFonts w:cs="Calibri"/>
          <w:color w:val="808080"/>
          <w:sz w:val="16"/>
          <w:lang w:val="de-DE"/>
        </w:rPr>
        <w:t>Landwirtschaft</w:t>
      </w:r>
    </w:p>
    <w:p w:rsidR="000B433A" w:rsidRPr="00505DDA" w:rsidRDefault="000B433A" w:rsidP="00505DDA">
      <w:pPr>
        <w:pStyle w:val="Lgende"/>
        <w:spacing w:after="0"/>
        <w:rPr>
          <w:rFonts w:cs="Calibri"/>
          <w:color w:val="808080"/>
          <w:sz w:val="16"/>
          <w:lang w:val="de-DE"/>
        </w:rPr>
      </w:pPr>
      <w:r>
        <w:rPr>
          <w:rFonts w:cs="Calibri"/>
          <w:color w:val="808080"/>
          <w:sz w:val="16"/>
          <w:lang w:val="de-DE"/>
        </w:rPr>
        <w:t>Feststoffe Gas Derivate</w:t>
      </w:r>
    </w:p>
    <w:p w:rsidR="000B433A" w:rsidRPr="00505DDA" w:rsidRDefault="000B433A" w:rsidP="00505DDA">
      <w:pPr>
        <w:pStyle w:val="Lgende"/>
        <w:spacing w:after="0"/>
        <w:rPr>
          <w:rFonts w:cs="Calibri"/>
          <w:color w:val="808080"/>
          <w:sz w:val="16"/>
          <w:lang w:val="de-DE"/>
        </w:rPr>
      </w:pPr>
      <w:r>
        <w:rPr>
          <w:rFonts w:cs="Calibri"/>
          <w:color w:val="808080"/>
          <w:sz w:val="16"/>
          <w:lang w:val="de-DE"/>
        </w:rPr>
        <w:t>Erdölbrennstoffe</w:t>
      </w:r>
    </w:p>
    <w:p w:rsidR="000B433A" w:rsidRPr="00505DDA" w:rsidRDefault="000B433A" w:rsidP="00505DDA">
      <w:pPr>
        <w:pStyle w:val="Lgende"/>
        <w:spacing w:after="0"/>
        <w:rPr>
          <w:rFonts w:cs="Calibri"/>
          <w:color w:val="808080"/>
          <w:sz w:val="16"/>
          <w:lang w:val="de-DE"/>
        </w:rPr>
      </w:pPr>
      <w:r>
        <w:rPr>
          <w:rFonts w:cs="Calibri"/>
          <w:color w:val="808080"/>
          <w:sz w:val="16"/>
          <w:lang w:val="de-DE"/>
        </w:rPr>
        <w:t>Erdölkraftstoffe</w:t>
      </w:r>
    </w:p>
    <w:p w:rsidR="000B433A" w:rsidRPr="00505DDA" w:rsidRDefault="000B433A" w:rsidP="00505DDA">
      <w:pPr>
        <w:pStyle w:val="Lgende"/>
        <w:spacing w:after="0"/>
        <w:rPr>
          <w:rFonts w:cs="Calibri"/>
          <w:color w:val="808080"/>
          <w:sz w:val="16"/>
          <w:lang w:val="de-DE"/>
        </w:rPr>
      </w:pPr>
      <w:r>
        <w:rPr>
          <w:rFonts w:cs="Calibri"/>
          <w:color w:val="808080"/>
          <w:sz w:val="16"/>
          <w:lang w:val="de-DE"/>
        </w:rPr>
        <w:t>Erdgas</w:t>
      </w:r>
    </w:p>
    <w:p w:rsidR="000B433A" w:rsidRPr="00505DDA" w:rsidRDefault="000B433A" w:rsidP="00505DDA">
      <w:pPr>
        <w:pStyle w:val="Lgende"/>
        <w:spacing w:after="0"/>
        <w:rPr>
          <w:rFonts w:cs="Calibri"/>
          <w:color w:val="808080"/>
          <w:sz w:val="16"/>
          <w:lang w:val="de-DE"/>
        </w:rPr>
      </w:pPr>
      <w:r>
        <w:rPr>
          <w:rFonts w:cs="Calibri"/>
          <w:color w:val="808080"/>
          <w:sz w:val="16"/>
          <w:lang w:val="de-DE"/>
        </w:rPr>
        <w:t>Strom</w:t>
      </w:r>
    </w:p>
    <w:p w:rsidR="000B433A" w:rsidRPr="00505DDA" w:rsidRDefault="000B433A" w:rsidP="00505DDA">
      <w:pPr>
        <w:pStyle w:val="Lgende"/>
        <w:spacing w:after="0"/>
        <w:rPr>
          <w:rFonts w:cs="Calibri"/>
          <w:color w:val="808080"/>
          <w:sz w:val="16"/>
          <w:lang w:val="de-DE"/>
        </w:rPr>
      </w:pPr>
      <w:r>
        <w:rPr>
          <w:rFonts w:cs="Calibri"/>
          <w:color w:val="808080"/>
          <w:sz w:val="16"/>
          <w:lang w:val="de-DE"/>
        </w:rPr>
        <w:t>Sonstige Energien</w:t>
      </w:r>
    </w:p>
    <w:p w:rsidR="000B433A" w:rsidRPr="00B33CC4" w:rsidRDefault="000B433A" w:rsidP="00EE0630">
      <w:pPr>
        <w:pStyle w:val="Lgende"/>
        <w:rPr>
          <w:rFonts w:cs="Calibri"/>
          <w:szCs w:val="24"/>
          <w:lang w:val="de-DE"/>
        </w:rPr>
      </w:pPr>
      <w:r>
        <w:rPr>
          <w:rFonts w:cs="Calibri"/>
          <w:lang w:val="de-DE"/>
        </w:rPr>
        <w:t xml:space="preserve">Grafik </w:t>
      </w:r>
      <w:r w:rsidR="005A6B21" w:rsidRPr="00B33CC4">
        <w:rPr>
          <w:rFonts w:cs="Calibri"/>
          <w:lang w:val="de-DE"/>
        </w:rPr>
        <w:fldChar w:fldCharType="begin"/>
      </w:r>
      <w:r w:rsidRPr="00B33CC4">
        <w:rPr>
          <w:rFonts w:cs="Calibri"/>
          <w:lang w:val="de-DE"/>
        </w:rPr>
        <w:instrText xml:space="preserve"> SEQ Graphique \* ARABIC </w:instrText>
      </w:r>
      <w:r w:rsidR="005A6B21" w:rsidRPr="00B33CC4">
        <w:rPr>
          <w:rFonts w:cs="Calibri"/>
          <w:lang w:val="de-DE"/>
        </w:rPr>
        <w:fldChar w:fldCharType="separate"/>
      </w:r>
      <w:r>
        <w:rPr>
          <w:rFonts w:cs="Calibri"/>
          <w:lang w:val="de-DE"/>
        </w:rPr>
        <w:t>2</w:t>
      </w:r>
      <w:r w:rsidR="005A6B21" w:rsidRPr="00B33CC4">
        <w:rPr>
          <w:rFonts w:cs="Calibri"/>
          <w:lang w:val="de-DE"/>
        </w:rPr>
        <w:fldChar w:fldCharType="end"/>
      </w:r>
      <w:r>
        <w:rPr>
          <w:rFonts w:cs="Calibri"/>
          <w:lang w:val="de-DE"/>
        </w:rPr>
        <w:t xml:space="preserve"> Entwicklung des gesamten Endverbrauchs nach Wirtschaftszweigen und Energieträgern</w:t>
      </w:r>
    </w:p>
    <w:p w:rsidR="000B433A" w:rsidRDefault="000B433A" w:rsidP="00EE0630">
      <w:pPr>
        <w:rPr>
          <w:rFonts w:cs="Calibri"/>
          <w:lang w:val="de-DE"/>
        </w:rPr>
      </w:pPr>
      <w:r>
        <w:rPr>
          <w:rFonts w:cs="Calibri"/>
          <w:lang w:val="de-DE"/>
        </w:rPr>
        <w:t xml:space="preserve">Auf Sektorebene ist festzustellen, dass die Verteilung des Verbrauchs für jede der Nutzungen - Industrie, Verkehr und Bauwesen (durch die Kombination </w:t>
      </w:r>
      <w:r w:rsidRPr="00CB1FE8">
        <w:rPr>
          <w:rFonts w:cs="Calibri"/>
          <w:lang w:val="de-DE"/>
        </w:rPr>
        <w:t>des Dienstleistungs- und Wohnsektors</w:t>
      </w:r>
      <w:r>
        <w:rPr>
          <w:rFonts w:cs="Calibri"/>
          <w:lang w:val="de-DE"/>
        </w:rPr>
        <w:t>) - fast gleich 1/3 ist.</w:t>
      </w:r>
    </w:p>
    <w:p w:rsidR="000B433A" w:rsidRPr="005F5D9D" w:rsidRDefault="000B433A" w:rsidP="00EE0630">
      <w:pPr>
        <w:rPr>
          <w:rFonts w:cs="Calibri"/>
          <w:lang w:val="de-DE"/>
        </w:rPr>
      </w:pPr>
      <w:r>
        <w:rPr>
          <w:rFonts w:cs="Calibri"/>
          <w:lang w:val="de-DE"/>
        </w:rPr>
        <w:t>Der erste Teil der Grafik zeigt, dass die Industrie zwar nach wie vor der größte Energieverbraucher bei uns ist, heute jedoch nurmehr 32 % dieses Endverbrauchs ausmacht, verglichen zu 50 % im Jahr 1990. Dieser Rückgang ist für die Verschiebung des Verbrauchs an festen Brennstoffen von 25 % im Jahr 1990 auf nur 4 % im Jahr 2016 verantwortlich. Tatsächlich wurden diese Brennstoffe hauptsächlich in der Stahlindustrie eingesetzt. Darüber hinaus sind angesichts der erheblichen CO</w:t>
      </w:r>
      <w:r w:rsidRPr="009858D5">
        <w:rPr>
          <w:rFonts w:cs="Calibri"/>
          <w:vertAlign w:val="subscript"/>
          <w:lang w:val="de-DE"/>
        </w:rPr>
        <w:t>2</w:t>
      </w:r>
      <w:r>
        <w:rPr>
          <w:rFonts w:cs="Calibri"/>
          <w:lang w:val="de-DE"/>
        </w:rPr>
        <w:t>-Emissionen, die mit dieser Art von Kraftstoff verbunden sind, die Industrien, die diese Energiequellen genutzt haben, in erster Linie von der Beseitigung und/oder dem Ersatz dieser Energiequellen betroffen.</w:t>
      </w:r>
    </w:p>
    <w:p w:rsidR="000B433A" w:rsidRPr="005F5D9D" w:rsidRDefault="000B433A" w:rsidP="00EE0630">
      <w:pPr>
        <w:rPr>
          <w:rFonts w:cs="Calibri"/>
          <w:lang w:val="de-DE"/>
        </w:rPr>
      </w:pPr>
      <w:r>
        <w:rPr>
          <w:rFonts w:cs="Calibri"/>
          <w:lang w:val="de-DE"/>
        </w:rPr>
        <w:t>Weiter kann man feststellen, dass der Verkehr, auf den 1990 nur 20 % des Energieverbrauchs entfiel, heute 30 % der in unserem Land verbrauchten Energie benötigt.</w:t>
      </w:r>
    </w:p>
    <w:p w:rsidR="000B433A" w:rsidRPr="005F5D9D" w:rsidRDefault="000B433A" w:rsidP="00EE0630">
      <w:pPr>
        <w:rPr>
          <w:rFonts w:cs="Calibri"/>
          <w:lang w:val="de-DE"/>
        </w:rPr>
      </w:pPr>
      <w:r>
        <w:rPr>
          <w:rFonts w:cs="Calibri"/>
          <w:lang w:val="de-DE"/>
        </w:rPr>
        <w:t>Diese Daten finden sich im unteren Teil der Grafik, die uns zeigt, dass der Anteil der Erdölbrennstoffe zwischen 1990 und 2016 von 19 % auf 28 % steigt, je nach Entwicklung des Anteils des Sektors.</w:t>
      </w:r>
    </w:p>
    <w:p w:rsidR="000B433A" w:rsidRPr="005F5D9D" w:rsidRDefault="000B433A" w:rsidP="00EE0630">
      <w:pPr>
        <w:rPr>
          <w:rFonts w:cs="Calibri"/>
          <w:lang w:val="de-DE"/>
        </w:rPr>
      </w:pPr>
      <w:r>
        <w:rPr>
          <w:rFonts w:cs="Calibri"/>
          <w:lang w:val="de-DE"/>
        </w:rPr>
        <w:t>Die prozentuale Differenz wird durch erneuerbare Energien und Strom gedeckt, was darauf hindeutet, dass Elektrofahrzeuge derzeit eine anekdotische statistische Darstellung im wallonischen Fahrzeugpark haben.</w:t>
      </w:r>
    </w:p>
    <w:p w:rsidR="000B433A" w:rsidRPr="005F5D9D" w:rsidRDefault="000B433A" w:rsidP="00EE0630">
      <w:pPr>
        <w:rPr>
          <w:rFonts w:cs="Calibri"/>
          <w:lang w:val="de-DE"/>
        </w:rPr>
      </w:pPr>
      <w:r>
        <w:rPr>
          <w:rFonts w:cs="Calibri"/>
          <w:lang w:val="de-DE"/>
        </w:rPr>
        <w:t>Erdölbrennstoffe folgen in geringerem Maße dem Trend der festen Brennstoffe. Erdgas und Strom haben diese beiden Kraftstofffamilien teilweise ersetzt.</w:t>
      </w:r>
    </w:p>
    <w:p w:rsidR="000B433A" w:rsidRPr="005F5D9D" w:rsidRDefault="000B433A" w:rsidP="00EE0630">
      <w:pPr>
        <w:rPr>
          <w:rFonts w:cs="Calibri"/>
          <w:lang w:val="de-DE"/>
        </w:rPr>
      </w:pPr>
      <w:r>
        <w:rPr>
          <w:rFonts w:cs="Calibri"/>
          <w:lang w:val="de-DE"/>
        </w:rPr>
        <w:t>Man kann sich fragen, warum die Progression der Elektrizität größer ist als jene von Erdgas, obgleich Erdgas für viele Anwendungen ein geeigneterer alternativer Brennstoff zu sein scheint. Es scheint, dass das größte Problem in der Wallonie unser Gasverteilungsnetz ist, das nicht das ganze Land abdeckt.</w:t>
      </w:r>
    </w:p>
    <w:p w:rsidR="000B433A" w:rsidRPr="005F5D9D" w:rsidRDefault="000B433A" w:rsidP="00EE0630">
      <w:pPr>
        <w:rPr>
          <w:rFonts w:cs="Calibri"/>
          <w:lang w:val="de-DE"/>
        </w:rPr>
      </w:pPr>
      <w:r>
        <w:rPr>
          <w:rFonts w:cs="Calibri"/>
          <w:lang w:val="de-DE"/>
        </w:rPr>
        <w:t>Alle diese Daten verdeutlichen auch die Abhängigkeit der Region von Erdölprodukten, die wir nach wie vor zu 42 % als Energiequelle nutzen.</w:t>
      </w:r>
    </w:p>
    <w:p w:rsidR="000B433A" w:rsidRPr="00B33CC4" w:rsidRDefault="000B433A" w:rsidP="00BB673C">
      <w:pPr>
        <w:pStyle w:val="Titre2"/>
        <w:numPr>
          <w:ilvl w:val="1"/>
          <w:numId w:val="1"/>
        </w:numPr>
        <w:ind w:left="851" w:hanging="851"/>
        <w:rPr>
          <w:rFonts w:ascii="Calibri" w:hAnsi="Calibri" w:cs="Calibri"/>
          <w:color w:val="1F497D"/>
          <w:sz w:val="28"/>
          <w:szCs w:val="28"/>
          <w:lang w:val="de-DE"/>
        </w:rPr>
      </w:pPr>
      <w:bookmarkStart w:id="10" w:name="_Toc7802425"/>
      <w:r>
        <w:rPr>
          <w:rFonts w:ascii="Calibri" w:hAnsi="Calibri" w:cs="Calibri"/>
          <w:color w:val="1F497D"/>
          <w:sz w:val="28"/>
          <w:lang w:val="de-DE"/>
        </w:rPr>
        <w:t>Erneuerbare Energie</w:t>
      </w:r>
      <w:bookmarkEnd w:id="10"/>
    </w:p>
    <w:p w:rsidR="000B433A" w:rsidRDefault="000B433A" w:rsidP="009D73D9">
      <w:pPr>
        <w:rPr>
          <w:rFonts w:cs="Calibri"/>
          <w:lang w:val="de-DE"/>
        </w:rPr>
      </w:pPr>
      <w:r>
        <w:rPr>
          <w:rFonts w:cs="Calibri"/>
          <w:lang w:val="de-DE"/>
        </w:rPr>
        <w:t>„Erneuerbare Energiequellen“ sind nicht-fossile, erneuerbare Energiequellen, die sowohl für die Stromerzeugung als auch für die Wärmeerzeugung und den Verkehr genutzt werden.</w:t>
      </w:r>
      <w:r w:rsidRPr="003514A5">
        <w:rPr>
          <w:b/>
          <w:vertAlign w:val="superscript"/>
          <w:lang w:val="de-DE"/>
        </w:rPr>
        <w:footnoteReference w:id="6"/>
      </w:r>
      <w:r>
        <w:rPr>
          <w:rFonts w:cs="Calibri"/>
          <w:lang w:val="de-DE"/>
        </w:rPr>
        <w:t xml:space="preserve"> Die berühmtesten, da sie Teil unserer täglichen Landschaft sind, sind Wind, Sonne und Holz. Aber auch Biogas und Biokraftstoffe sowie beispielsweise die Geothermie gehören dazu. Die in der Wallonie verfügbaren erneuerbaren Energien können in drei Kategorien eingeteilt werden: </w:t>
      </w:r>
    </w:p>
    <w:p w:rsidR="000B433A" w:rsidRDefault="00372180" w:rsidP="009D73D9">
      <w:pPr>
        <w:rPr>
          <w:rFonts w:cs="Calibri"/>
          <w:szCs w:val="24"/>
          <w:lang w:val="de-DE"/>
        </w:rPr>
      </w:pPr>
      <w:r>
        <w:rPr>
          <w:rFonts w:ascii="Arial" w:hAnsi="Arial"/>
          <w:noProof/>
          <w:sz w:val="20"/>
          <w:szCs w:val="20"/>
          <w:lang w:eastAsia="fr-BE"/>
        </w:rPr>
        <w:drawing>
          <wp:inline distT="0" distB="0" distL="0" distR="0">
            <wp:extent cx="5142865" cy="1712595"/>
            <wp:effectExtent l="19050" t="0" r="635" b="0"/>
            <wp:docPr id="6" name="Diagramm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e 9"/>
                    <pic:cNvPicPr>
                      <a:picLocks noChangeArrowheads="1"/>
                    </pic:cNvPicPr>
                  </pic:nvPicPr>
                  <pic:blipFill>
                    <a:blip r:embed="rId15"/>
                    <a:srcRect t="-4280" b="-5046"/>
                    <a:stretch>
                      <a:fillRect/>
                    </a:stretch>
                  </pic:blipFill>
                  <pic:spPr bwMode="auto">
                    <a:xfrm>
                      <a:off x="0" y="0"/>
                      <a:ext cx="5142865" cy="1712595"/>
                    </a:xfrm>
                    <a:prstGeom prst="rect">
                      <a:avLst/>
                    </a:prstGeom>
                    <a:noFill/>
                    <a:ln w="9525">
                      <a:noFill/>
                      <a:miter lim="800000"/>
                      <a:headEnd/>
                      <a:tailEnd/>
                    </a:ln>
                  </pic:spPr>
                </pic:pic>
              </a:graphicData>
            </a:graphic>
          </wp:inline>
        </w:drawing>
      </w:r>
    </w:p>
    <w:p w:rsidR="000B433A" w:rsidRPr="005F5D9D" w:rsidRDefault="000B433A" w:rsidP="00EE0630">
      <w:pPr>
        <w:rPr>
          <w:rFonts w:cs="Calibri"/>
          <w:lang w:val="de-DE"/>
        </w:rPr>
      </w:pPr>
      <w:r>
        <w:rPr>
          <w:rFonts w:cs="Calibri"/>
          <w:lang w:val="de-DE"/>
        </w:rPr>
        <w:t>Mehrere europäische Richtlinien zur Förderung der Nutzung von Energie aus erneuerbaren Quellen sind im Laufe der Zeit aufeinander gefolgt: 2001/77/EG, 2003/30/EG, 2009/28/EG und zuletzt 2015/1513/EG. Ihr Ziel ist es, eine Mindestzielvorgabe für erneuerbare Energien festzulegen, die von jedem Land erreicht werden soll, sowie die Regeln für die Berechnung dieses Ziels.</w:t>
      </w:r>
    </w:p>
    <w:p w:rsidR="000B433A" w:rsidRPr="005F5D9D" w:rsidRDefault="000B433A" w:rsidP="00EE0630">
      <w:pPr>
        <w:rPr>
          <w:rFonts w:cs="Calibri"/>
          <w:lang w:val="de-DE"/>
        </w:rPr>
      </w:pPr>
      <w:r>
        <w:rPr>
          <w:rFonts w:cs="Calibri"/>
          <w:lang w:val="de-DE"/>
        </w:rPr>
        <w:t>Im Rahmen der Verpflichtungen Belgiens gegenüber der Europäischen Union im Bereich erneuerbarer Energien – 13 % im Jahr 2020 - wurde im Dezember 2015 eine Verteilung zwischen den Regionen beschlossen. So wurde der Wallonie für 2020 ein Produktionsziel von 14.850 GWh aus erneuerbaren Energiequellen gesetzt.</w:t>
      </w:r>
    </w:p>
    <w:p w:rsidR="000B433A" w:rsidRPr="005F5D9D" w:rsidRDefault="000B433A" w:rsidP="00EE0630">
      <w:pPr>
        <w:rPr>
          <w:rFonts w:cs="Calibri"/>
          <w:lang w:val="de-DE"/>
        </w:rPr>
      </w:pPr>
      <w:r>
        <w:rPr>
          <w:rFonts w:cs="Calibri"/>
          <w:lang w:val="de-DE"/>
        </w:rPr>
        <w:t>Die Wallonie hat jedoch beschlossen, noch einen Schritt weiter zu gehen und bis 2020 eine Produktion von 15.600 GWh aus erneuerbaren Energiequellen zu erreichen.</w:t>
      </w:r>
    </w:p>
    <w:p w:rsidR="000B433A" w:rsidRPr="005F5D9D" w:rsidRDefault="000B433A" w:rsidP="00BE2A3C">
      <w:pPr>
        <w:rPr>
          <w:rFonts w:cs="Calibri"/>
          <w:lang w:val="de-DE"/>
        </w:rPr>
      </w:pPr>
      <w:r>
        <w:rPr>
          <w:rFonts w:cs="Calibri"/>
          <w:lang w:val="de-DE"/>
        </w:rPr>
        <w:t xml:space="preserve">Dieses Ziel wird unter Berücksichtigung der Elektrizitätserzeugung aus erneuerbaren Energien, der Wärmeerzeugung aus erneuerbaren Energien und des Verbrauchs von Biokraftstoffen für den Verkehr berechnet. Der Nenner berücksichtigt den Endenergieverbrauch einschließlich Netzverluste und den Eigenverbrauch von Strom- oder Wärmekraftwerken. Die folgenden Zahlen zeigen die Entwicklung des Anteils der erneuerbaren Energien in der Wallonie und das für 2020 gesetzte Ziel. Es zeigt sich, dass der Anteil der erneuerbaren Energien wächst (weniger als 1 % der Gesamtmenge vor 2007, 3,5 % im Jahr 2016), dass der auf erneuerbaren Energiequellen basierende Verkehr im Jahr 2015 einen Rückgang erlitten hat, der 2016 aufgeholt wurde, und dass schließlich der größte Beitrag aus erneuerbaren Wärmequellen stammt. </w:t>
      </w:r>
    </w:p>
    <w:p w:rsidR="000B433A" w:rsidRPr="005F5D9D" w:rsidRDefault="000B433A" w:rsidP="00BE2A3C">
      <w:pPr>
        <w:rPr>
          <w:rFonts w:cs="Calibri"/>
          <w:lang w:val="de-DE"/>
        </w:rPr>
      </w:pPr>
    </w:p>
    <w:p w:rsidR="000B433A" w:rsidRPr="005F5D9D" w:rsidRDefault="00372180" w:rsidP="00EE0630">
      <w:pPr>
        <w:keepNext/>
        <w:rPr>
          <w:rFonts w:cs="Calibri"/>
          <w:lang w:val="de-DE"/>
        </w:rPr>
      </w:pPr>
      <w:r>
        <w:rPr>
          <w:rFonts w:cs="Calibri"/>
          <w:noProof/>
          <w:lang w:eastAsia="fr-BE"/>
        </w:rPr>
        <w:drawing>
          <wp:inline distT="0" distB="0" distL="0" distR="0">
            <wp:extent cx="5666105" cy="2621915"/>
            <wp:effectExtent l="19050" t="0" r="0" b="0"/>
            <wp:docPr id="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6"/>
                    <a:srcRect/>
                    <a:stretch>
                      <a:fillRect/>
                    </a:stretch>
                  </pic:blipFill>
                  <pic:spPr bwMode="auto">
                    <a:xfrm>
                      <a:off x="0" y="0"/>
                      <a:ext cx="5666105" cy="2621915"/>
                    </a:xfrm>
                    <a:prstGeom prst="rect">
                      <a:avLst/>
                    </a:prstGeom>
                    <a:noFill/>
                    <a:ln w="9525">
                      <a:noFill/>
                      <a:miter lim="800000"/>
                      <a:headEnd/>
                      <a:tailEnd/>
                    </a:ln>
                  </pic:spPr>
                </pic:pic>
              </a:graphicData>
            </a:graphic>
          </wp:inline>
        </w:drawing>
      </w:r>
    </w:p>
    <w:p w:rsidR="000B433A" w:rsidRPr="00505DDA" w:rsidRDefault="000B433A" w:rsidP="00505DDA">
      <w:pPr>
        <w:pStyle w:val="Lgende"/>
        <w:spacing w:after="0"/>
        <w:rPr>
          <w:rFonts w:cs="Calibri"/>
          <w:color w:val="808080"/>
          <w:sz w:val="16"/>
          <w:szCs w:val="16"/>
          <w:lang w:val="de-DE"/>
        </w:rPr>
      </w:pPr>
      <w:r>
        <w:rPr>
          <w:rFonts w:cs="Calibri"/>
          <w:color w:val="808080"/>
          <w:sz w:val="16"/>
          <w:lang w:val="de-DE"/>
        </w:rPr>
        <w:t>Anteil des E-EE am Gesamtwert</w:t>
      </w:r>
    </w:p>
    <w:p w:rsidR="000B433A" w:rsidRPr="00505DDA" w:rsidRDefault="000B433A" w:rsidP="00505DDA">
      <w:pPr>
        <w:spacing w:after="0"/>
        <w:rPr>
          <w:i/>
          <w:color w:val="808080"/>
          <w:sz w:val="16"/>
          <w:szCs w:val="16"/>
          <w:lang w:val="de-DE"/>
        </w:rPr>
      </w:pPr>
      <w:r>
        <w:rPr>
          <w:i/>
          <w:color w:val="808080"/>
          <w:sz w:val="16"/>
          <w:lang w:val="de-DE"/>
        </w:rPr>
        <w:t>Anteil des T-EE am Gesamtwert</w:t>
      </w:r>
    </w:p>
    <w:p w:rsidR="000B433A" w:rsidRPr="00505DDA" w:rsidRDefault="000B433A" w:rsidP="00505DDA">
      <w:pPr>
        <w:spacing w:after="0"/>
        <w:rPr>
          <w:i/>
          <w:color w:val="808080"/>
          <w:sz w:val="16"/>
          <w:szCs w:val="16"/>
          <w:lang w:val="de-DE"/>
        </w:rPr>
      </w:pPr>
      <w:r>
        <w:rPr>
          <w:i/>
          <w:color w:val="808080"/>
          <w:sz w:val="16"/>
          <w:lang w:val="de-DE"/>
        </w:rPr>
        <w:t>Anteil des W-EE am Gesamtwert</w:t>
      </w:r>
    </w:p>
    <w:p w:rsidR="000B433A" w:rsidRPr="00505DDA" w:rsidRDefault="000B433A" w:rsidP="00505DDA">
      <w:pPr>
        <w:spacing w:after="0"/>
        <w:rPr>
          <w:i/>
          <w:color w:val="808080"/>
          <w:sz w:val="16"/>
          <w:szCs w:val="16"/>
          <w:lang w:val="de-DE"/>
        </w:rPr>
      </w:pPr>
      <w:r>
        <w:rPr>
          <w:i/>
          <w:color w:val="808080"/>
          <w:sz w:val="16"/>
          <w:lang w:val="de-DE"/>
        </w:rPr>
        <w:t>% EE-Energie/CFB-Verbrauch</w:t>
      </w:r>
    </w:p>
    <w:p w:rsidR="000B433A" w:rsidRPr="001533FE" w:rsidRDefault="000B433A" w:rsidP="00EE0630">
      <w:pPr>
        <w:pStyle w:val="Lgende"/>
        <w:rPr>
          <w:rFonts w:cs="Calibri"/>
          <w:lang w:val="de-DE"/>
        </w:rPr>
      </w:pPr>
      <w:r>
        <w:rPr>
          <w:rFonts w:cs="Calibri"/>
          <w:lang w:val="de-DE"/>
        </w:rPr>
        <w:t xml:space="preserve">Grafik </w:t>
      </w:r>
      <w:r w:rsidR="005A6B21" w:rsidRPr="001533FE">
        <w:rPr>
          <w:rFonts w:cs="Calibri"/>
          <w:lang w:val="de-DE"/>
        </w:rPr>
        <w:fldChar w:fldCharType="begin"/>
      </w:r>
      <w:r w:rsidRPr="001533FE">
        <w:rPr>
          <w:rFonts w:cs="Calibri"/>
          <w:lang w:val="de-DE"/>
        </w:rPr>
        <w:instrText xml:space="preserve"> SEQ Graphique \* ARABIC </w:instrText>
      </w:r>
      <w:r w:rsidR="005A6B21" w:rsidRPr="001533FE">
        <w:rPr>
          <w:rFonts w:cs="Calibri"/>
          <w:lang w:val="de-DE"/>
        </w:rPr>
        <w:fldChar w:fldCharType="separate"/>
      </w:r>
      <w:r>
        <w:rPr>
          <w:rFonts w:cs="Calibri"/>
          <w:lang w:val="de-DE"/>
        </w:rPr>
        <w:t>3</w:t>
      </w:r>
      <w:r w:rsidR="005A6B21" w:rsidRPr="001533FE">
        <w:rPr>
          <w:rFonts w:cs="Calibri"/>
          <w:lang w:val="de-DE"/>
        </w:rPr>
        <w:fldChar w:fldCharType="end"/>
      </w:r>
      <w:r>
        <w:rPr>
          <w:rFonts w:cs="Calibri"/>
          <w:lang w:val="de-DE"/>
        </w:rPr>
        <w:t xml:space="preserve"> Entwicklung 2000 - 2016 des Anteils erneuerbarer Energien am gesamten Bruttoendverbrauch im Sinne der Richtlinie 2009/28/EG</w:t>
      </w:r>
    </w:p>
    <w:p w:rsidR="000B433A" w:rsidRPr="005F5D9D" w:rsidRDefault="000B433A" w:rsidP="00BE2A3C">
      <w:pPr>
        <w:rPr>
          <w:rFonts w:cs="Calibri"/>
          <w:lang w:val="de-DE"/>
        </w:rPr>
      </w:pPr>
      <w:r>
        <w:rPr>
          <w:rFonts w:cs="Calibri"/>
          <w:lang w:val="de-DE"/>
        </w:rPr>
        <w:t>Mit 12,1 % im Jahr 2016 übertrifft die Wallonie die auf belgischer Ebene festgelegten Lastenteilungsziele, d. h. 14.911 GWh von den vorgesehenen 14.850 GWh.</w:t>
      </w:r>
    </w:p>
    <w:p w:rsidR="000B433A" w:rsidRPr="005F5D9D" w:rsidRDefault="00372180" w:rsidP="00EE0630">
      <w:pPr>
        <w:keepNext/>
        <w:rPr>
          <w:rFonts w:cs="Calibri"/>
          <w:lang w:val="de-DE"/>
        </w:rPr>
      </w:pPr>
      <w:r>
        <w:rPr>
          <w:rFonts w:cs="Calibri"/>
          <w:noProof/>
          <w:lang w:eastAsia="fr-BE"/>
        </w:rPr>
        <w:drawing>
          <wp:inline distT="0" distB="0" distL="0" distR="0">
            <wp:extent cx="5650230" cy="3314065"/>
            <wp:effectExtent l="19050" t="0" r="7620" b="0"/>
            <wp:docPr id="8"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5"/>
                    <pic:cNvPicPr>
                      <a:picLocks noChangeAspect="1" noChangeArrowheads="1"/>
                    </pic:cNvPicPr>
                  </pic:nvPicPr>
                  <pic:blipFill>
                    <a:blip r:embed="rId17"/>
                    <a:srcRect/>
                    <a:stretch>
                      <a:fillRect/>
                    </a:stretch>
                  </pic:blipFill>
                  <pic:spPr bwMode="auto">
                    <a:xfrm>
                      <a:off x="0" y="0"/>
                      <a:ext cx="5650230" cy="3314065"/>
                    </a:xfrm>
                    <a:prstGeom prst="rect">
                      <a:avLst/>
                    </a:prstGeom>
                    <a:noFill/>
                    <a:ln w="9525">
                      <a:noFill/>
                      <a:miter lim="800000"/>
                      <a:headEnd/>
                      <a:tailEnd/>
                    </a:ln>
                  </pic:spPr>
                </pic:pic>
              </a:graphicData>
            </a:graphic>
          </wp:inline>
        </w:drawing>
      </w:r>
    </w:p>
    <w:p w:rsidR="000B433A" w:rsidRPr="001533FE" w:rsidRDefault="000B433A" w:rsidP="00EE0630">
      <w:pPr>
        <w:pStyle w:val="Lgende"/>
        <w:rPr>
          <w:rFonts w:cs="Calibri"/>
          <w:lang w:val="de-DE"/>
        </w:rPr>
      </w:pPr>
      <w:r>
        <w:rPr>
          <w:rFonts w:cs="Calibri"/>
          <w:lang w:val="de-DE"/>
        </w:rPr>
        <w:t xml:space="preserve">Grafik </w:t>
      </w:r>
      <w:r w:rsidR="005A6B21" w:rsidRPr="001533FE">
        <w:rPr>
          <w:rFonts w:cs="Calibri"/>
          <w:lang w:val="de-DE"/>
        </w:rPr>
        <w:fldChar w:fldCharType="begin"/>
      </w:r>
      <w:r w:rsidRPr="001533FE">
        <w:rPr>
          <w:rFonts w:cs="Calibri"/>
          <w:lang w:val="de-DE"/>
        </w:rPr>
        <w:instrText xml:space="preserve"> SEQ Graphique \* ARABIC </w:instrText>
      </w:r>
      <w:r w:rsidR="005A6B21" w:rsidRPr="001533FE">
        <w:rPr>
          <w:rFonts w:cs="Calibri"/>
          <w:lang w:val="de-DE"/>
        </w:rPr>
        <w:fldChar w:fldCharType="separate"/>
      </w:r>
      <w:r>
        <w:rPr>
          <w:rFonts w:cs="Calibri"/>
          <w:lang w:val="de-DE"/>
        </w:rPr>
        <w:t>4</w:t>
      </w:r>
      <w:r w:rsidR="005A6B21" w:rsidRPr="001533FE">
        <w:rPr>
          <w:rFonts w:cs="Calibri"/>
          <w:lang w:val="de-DE"/>
        </w:rPr>
        <w:fldChar w:fldCharType="end"/>
      </w:r>
      <w:r>
        <w:rPr>
          <w:rFonts w:cs="Calibri"/>
          <w:lang w:val="de-DE"/>
        </w:rPr>
        <w:t>: Entwicklung 1990 - 2015 der Bruttoerzeugung aus erneuerbaren Energien im Sinne der Richtlinie 2009/28/EG und des wallonischen Ziels 2020</w:t>
      </w:r>
    </w:p>
    <w:p w:rsidR="000B433A" w:rsidRPr="005F5D9D" w:rsidRDefault="000B433A" w:rsidP="00BE2A3C">
      <w:pPr>
        <w:rPr>
          <w:rFonts w:cs="Calibri"/>
          <w:lang w:val="de-DE"/>
        </w:rPr>
      </w:pPr>
      <w:r>
        <w:rPr>
          <w:rFonts w:cs="Calibri"/>
          <w:lang w:val="de-DE"/>
        </w:rPr>
        <w:t xml:space="preserve">Der Bruttoinlandenergieverbrauch (BIEV) erneuerbarer Energien (EE) ist die Bilanz des Imports (hauptsächlich Biomasse), der Primärproduktion (Solar, Geothermie, Wasser, Wind, lokale Biomasse) und des Exports (Biokraftstoffe). </w:t>
      </w:r>
    </w:p>
    <w:p w:rsidR="000B433A" w:rsidRPr="005F5D9D" w:rsidRDefault="000B433A" w:rsidP="00BE2A3C">
      <w:pPr>
        <w:rPr>
          <w:rFonts w:cs="Calibri"/>
          <w:lang w:val="de-DE"/>
        </w:rPr>
      </w:pPr>
      <w:r>
        <w:rPr>
          <w:rFonts w:cs="Calibri"/>
          <w:lang w:val="de-DE"/>
        </w:rPr>
        <w:t xml:space="preserve">Im Jahr 2016 betrug der Bruttoinlandenergieverbrauch an erneuerbaren Energien 18.631 GWh, was einer Steigerung von 13 % gegenüber 2015 entspricht. </w:t>
      </w:r>
    </w:p>
    <w:p w:rsidR="000B433A" w:rsidRPr="005F5D9D" w:rsidRDefault="000B433A" w:rsidP="00BE2A3C">
      <w:pPr>
        <w:rPr>
          <w:rFonts w:cs="Calibri"/>
          <w:lang w:val="de-DE"/>
        </w:rPr>
      </w:pPr>
      <w:r>
        <w:rPr>
          <w:rFonts w:cs="Calibri"/>
          <w:lang w:val="de-DE"/>
        </w:rPr>
        <w:t xml:space="preserve">Davon wurden 14.175 GWh erneuerbare Energie auf wallonischem Boden produziert, 4596 GWh importiert und 1.451 GWh exportiert. Der Import besteht aus Holz, Pellets und tierischen Fetten. Der Export besteht aus Biokraftstoffen für den Straßenverkehr, die in der Wallonie über den regionalen Verbrauch hinaus produziert werden. </w:t>
      </w:r>
    </w:p>
    <w:p w:rsidR="000B433A" w:rsidRPr="00B33CC4" w:rsidRDefault="000B433A" w:rsidP="00BB673C">
      <w:pPr>
        <w:pStyle w:val="Titre2"/>
        <w:numPr>
          <w:ilvl w:val="1"/>
          <w:numId w:val="1"/>
        </w:numPr>
        <w:ind w:left="851" w:hanging="851"/>
        <w:rPr>
          <w:rFonts w:ascii="Calibri" w:hAnsi="Calibri" w:cs="Calibri"/>
          <w:color w:val="1F497D"/>
          <w:sz w:val="28"/>
          <w:szCs w:val="28"/>
          <w:lang w:val="de-DE"/>
        </w:rPr>
      </w:pPr>
      <w:bookmarkStart w:id="11" w:name="_Toc7802426"/>
      <w:r>
        <w:rPr>
          <w:rFonts w:ascii="Calibri" w:hAnsi="Calibri" w:cs="Calibri"/>
          <w:color w:val="1F497D"/>
          <w:sz w:val="28"/>
          <w:lang w:val="de-DE"/>
        </w:rPr>
        <w:t>Emissionen von Luftschadstoffen und Entwicklung der Emissionen</w:t>
      </w:r>
      <w:bookmarkEnd w:id="11"/>
    </w:p>
    <w:p w:rsidR="000B433A" w:rsidRPr="005F5D9D" w:rsidRDefault="000B433A" w:rsidP="00DB140C">
      <w:pPr>
        <w:rPr>
          <w:rFonts w:cs="Calibri"/>
          <w:lang w:val="de-DE"/>
        </w:rPr>
      </w:pPr>
      <w:r>
        <w:rPr>
          <w:rFonts w:cs="Calibri"/>
          <w:lang w:val="de-DE"/>
        </w:rPr>
        <w:t xml:space="preserve">Der Kampf zur Verringerung der Emissionen konventioneller Luftschadstoffe ist weitaus älter als jener gegen Treibhausgas, der einen Einfluss auf das Klima nimmt, aus Gründen der öffentlichen Gesundheit und des Schutzes der Ökosysteme. </w:t>
      </w:r>
    </w:p>
    <w:p w:rsidR="000B433A" w:rsidRPr="005F5D9D" w:rsidRDefault="000B433A" w:rsidP="00045A54">
      <w:pPr>
        <w:rPr>
          <w:rFonts w:cs="Calibri"/>
          <w:lang w:val="de-DE"/>
        </w:rPr>
      </w:pPr>
      <w:r>
        <w:rPr>
          <w:rFonts w:cs="Calibri"/>
          <w:lang w:val="de-DE"/>
        </w:rPr>
        <w:t>Es gibt zwei Arten der Beeinträchtigung der Außenluftqualität durch Luftschadstoffe:</w:t>
      </w:r>
    </w:p>
    <w:p w:rsidR="000B433A" w:rsidRPr="005F5D9D" w:rsidRDefault="000B433A" w:rsidP="00045A54">
      <w:pPr>
        <w:pStyle w:val="Paragraphedeliste"/>
        <w:numPr>
          <w:ilvl w:val="0"/>
          <w:numId w:val="3"/>
        </w:numPr>
        <w:ind w:left="426" w:hanging="426"/>
        <w:rPr>
          <w:rFonts w:cs="Calibri"/>
          <w:szCs w:val="24"/>
          <w:lang w:val="de-DE"/>
        </w:rPr>
      </w:pPr>
      <w:r>
        <w:rPr>
          <w:rFonts w:cs="Calibri"/>
          <w:lang w:val="de-DE"/>
        </w:rPr>
        <w:t>Schadstoffspitzenwerte, die bei besonderen Wetterbedingungen auftreten, wie z. B. troposphärische Ozonspitzenwerte im Sommer oder Mikropartikelspitzenwerte (PM</w:t>
      </w:r>
      <w:r w:rsidRPr="006124BE">
        <w:rPr>
          <w:rFonts w:cs="Calibri"/>
          <w:szCs w:val="24"/>
          <w:vertAlign w:val="subscript"/>
          <w:lang w:val="de-DE"/>
        </w:rPr>
        <w:t>2,5</w:t>
      </w:r>
      <w:r>
        <w:rPr>
          <w:rFonts w:cs="Calibri"/>
          <w:lang w:val="de-DE"/>
        </w:rPr>
        <w:t xml:space="preserve"> und PM</w:t>
      </w:r>
      <w:r w:rsidRPr="006124BE">
        <w:rPr>
          <w:rFonts w:cs="Calibri"/>
          <w:szCs w:val="24"/>
          <w:vertAlign w:val="subscript"/>
          <w:lang w:val="de-DE"/>
        </w:rPr>
        <w:t>10</w:t>
      </w:r>
      <w:r>
        <w:rPr>
          <w:rFonts w:cs="Calibri"/>
          <w:lang w:val="de-DE"/>
        </w:rPr>
        <w:t>) im Winter. Sie können einen Einfluss auf die Gesundheit nehmen, insbesondere bei geschwächten Menschen (ältere Menschen, Kranke, Kinder...). Diese Auswirkungen betreffen vor allem die Atemwege (Atembeschwerden, Auslösung von Asthmaanfällen...).</w:t>
      </w:r>
    </w:p>
    <w:p w:rsidR="000B433A" w:rsidRPr="005F5D9D" w:rsidRDefault="000B433A" w:rsidP="00045A54">
      <w:pPr>
        <w:pStyle w:val="Paragraphedeliste"/>
        <w:numPr>
          <w:ilvl w:val="0"/>
          <w:numId w:val="3"/>
        </w:numPr>
        <w:ind w:left="426" w:hanging="426"/>
        <w:rPr>
          <w:rFonts w:cs="Calibri"/>
          <w:szCs w:val="24"/>
          <w:lang w:val="de-DE"/>
        </w:rPr>
      </w:pPr>
      <w:r>
        <w:rPr>
          <w:rFonts w:cs="Calibri"/>
          <w:lang w:val="de-DE"/>
        </w:rPr>
        <w:t xml:space="preserve">Niedrigere, aber dauerhafte Schadstoffkonzentrationen oder Hintergrundkonzentrationen. Sie haben mittel- und langfristige gesundheitliche Auswirkungen. Diese Konzentrationen bestehen aus einem Gemisch von Schadstoffen, deren Auswirkungen auf die menschliche Gesundheit und die Ökosysteme, die teilweise unbekannt sind, kumulieren. </w:t>
      </w:r>
    </w:p>
    <w:p w:rsidR="000B433A" w:rsidRPr="005F5D9D" w:rsidRDefault="000B433A" w:rsidP="00045A54">
      <w:pPr>
        <w:rPr>
          <w:rFonts w:cs="Calibri"/>
          <w:lang w:val="de-DE"/>
        </w:rPr>
      </w:pPr>
      <w:r>
        <w:rPr>
          <w:rFonts w:cs="Calibri"/>
          <w:lang w:val="de-DE"/>
        </w:rPr>
        <w:t>Die in die Luft emittierten Schadstoffe verteilen sich zum Teil über weite Strecken und können sich dort mehr oder weniger lange ansammeln. Verschiedene Faktoren wie die Lokalisierung der Emissionen, lokale, regionale oder grenzüberschreitende Schadstoffübertragungen, Wetterbedingungen, Topographie und Gebäudestruktur oder die physikalisch-chemischen Umwandlungen, denen Schadstoffe in der Atmosphäre ausgesetzt sein können, beeinflussen die Konzentration der Schadstoffe.</w:t>
      </w:r>
    </w:p>
    <w:p w:rsidR="000B433A" w:rsidRPr="005F5D9D" w:rsidRDefault="000B433A" w:rsidP="00DB140C">
      <w:pPr>
        <w:rPr>
          <w:rFonts w:cs="Calibri"/>
          <w:lang w:val="de-DE"/>
        </w:rPr>
      </w:pPr>
      <w:r>
        <w:rPr>
          <w:rFonts w:cs="Calibri"/>
          <w:lang w:val="de-DE"/>
        </w:rPr>
        <w:t>Die Problematik war Gegenstand internationaler Abkommen, da Schadstoffe keine Grenzen kennen.  Aus der Problematik der Versauerung entstand das erste Protokoll zur Reduzierung von SO</w:t>
      </w:r>
      <w:r w:rsidRPr="006124BE">
        <w:rPr>
          <w:rFonts w:cs="Calibri"/>
          <w:vertAlign w:val="subscript"/>
          <w:lang w:val="de-DE"/>
        </w:rPr>
        <w:t>2</w:t>
      </w:r>
      <w:r>
        <w:rPr>
          <w:rFonts w:cs="Calibri"/>
          <w:lang w:val="de-DE"/>
        </w:rPr>
        <w:t xml:space="preserve"> (1985) im Rahmen der Genfer Konvention (UNECE - 1979) über weiträumige grenzüberschreitende Luftverunreinigung (CLRTAP), gefolgt von einem Protokoll zur NO</w:t>
      </w:r>
      <w:r w:rsidRPr="003514A5">
        <w:rPr>
          <w:rFonts w:cs="Calibri"/>
          <w:vertAlign w:val="subscript"/>
          <w:lang w:val="de-DE"/>
        </w:rPr>
        <w:t>x</w:t>
      </w:r>
      <w:r>
        <w:rPr>
          <w:rFonts w:cs="Calibri"/>
          <w:lang w:val="de-DE"/>
        </w:rPr>
        <w:t>-Reduktion.  Von 1985 bis 2012 dehnten sich die Bedenken auf die Emissionen von VOC, Schwermetallen und persistenten organischen Schadstoffen aus, und im Rahmen eines integrierten Göteborger Protokolls über Versauerung, Eutrophierung, Ozon und Gesundheit wurden fünf Schadstoffe mit Reduktionszielen belegt, die nach Staaten und Schadstoffen für 2010 und 2020 differenziert sind: NO</w:t>
      </w:r>
      <w:r w:rsidRPr="003514A5">
        <w:rPr>
          <w:rFonts w:cs="Calibri"/>
          <w:vertAlign w:val="subscript"/>
          <w:lang w:val="de-DE"/>
        </w:rPr>
        <w:t>x</w:t>
      </w:r>
      <w:r>
        <w:rPr>
          <w:rFonts w:cs="Calibri"/>
          <w:lang w:val="de-DE"/>
        </w:rPr>
        <w:t>, SO</w:t>
      </w:r>
      <w:r w:rsidRPr="003514A5">
        <w:rPr>
          <w:rFonts w:cs="Calibri"/>
          <w:vertAlign w:val="subscript"/>
          <w:lang w:val="de-DE"/>
        </w:rPr>
        <w:t>2</w:t>
      </w:r>
      <w:r>
        <w:rPr>
          <w:rFonts w:cs="Calibri"/>
          <w:lang w:val="de-DE"/>
        </w:rPr>
        <w:t>, VOC, NH</w:t>
      </w:r>
      <w:r w:rsidRPr="003514A5">
        <w:rPr>
          <w:rFonts w:cs="Calibri"/>
          <w:vertAlign w:val="subscript"/>
          <w:lang w:val="de-DE"/>
        </w:rPr>
        <w:t>3</w:t>
      </w:r>
      <w:r>
        <w:rPr>
          <w:rFonts w:cs="Calibri"/>
          <w:lang w:val="de-DE"/>
        </w:rPr>
        <w:t xml:space="preserve"> und PM</w:t>
      </w:r>
      <w:r w:rsidRPr="006124BE">
        <w:rPr>
          <w:rFonts w:cs="Calibri"/>
          <w:vertAlign w:val="subscript"/>
          <w:lang w:val="de-DE"/>
        </w:rPr>
        <w:t>2,5</w:t>
      </w:r>
      <w:r>
        <w:rPr>
          <w:rFonts w:cs="Calibri"/>
          <w:lang w:val="de-DE"/>
        </w:rPr>
        <w:t>.</w:t>
      </w:r>
    </w:p>
    <w:p w:rsidR="000B433A" w:rsidRPr="005F5D9D" w:rsidRDefault="000B433A" w:rsidP="00DB140C">
      <w:pPr>
        <w:rPr>
          <w:rFonts w:cs="Calibri"/>
          <w:lang w:val="de-DE"/>
        </w:rPr>
      </w:pPr>
      <w:r>
        <w:rPr>
          <w:rFonts w:cs="Calibri"/>
          <w:lang w:val="de-DE"/>
        </w:rPr>
        <w:t xml:space="preserve">Diese UNECE-Rechtsvorschriften waren der Vorläufer der europäischen Luftqualitätsvorschriften, die immer einen Schritt weiter gehen als internationale Gesetzestexte, stets mit dem Ziel, Gesundheit und Ökosysteme zu schützen. </w:t>
      </w:r>
    </w:p>
    <w:p w:rsidR="000B433A" w:rsidRPr="005F5D9D" w:rsidRDefault="000B433A" w:rsidP="00DB140C">
      <w:pPr>
        <w:rPr>
          <w:rFonts w:cs="Calibri"/>
          <w:lang w:val="de-DE"/>
        </w:rPr>
      </w:pPr>
      <w:r>
        <w:rPr>
          <w:rFonts w:cs="Calibri"/>
          <w:lang w:val="de-DE"/>
        </w:rPr>
        <w:t>Im Rahmen von zwei Richtlinien in den Jahren 2001 und 2016, den so genannten NEC-Richtlinien (National Emission Ceilings), wurden für die Jahre 2010, 2020 und 2030 Reduktionsziele für die gleichen fünf Schadstoffe festgelegt.</w:t>
      </w:r>
    </w:p>
    <w:p w:rsidR="000B433A" w:rsidRPr="005F5D9D" w:rsidRDefault="000B433A" w:rsidP="00DB140C">
      <w:pPr>
        <w:rPr>
          <w:rFonts w:cs="Calibri"/>
          <w:lang w:val="de-DE"/>
        </w:rPr>
      </w:pPr>
      <w:r>
        <w:rPr>
          <w:rFonts w:cs="Calibri"/>
          <w:lang w:val="de-DE"/>
        </w:rPr>
        <w:t>Darüber hinaus haben mehrere europäische Richtlinien als Reaktion auf die von der WHO vorgeschlagenen Leitlinien zum Gesundheitsschutz Luftqualitätsnormen für SO</w:t>
      </w:r>
      <w:r w:rsidRPr="003514A5">
        <w:rPr>
          <w:rFonts w:cs="Calibri"/>
          <w:vertAlign w:val="subscript"/>
          <w:lang w:val="de-DE"/>
        </w:rPr>
        <w:t>2</w:t>
      </w:r>
      <w:r>
        <w:rPr>
          <w:rFonts w:cs="Calibri"/>
          <w:lang w:val="de-DE"/>
        </w:rPr>
        <w:t>, NO</w:t>
      </w:r>
      <w:r w:rsidRPr="003514A5">
        <w:rPr>
          <w:rFonts w:cs="Calibri"/>
          <w:vertAlign w:val="subscript"/>
          <w:lang w:val="de-DE"/>
        </w:rPr>
        <w:t>x</w:t>
      </w:r>
      <w:r>
        <w:rPr>
          <w:rFonts w:cs="Calibri"/>
          <w:lang w:val="de-DE"/>
        </w:rPr>
        <w:t>, NO</w:t>
      </w:r>
      <w:r w:rsidRPr="003514A5">
        <w:rPr>
          <w:rFonts w:cs="Calibri"/>
          <w:vertAlign w:val="subscript"/>
          <w:lang w:val="de-DE"/>
        </w:rPr>
        <w:t>2</w:t>
      </w:r>
      <w:r>
        <w:rPr>
          <w:rFonts w:cs="Calibri"/>
          <w:lang w:val="de-DE"/>
        </w:rPr>
        <w:t>, PM</w:t>
      </w:r>
      <w:r w:rsidRPr="006124BE">
        <w:rPr>
          <w:rFonts w:cs="Calibri"/>
          <w:vertAlign w:val="subscript"/>
          <w:lang w:val="de-DE"/>
        </w:rPr>
        <w:t>10</w:t>
      </w:r>
      <w:r>
        <w:rPr>
          <w:rFonts w:cs="Calibri"/>
          <w:lang w:val="de-DE"/>
        </w:rPr>
        <w:t>, PM</w:t>
      </w:r>
      <w:r w:rsidRPr="006124BE">
        <w:rPr>
          <w:rFonts w:cs="Calibri"/>
          <w:vertAlign w:val="subscript"/>
          <w:lang w:val="de-DE"/>
        </w:rPr>
        <w:t>2,5</w:t>
      </w:r>
      <w:r>
        <w:rPr>
          <w:rFonts w:cs="Calibri"/>
          <w:lang w:val="de-DE"/>
        </w:rPr>
        <w:t xml:space="preserve">, Blei, Benzol, CO, Ozon, Arsen, Cadmium, Nickel, Quecksilber und PAK entwickelt, die die Mitgliedstaaten gemäß den Parametern in Anhang 2 einhalten müssen. </w:t>
      </w:r>
    </w:p>
    <w:p w:rsidR="000B433A" w:rsidRPr="00D07F58" w:rsidRDefault="000B433A" w:rsidP="00DB140C">
      <w:pPr>
        <w:rPr>
          <w:lang w:val="de-DE"/>
        </w:rPr>
      </w:pPr>
      <w:r w:rsidRPr="00D07F58">
        <w:rPr>
          <w:lang w:val="de-DE"/>
        </w:rPr>
        <w:t>Derzeit erfüllt die Wallonie die von den europäischen Richtlinien vorgeschriebenen Konzentrationswerte, die in den Telemetrie-Stationen gemessen werden.  Diese Richtlinien erlauben es jedoch, eine bestimmte Anzahl von Tagen zu überschreiten. Es besteht auch Bedarf an einer besseren Überwachung der Luftqualität in städtischen Gebieten und Gebieten mit hohem Verkehrsaufkommen. Infolgedessen werden in Lüttich, Charleroi und Namur neue permanente Messstellen eingerichtet, um die Belastung der Menschen in städtischen oder sensiblen Gebieten durch Konzentrationen über dem Schutzniveau weiter zu reduzieren.</w:t>
      </w:r>
    </w:p>
    <w:p w:rsidR="000B433A" w:rsidRPr="00D07F58" w:rsidRDefault="000B433A" w:rsidP="00DB140C">
      <w:pPr>
        <w:rPr>
          <w:lang w:val="de-DE"/>
        </w:rPr>
      </w:pPr>
      <w:r w:rsidRPr="00D07F58">
        <w:rPr>
          <w:lang w:val="de-DE"/>
        </w:rPr>
        <w:t>Trotz der verbesserten Leistung erweisen sich die bestehenden Luftqualitätswerte als unzureichend, um Gesundheit und Ökosysteme angemessen zu schützen. Die Weltgesundheitsorganisation (WHO) legt derzeit ihre Leitwerte zur Überprüfung vor. Die Wallonie will über die derzeit von der Europäischen Union auferlegten Werte hinausgehen und sich den verstärkten Leitwerten der WHO annähern.</w:t>
      </w:r>
    </w:p>
    <w:p w:rsidR="000B433A" w:rsidRPr="00D07F58" w:rsidRDefault="000B433A" w:rsidP="00DB140C">
      <w:pPr>
        <w:rPr>
          <w:lang w:val="de-DE"/>
        </w:rPr>
      </w:pPr>
      <w:r w:rsidRPr="00D07F58">
        <w:rPr>
          <w:lang w:val="de-DE"/>
        </w:rPr>
        <w:t>Die Erfüllung der Verpflichtungen zur Emissionsreduzierung durch die Umsetzung der Maßnahmen in diesem LKEP 2030 stellt das Mittel dar, die Luftkonzentrationen kontinuierlich zu reduzieren und bestehende Werte zu überschreiten.</w:t>
      </w:r>
    </w:p>
    <w:p w:rsidR="000B433A" w:rsidRPr="005F5D9D" w:rsidRDefault="000B433A" w:rsidP="00A83D2E">
      <w:pPr>
        <w:rPr>
          <w:rFonts w:cs="Calibri"/>
          <w:lang w:val="de-DE"/>
        </w:rPr>
      </w:pPr>
      <w:r>
        <w:rPr>
          <w:rFonts w:cs="Calibri"/>
          <w:lang w:val="de-DE"/>
        </w:rPr>
        <w:t xml:space="preserve">Um die Gesamtqualität der Außenluft zu beurteilen und die Bürger zu informieren, berechnet die Wallonische Luft- und Klimaagentur einen kontinuierlichen „Luftqualitätsindex“. Dieser kann unter </w:t>
      </w:r>
      <w:hyperlink r:id="rId18" w:history="1">
        <w:r>
          <w:rPr>
            <w:rFonts w:cs="Calibri"/>
            <w:lang w:val="de-DE"/>
          </w:rPr>
          <w:t>http://awac.be/index.php/qualite-de-l-air</w:t>
        </w:r>
      </w:hyperlink>
      <w:r>
        <w:rPr>
          <w:rFonts w:cs="Calibri"/>
          <w:lang w:val="de-DE"/>
        </w:rPr>
        <w:t xml:space="preserve"> eingesehen werden. Eine mobile Anwendung „BelAir“ ist auch auf Smartphones (iOS und Android) verfügbar. </w:t>
      </w:r>
    </w:p>
    <w:p w:rsidR="000B433A" w:rsidRPr="00631E4A" w:rsidRDefault="000B433A" w:rsidP="00BB673C">
      <w:pPr>
        <w:pStyle w:val="Titre2"/>
        <w:numPr>
          <w:ilvl w:val="1"/>
          <w:numId w:val="1"/>
        </w:numPr>
        <w:ind w:left="851" w:hanging="851"/>
        <w:rPr>
          <w:rFonts w:ascii="Calibri" w:hAnsi="Calibri" w:cs="Calibri"/>
          <w:color w:val="1F497D"/>
          <w:sz w:val="28"/>
          <w:szCs w:val="28"/>
          <w:lang w:val="de-DE"/>
        </w:rPr>
      </w:pPr>
      <w:bookmarkStart w:id="12" w:name="_Toc7802427"/>
      <w:r>
        <w:rPr>
          <w:rFonts w:ascii="Calibri" w:hAnsi="Calibri" w:cs="Calibri"/>
          <w:color w:val="1F497D"/>
          <w:sz w:val="28"/>
          <w:lang w:val="de-DE"/>
        </w:rPr>
        <w:t>Emissionen von versauernden Schadstoffen</w:t>
      </w:r>
      <w:bookmarkEnd w:id="12"/>
    </w:p>
    <w:p w:rsidR="000B433A" w:rsidRPr="005F5D9D" w:rsidRDefault="000B433A" w:rsidP="00662BE1">
      <w:pPr>
        <w:rPr>
          <w:rFonts w:cs="Calibri"/>
          <w:szCs w:val="24"/>
          <w:lang w:val="de-DE"/>
        </w:rPr>
      </w:pPr>
      <w:r>
        <w:rPr>
          <w:rFonts w:cs="Calibri"/>
          <w:lang w:val="de-DE"/>
        </w:rPr>
        <w:t>Das Phänomen der Versauerung natürlicher Lebensräume (Böden, Wälder, andere Ökosysteme, Niederschläge) ist auf versauernde Schadstoffe wie Schwefeloxide (SOx), Stickoxide (NOx) und Ammoniak (NH</w:t>
      </w:r>
      <w:r w:rsidRPr="006124BE">
        <w:rPr>
          <w:rFonts w:cs="Calibri"/>
          <w:szCs w:val="24"/>
          <w:vertAlign w:val="subscript"/>
          <w:lang w:val="de-DE"/>
        </w:rPr>
        <w:t>3</w:t>
      </w:r>
      <w:r>
        <w:rPr>
          <w:rFonts w:cs="Calibri"/>
          <w:lang w:val="de-DE"/>
        </w:rPr>
        <w:t xml:space="preserve">) zurückzuführen. </w:t>
      </w:r>
    </w:p>
    <w:p w:rsidR="000B433A" w:rsidRPr="005F5D9D" w:rsidRDefault="000B433A" w:rsidP="00662BE1">
      <w:pPr>
        <w:rPr>
          <w:rFonts w:cs="Calibri"/>
          <w:szCs w:val="24"/>
          <w:lang w:val="de-DE"/>
        </w:rPr>
      </w:pPr>
      <w:r>
        <w:rPr>
          <w:rFonts w:cs="Calibri"/>
          <w:lang w:val="de-DE"/>
        </w:rPr>
        <w:t>Die Versauerung stellt in der Wallonie und in einem großen Teil der EU kein Problem mehr dar, da die Emissionen der oben genannten versauernden Schadstoffe seit den 90er-Jahren sehr stark reduziert wurden. Dieses Phänomen bleibt jedoch in Skandinavien und einigen Teilen Mitteleuropas problematisch.</w:t>
      </w:r>
    </w:p>
    <w:p w:rsidR="000B433A" w:rsidRPr="005F5D9D" w:rsidRDefault="000B433A" w:rsidP="00662BE1">
      <w:pPr>
        <w:rPr>
          <w:rFonts w:cs="Calibri"/>
          <w:szCs w:val="24"/>
          <w:lang w:val="de-DE"/>
        </w:rPr>
      </w:pPr>
      <w:r>
        <w:rPr>
          <w:rFonts w:cs="Calibri"/>
          <w:lang w:val="de-DE"/>
        </w:rPr>
        <w:t>In der Wallonie sind die SO</w:t>
      </w:r>
      <w:r w:rsidRPr="007E6E8D">
        <w:rPr>
          <w:rFonts w:cs="Calibri"/>
          <w:szCs w:val="24"/>
          <w:vertAlign w:val="subscript"/>
          <w:lang w:val="de-DE"/>
        </w:rPr>
        <w:t>x</w:t>
      </w:r>
      <w:r>
        <w:rPr>
          <w:rFonts w:cs="Calibri"/>
          <w:lang w:val="de-DE"/>
        </w:rPr>
        <w:t>-Emissionen zwischen 1990 und 2017 durch die Entschwefelung von Brennstoffen und dank Rauchgasreinigungssystemen in Industrieanlagen um mehr als 90 % gesunken.  Zwischen 2005 und 2017 sanken die Emissionen um 79,4 %.</w:t>
      </w:r>
    </w:p>
    <w:p w:rsidR="000B433A" w:rsidRPr="005F5D9D" w:rsidRDefault="000B433A" w:rsidP="00662BE1">
      <w:pPr>
        <w:rPr>
          <w:rFonts w:cs="Calibri"/>
          <w:szCs w:val="24"/>
          <w:lang w:val="de-DE"/>
        </w:rPr>
      </w:pPr>
      <w:r>
        <w:rPr>
          <w:rFonts w:cs="Calibri"/>
          <w:lang w:val="de-DE"/>
        </w:rPr>
        <w:t>SO</w:t>
      </w:r>
      <w:r w:rsidRPr="007E6E8D">
        <w:rPr>
          <w:rFonts w:cs="Calibri"/>
          <w:szCs w:val="24"/>
          <w:vertAlign w:val="subscript"/>
          <w:lang w:val="de-DE"/>
        </w:rPr>
        <w:t>2</w:t>
      </w:r>
      <w:r>
        <w:rPr>
          <w:rFonts w:cs="Calibri"/>
          <w:lang w:val="de-DE"/>
        </w:rPr>
        <w:t xml:space="preserve"> bleibt jedoch ein Schadstoff, der weiter reduziert werden muss, da er einen Vorläufer für die Bildung von Sekundärpartikeln (PM</w:t>
      </w:r>
      <w:r w:rsidRPr="006124BE">
        <w:rPr>
          <w:rFonts w:cs="Calibri"/>
          <w:szCs w:val="24"/>
          <w:vertAlign w:val="subscript"/>
          <w:lang w:val="de-DE"/>
        </w:rPr>
        <w:t>2</w:t>
      </w:r>
      <w:proofErr w:type="gramStart"/>
      <w:r w:rsidRPr="006124BE">
        <w:rPr>
          <w:rFonts w:cs="Calibri"/>
          <w:szCs w:val="24"/>
          <w:vertAlign w:val="subscript"/>
          <w:lang w:val="de-DE"/>
        </w:rPr>
        <w:t>,5</w:t>
      </w:r>
      <w:proofErr w:type="gramEnd"/>
      <w:r>
        <w:rPr>
          <w:rFonts w:cs="Calibri"/>
          <w:lang w:val="de-DE"/>
        </w:rPr>
        <w:t>) darstellt, hauptsächlich durch Reaktion mit Ammoniak und der daraus folgenden Bildung von Ammoniumsulfatpartikeln.</w:t>
      </w:r>
    </w:p>
    <w:p w:rsidR="000B433A" w:rsidRPr="005F5D9D" w:rsidRDefault="000B433A" w:rsidP="00662BE1">
      <w:pPr>
        <w:rPr>
          <w:rFonts w:cs="Calibri"/>
          <w:szCs w:val="24"/>
          <w:lang w:val="de-DE"/>
        </w:rPr>
      </w:pPr>
      <w:r>
        <w:rPr>
          <w:rFonts w:cs="Calibri"/>
          <w:lang w:val="de-DE"/>
        </w:rPr>
        <w:t>Daten über NO</w:t>
      </w:r>
      <w:r w:rsidRPr="007E6E8D">
        <w:rPr>
          <w:rFonts w:cs="Calibri"/>
          <w:szCs w:val="24"/>
          <w:vertAlign w:val="subscript"/>
          <w:lang w:val="de-DE"/>
        </w:rPr>
        <w:t>x</w:t>
      </w:r>
      <w:r>
        <w:rPr>
          <w:rFonts w:cs="Calibri"/>
          <w:lang w:val="de-DE"/>
        </w:rPr>
        <w:t>- und NH</w:t>
      </w:r>
      <w:r w:rsidRPr="007E6E8D">
        <w:rPr>
          <w:rFonts w:cs="Calibri"/>
          <w:szCs w:val="24"/>
          <w:vertAlign w:val="subscript"/>
          <w:lang w:val="de-DE"/>
        </w:rPr>
        <w:t>3</w:t>
      </w:r>
      <w:r>
        <w:rPr>
          <w:rFonts w:cs="Calibri"/>
          <w:lang w:val="de-DE"/>
        </w:rPr>
        <w:t>-Emissionen werden in den Kapiteln über Ozon und Ammoniak ausgegeben.</w:t>
      </w:r>
    </w:p>
    <w:p w:rsidR="000B433A" w:rsidRPr="0032707B" w:rsidRDefault="000B433A" w:rsidP="0032707B">
      <w:pPr>
        <w:rPr>
          <w:rFonts w:cs="Calibri"/>
          <w:szCs w:val="24"/>
          <w:lang w:val="de-DE"/>
        </w:rPr>
      </w:pPr>
    </w:p>
    <w:p w:rsidR="000B433A" w:rsidRDefault="00372180" w:rsidP="000656E7">
      <w:pPr>
        <w:keepNext/>
      </w:pPr>
      <w:r>
        <w:rPr>
          <w:rFonts w:cs="Calibri"/>
          <w:noProof/>
          <w:lang w:eastAsia="fr-BE"/>
        </w:rPr>
        <w:drawing>
          <wp:inline distT="0" distB="0" distL="0" distR="0">
            <wp:extent cx="5782310" cy="3261360"/>
            <wp:effectExtent l="19050" t="0" r="8890" b="0"/>
            <wp:docPr id="9" name="Graphiqu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0"/>
                    <pic:cNvPicPr>
                      <a:picLocks noChangeArrowheads="1"/>
                    </pic:cNvPicPr>
                  </pic:nvPicPr>
                  <pic:blipFill>
                    <a:blip r:embed="rId19"/>
                    <a:srcRect b="-58"/>
                    <a:stretch>
                      <a:fillRect/>
                    </a:stretch>
                  </pic:blipFill>
                  <pic:spPr bwMode="auto">
                    <a:xfrm>
                      <a:off x="0" y="0"/>
                      <a:ext cx="5782310" cy="3261360"/>
                    </a:xfrm>
                    <a:prstGeom prst="rect">
                      <a:avLst/>
                    </a:prstGeom>
                    <a:noFill/>
                    <a:ln w="9525">
                      <a:noFill/>
                      <a:miter lim="800000"/>
                      <a:headEnd/>
                      <a:tailEnd/>
                    </a:ln>
                  </pic:spPr>
                </pic:pic>
              </a:graphicData>
            </a:graphic>
          </wp:inline>
        </w:drawing>
      </w:r>
    </w:p>
    <w:p w:rsidR="000B433A" w:rsidRPr="005F5D9D" w:rsidRDefault="000B433A" w:rsidP="000656E7">
      <w:pPr>
        <w:pStyle w:val="Lgende"/>
        <w:jc w:val="both"/>
        <w:rPr>
          <w:rFonts w:cs="Calibri"/>
          <w:lang w:val="de-DE"/>
        </w:rPr>
      </w:pPr>
      <w:r>
        <w:rPr>
          <w:lang w:val="de-DE"/>
        </w:rPr>
        <w:t xml:space="preserve">Abbildung </w:t>
      </w:r>
      <w:r w:rsidR="005A6B21">
        <w:rPr>
          <w:lang w:val="de-DE"/>
        </w:rPr>
        <w:fldChar w:fldCharType="begin"/>
      </w:r>
      <w:r>
        <w:rPr>
          <w:lang w:val="de-DE"/>
        </w:rPr>
        <w:instrText xml:space="preserve"> SEQ Figure \* ARABIC </w:instrText>
      </w:r>
      <w:r w:rsidR="005A6B21">
        <w:rPr>
          <w:lang w:val="de-DE"/>
        </w:rPr>
        <w:fldChar w:fldCharType="separate"/>
      </w:r>
      <w:r>
        <w:rPr>
          <w:lang w:val="de-DE"/>
        </w:rPr>
        <w:t>5</w:t>
      </w:r>
      <w:r w:rsidR="005A6B21">
        <w:rPr>
          <w:lang w:val="de-DE"/>
        </w:rPr>
        <w:fldChar w:fldCharType="end"/>
      </w:r>
      <w:r>
        <w:rPr>
          <w:lang w:val="de-DE"/>
        </w:rPr>
        <w:t>: Entwicklung der SOx-Emissionen in der Wallonie nach Emissionsquellen, zwischen 1990 und 2016</w:t>
      </w:r>
    </w:p>
    <w:p w:rsidR="000B433A" w:rsidRPr="00D07F58" w:rsidRDefault="000B433A" w:rsidP="000656E7">
      <w:pPr>
        <w:pStyle w:val="Lgende"/>
        <w:keepNext/>
        <w:rPr>
          <w:lang w:val="de-DE"/>
        </w:rPr>
      </w:pPr>
      <w:r>
        <w:rPr>
          <w:lang w:val="de-DE"/>
        </w:rPr>
        <w:t xml:space="preserve">Tabelle </w:t>
      </w:r>
      <w:r w:rsidR="005A6B21">
        <w:rPr>
          <w:lang w:val="de-DE"/>
        </w:rPr>
        <w:fldChar w:fldCharType="begin"/>
      </w:r>
      <w:r>
        <w:rPr>
          <w:lang w:val="de-DE"/>
        </w:rPr>
        <w:instrText xml:space="preserve"> SEQ Tableau \* ARABIC </w:instrText>
      </w:r>
      <w:r w:rsidR="005A6B21">
        <w:rPr>
          <w:lang w:val="de-DE"/>
        </w:rPr>
        <w:fldChar w:fldCharType="separate"/>
      </w:r>
      <w:r>
        <w:rPr>
          <w:lang w:val="de-DE"/>
        </w:rPr>
        <w:t>1</w:t>
      </w:r>
      <w:r w:rsidR="005A6B21">
        <w:rPr>
          <w:lang w:val="de-DE"/>
        </w:rPr>
        <w:fldChar w:fldCharType="end"/>
      </w:r>
      <w:r>
        <w:rPr>
          <w:lang w:val="de-DE"/>
        </w:rPr>
        <w:t>: Entwicklung der SOx-Emissionen in der Wallonie (in ktSOx)</w:t>
      </w:r>
    </w:p>
    <w:tbl>
      <w:tblPr>
        <w:tblW w:w="9142" w:type="dxa"/>
        <w:tblInd w:w="70" w:type="dxa"/>
        <w:tblCellMar>
          <w:left w:w="70" w:type="dxa"/>
          <w:right w:w="70" w:type="dxa"/>
        </w:tblCellMar>
        <w:tblLook w:val="00A0"/>
      </w:tblPr>
      <w:tblGrid>
        <w:gridCol w:w="1277"/>
        <w:gridCol w:w="656"/>
        <w:gridCol w:w="656"/>
        <w:gridCol w:w="656"/>
        <w:gridCol w:w="656"/>
        <w:gridCol w:w="657"/>
        <w:gridCol w:w="657"/>
        <w:gridCol w:w="657"/>
        <w:gridCol w:w="657"/>
        <w:gridCol w:w="657"/>
        <w:gridCol w:w="657"/>
        <w:gridCol w:w="657"/>
        <w:gridCol w:w="642"/>
      </w:tblGrid>
      <w:tr w:rsidR="000B433A" w:rsidRPr="005759E4" w:rsidTr="00CA5156">
        <w:trPr>
          <w:trHeight w:val="254"/>
        </w:trPr>
        <w:tc>
          <w:tcPr>
            <w:tcW w:w="1265" w:type="dxa"/>
            <w:tcBorders>
              <w:top w:val="nil"/>
              <w:left w:val="nil"/>
              <w:bottom w:val="nil"/>
              <w:right w:val="nil"/>
            </w:tcBorders>
            <w:noWrap/>
            <w:vAlign w:val="bottom"/>
          </w:tcPr>
          <w:p w:rsidR="000B433A" w:rsidRPr="00BB673C" w:rsidRDefault="000B433A" w:rsidP="000A7B30">
            <w:pPr>
              <w:spacing w:after="0" w:line="240" w:lineRule="auto"/>
              <w:rPr>
                <w:szCs w:val="20"/>
                <w:lang w:val="de-DE"/>
              </w:rPr>
            </w:pPr>
          </w:p>
        </w:tc>
        <w:tc>
          <w:tcPr>
            <w:tcW w:w="657" w:type="dxa"/>
            <w:tcBorders>
              <w:top w:val="single" w:sz="4" w:space="0" w:color="auto"/>
              <w:left w:val="single" w:sz="4" w:space="0" w:color="auto"/>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jc w:val="right"/>
              <w:rPr>
                <w:color w:val="FFFFFF"/>
                <w:lang w:val="de-DE"/>
              </w:rPr>
            </w:pPr>
            <w:r>
              <w:rPr>
                <w:color w:val="FFFFFF"/>
                <w:sz w:val="22"/>
                <w:lang w:val="de-DE"/>
              </w:rPr>
              <w:t>1990</w:t>
            </w:r>
          </w:p>
        </w:tc>
        <w:tc>
          <w:tcPr>
            <w:tcW w:w="657" w:type="dxa"/>
            <w:tcBorders>
              <w:top w:val="single" w:sz="4" w:space="0" w:color="auto"/>
              <w:left w:val="nil"/>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jc w:val="right"/>
              <w:rPr>
                <w:color w:val="FFFFFF"/>
                <w:lang w:val="de-DE"/>
              </w:rPr>
            </w:pPr>
            <w:r>
              <w:rPr>
                <w:color w:val="FFFFFF"/>
                <w:sz w:val="22"/>
                <w:lang w:val="de-DE"/>
              </w:rPr>
              <w:t>1995</w:t>
            </w:r>
          </w:p>
        </w:tc>
        <w:tc>
          <w:tcPr>
            <w:tcW w:w="657" w:type="dxa"/>
            <w:tcBorders>
              <w:top w:val="single" w:sz="4" w:space="0" w:color="auto"/>
              <w:left w:val="nil"/>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jc w:val="right"/>
              <w:rPr>
                <w:color w:val="FFFFFF"/>
                <w:lang w:val="de-DE"/>
              </w:rPr>
            </w:pPr>
            <w:r>
              <w:rPr>
                <w:color w:val="FFFFFF"/>
                <w:sz w:val="22"/>
                <w:lang w:val="de-DE"/>
              </w:rPr>
              <w:t>2000</w:t>
            </w:r>
          </w:p>
        </w:tc>
        <w:tc>
          <w:tcPr>
            <w:tcW w:w="657" w:type="dxa"/>
            <w:tcBorders>
              <w:top w:val="single" w:sz="4" w:space="0" w:color="auto"/>
              <w:left w:val="nil"/>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jc w:val="right"/>
              <w:rPr>
                <w:color w:val="FFFFFF"/>
                <w:lang w:val="de-DE"/>
              </w:rPr>
            </w:pPr>
            <w:r>
              <w:rPr>
                <w:color w:val="FFFFFF"/>
                <w:sz w:val="22"/>
                <w:lang w:val="de-DE"/>
              </w:rPr>
              <w:t>2005</w:t>
            </w:r>
          </w:p>
        </w:tc>
        <w:tc>
          <w:tcPr>
            <w:tcW w:w="658" w:type="dxa"/>
            <w:tcBorders>
              <w:top w:val="single" w:sz="4" w:space="0" w:color="auto"/>
              <w:left w:val="nil"/>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jc w:val="right"/>
              <w:rPr>
                <w:color w:val="FFFFFF"/>
                <w:lang w:val="de-DE"/>
              </w:rPr>
            </w:pPr>
            <w:r>
              <w:rPr>
                <w:color w:val="FFFFFF"/>
                <w:sz w:val="22"/>
                <w:lang w:val="de-DE"/>
              </w:rPr>
              <w:t>2010</w:t>
            </w:r>
          </w:p>
        </w:tc>
        <w:tc>
          <w:tcPr>
            <w:tcW w:w="658" w:type="dxa"/>
            <w:tcBorders>
              <w:top w:val="single" w:sz="4" w:space="0" w:color="auto"/>
              <w:left w:val="nil"/>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jc w:val="right"/>
              <w:rPr>
                <w:color w:val="FFFFFF"/>
                <w:lang w:val="de-DE"/>
              </w:rPr>
            </w:pPr>
            <w:r>
              <w:rPr>
                <w:color w:val="FFFFFF"/>
                <w:sz w:val="22"/>
                <w:lang w:val="de-DE"/>
              </w:rPr>
              <w:t>2011</w:t>
            </w:r>
          </w:p>
        </w:tc>
        <w:tc>
          <w:tcPr>
            <w:tcW w:w="658" w:type="dxa"/>
            <w:tcBorders>
              <w:top w:val="single" w:sz="4" w:space="0" w:color="auto"/>
              <w:left w:val="nil"/>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jc w:val="right"/>
              <w:rPr>
                <w:color w:val="FFFFFF"/>
                <w:lang w:val="de-DE"/>
              </w:rPr>
            </w:pPr>
            <w:r>
              <w:rPr>
                <w:color w:val="FFFFFF"/>
                <w:sz w:val="22"/>
                <w:lang w:val="de-DE"/>
              </w:rPr>
              <w:t>2012</w:t>
            </w:r>
          </w:p>
        </w:tc>
        <w:tc>
          <w:tcPr>
            <w:tcW w:w="658" w:type="dxa"/>
            <w:tcBorders>
              <w:top w:val="single" w:sz="4" w:space="0" w:color="auto"/>
              <w:left w:val="nil"/>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jc w:val="right"/>
              <w:rPr>
                <w:color w:val="FFFFFF"/>
                <w:lang w:val="de-DE"/>
              </w:rPr>
            </w:pPr>
            <w:r>
              <w:rPr>
                <w:color w:val="FFFFFF"/>
                <w:sz w:val="22"/>
                <w:lang w:val="de-DE"/>
              </w:rPr>
              <w:t>2013</w:t>
            </w:r>
          </w:p>
        </w:tc>
        <w:tc>
          <w:tcPr>
            <w:tcW w:w="658" w:type="dxa"/>
            <w:tcBorders>
              <w:top w:val="single" w:sz="4" w:space="0" w:color="auto"/>
              <w:left w:val="nil"/>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jc w:val="right"/>
              <w:rPr>
                <w:color w:val="FFFFFF"/>
                <w:lang w:val="de-DE"/>
              </w:rPr>
            </w:pPr>
            <w:r>
              <w:rPr>
                <w:color w:val="FFFFFF"/>
                <w:sz w:val="22"/>
                <w:lang w:val="de-DE"/>
              </w:rPr>
              <w:t>2014</w:t>
            </w:r>
          </w:p>
        </w:tc>
        <w:tc>
          <w:tcPr>
            <w:tcW w:w="658" w:type="dxa"/>
            <w:tcBorders>
              <w:top w:val="single" w:sz="4" w:space="0" w:color="auto"/>
              <w:left w:val="nil"/>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jc w:val="right"/>
              <w:rPr>
                <w:color w:val="FFFFFF"/>
                <w:lang w:val="de-DE"/>
              </w:rPr>
            </w:pPr>
            <w:r>
              <w:rPr>
                <w:color w:val="FFFFFF"/>
                <w:sz w:val="22"/>
                <w:lang w:val="de-DE"/>
              </w:rPr>
              <w:t>2015</w:t>
            </w:r>
          </w:p>
        </w:tc>
        <w:tc>
          <w:tcPr>
            <w:tcW w:w="658" w:type="dxa"/>
            <w:tcBorders>
              <w:top w:val="single" w:sz="4" w:space="0" w:color="auto"/>
              <w:left w:val="nil"/>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jc w:val="right"/>
              <w:rPr>
                <w:color w:val="FFFFFF"/>
                <w:lang w:val="de-DE"/>
              </w:rPr>
            </w:pPr>
            <w:r>
              <w:rPr>
                <w:color w:val="FFFFFF"/>
                <w:sz w:val="22"/>
                <w:lang w:val="de-DE"/>
              </w:rPr>
              <w:t>2016</w:t>
            </w:r>
          </w:p>
        </w:tc>
        <w:tc>
          <w:tcPr>
            <w:tcW w:w="643" w:type="dxa"/>
            <w:tcBorders>
              <w:top w:val="single" w:sz="4" w:space="0" w:color="auto"/>
              <w:left w:val="nil"/>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jc w:val="right"/>
              <w:rPr>
                <w:color w:val="FFFFFF"/>
                <w:lang w:val="de-DE"/>
              </w:rPr>
            </w:pPr>
            <w:r>
              <w:rPr>
                <w:color w:val="FFFFFF"/>
                <w:sz w:val="22"/>
                <w:lang w:val="de-DE"/>
              </w:rPr>
              <w:t>2017</w:t>
            </w:r>
          </w:p>
        </w:tc>
      </w:tr>
      <w:tr w:rsidR="000B433A" w:rsidRPr="005759E4" w:rsidTr="00CA5156">
        <w:trPr>
          <w:trHeight w:val="254"/>
        </w:trPr>
        <w:tc>
          <w:tcPr>
            <w:tcW w:w="1265" w:type="dxa"/>
            <w:tcBorders>
              <w:top w:val="single" w:sz="4" w:space="0" w:color="auto"/>
              <w:left w:val="single" w:sz="4" w:space="0" w:color="auto"/>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rPr>
                <w:color w:val="FFFFFF"/>
                <w:lang w:val="de-DE"/>
              </w:rPr>
            </w:pPr>
            <w:r>
              <w:rPr>
                <w:color w:val="FFFFFF"/>
                <w:sz w:val="22"/>
                <w:lang w:val="de-DE"/>
              </w:rPr>
              <w:t>Energie</w:t>
            </w:r>
          </w:p>
        </w:tc>
        <w:tc>
          <w:tcPr>
            <w:tcW w:w="657"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25.9</w:t>
            </w:r>
          </w:p>
        </w:tc>
        <w:tc>
          <w:tcPr>
            <w:tcW w:w="657"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20.0</w:t>
            </w:r>
          </w:p>
        </w:tc>
        <w:tc>
          <w:tcPr>
            <w:tcW w:w="657"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8.8</w:t>
            </w:r>
          </w:p>
        </w:tc>
        <w:tc>
          <w:tcPr>
            <w:tcW w:w="657"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9.8</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1.5</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0.9</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1.1</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0.8</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0.7</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0.3</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0.2</w:t>
            </w:r>
          </w:p>
        </w:tc>
        <w:tc>
          <w:tcPr>
            <w:tcW w:w="643"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0.2</w:t>
            </w:r>
          </w:p>
        </w:tc>
      </w:tr>
      <w:tr w:rsidR="000B433A" w:rsidRPr="005759E4" w:rsidTr="00CA5156">
        <w:trPr>
          <w:trHeight w:val="254"/>
        </w:trPr>
        <w:tc>
          <w:tcPr>
            <w:tcW w:w="1265" w:type="dxa"/>
            <w:tcBorders>
              <w:top w:val="nil"/>
              <w:left w:val="single" w:sz="4" w:space="0" w:color="auto"/>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rPr>
                <w:color w:val="FFFFFF"/>
                <w:lang w:val="de-DE"/>
              </w:rPr>
            </w:pPr>
            <w:r>
              <w:rPr>
                <w:color w:val="FFFFFF"/>
                <w:sz w:val="22"/>
                <w:lang w:val="de-DE"/>
              </w:rPr>
              <w:t>Industrie</w:t>
            </w:r>
          </w:p>
        </w:tc>
        <w:tc>
          <w:tcPr>
            <w:tcW w:w="657"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61.1.</w:t>
            </w:r>
          </w:p>
        </w:tc>
        <w:tc>
          <w:tcPr>
            <w:tcW w:w="657"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33.0</w:t>
            </w:r>
          </w:p>
        </w:tc>
        <w:tc>
          <w:tcPr>
            <w:tcW w:w="657"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33.1</w:t>
            </w:r>
          </w:p>
        </w:tc>
        <w:tc>
          <w:tcPr>
            <w:tcW w:w="657"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25.1</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13.9</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12.0</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8.8</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7.0</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6.4</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6.0</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5.8</w:t>
            </w:r>
          </w:p>
        </w:tc>
        <w:tc>
          <w:tcPr>
            <w:tcW w:w="643"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5.7</w:t>
            </w:r>
          </w:p>
        </w:tc>
      </w:tr>
      <w:tr w:rsidR="000B433A" w:rsidRPr="005759E4" w:rsidTr="00CA5156">
        <w:trPr>
          <w:trHeight w:val="254"/>
        </w:trPr>
        <w:tc>
          <w:tcPr>
            <w:tcW w:w="1265" w:type="dxa"/>
            <w:tcBorders>
              <w:top w:val="nil"/>
              <w:left w:val="single" w:sz="4" w:space="0" w:color="auto"/>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rPr>
                <w:color w:val="FFFFFF"/>
                <w:lang w:val="de-DE"/>
              </w:rPr>
            </w:pPr>
            <w:r>
              <w:rPr>
                <w:color w:val="FFFFFF"/>
                <w:sz w:val="22"/>
                <w:lang w:val="de-DE"/>
              </w:rPr>
              <w:t>Wohnen</w:t>
            </w:r>
          </w:p>
        </w:tc>
        <w:tc>
          <w:tcPr>
            <w:tcW w:w="657"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15.0</w:t>
            </w:r>
          </w:p>
        </w:tc>
        <w:tc>
          <w:tcPr>
            <w:tcW w:w="657"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9.6</w:t>
            </w:r>
          </w:p>
        </w:tc>
        <w:tc>
          <w:tcPr>
            <w:tcW w:w="657"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7.9</w:t>
            </w:r>
          </w:p>
        </w:tc>
        <w:tc>
          <w:tcPr>
            <w:tcW w:w="657"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7.3</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3.3</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2.8</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2.8</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3.1</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2.4</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2.7</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2.4</w:t>
            </w:r>
          </w:p>
        </w:tc>
        <w:tc>
          <w:tcPr>
            <w:tcW w:w="643"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2.4</w:t>
            </w:r>
          </w:p>
        </w:tc>
      </w:tr>
      <w:tr w:rsidR="000B433A" w:rsidRPr="005759E4" w:rsidTr="00CA5156">
        <w:trPr>
          <w:trHeight w:val="254"/>
        </w:trPr>
        <w:tc>
          <w:tcPr>
            <w:tcW w:w="1265" w:type="dxa"/>
            <w:tcBorders>
              <w:top w:val="nil"/>
              <w:left w:val="single" w:sz="4" w:space="0" w:color="auto"/>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rPr>
                <w:color w:val="FFFFFF"/>
                <w:lang w:val="de-DE"/>
              </w:rPr>
            </w:pPr>
            <w:r>
              <w:rPr>
                <w:color w:val="FFFFFF"/>
                <w:sz w:val="22"/>
                <w:lang w:val="de-DE"/>
              </w:rPr>
              <w:t>Dienstleist.</w:t>
            </w:r>
          </w:p>
        </w:tc>
        <w:tc>
          <w:tcPr>
            <w:tcW w:w="657"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1.9</w:t>
            </w:r>
          </w:p>
        </w:tc>
        <w:tc>
          <w:tcPr>
            <w:tcW w:w="657"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1.2</w:t>
            </w:r>
          </w:p>
        </w:tc>
        <w:tc>
          <w:tcPr>
            <w:tcW w:w="657"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1.3</w:t>
            </w:r>
          </w:p>
        </w:tc>
        <w:tc>
          <w:tcPr>
            <w:tcW w:w="657"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1.3</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0.5</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0.4</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0.4</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0.5</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0.4</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0.4</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0.4</w:t>
            </w:r>
          </w:p>
        </w:tc>
        <w:tc>
          <w:tcPr>
            <w:tcW w:w="643"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0.4</w:t>
            </w:r>
          </w:p>
        </w:tc>
      </w:tr>
      <w:tr w:rsidR="000B433A" w:rsidRPr="005759E4" w:rsidTr="00CA5156">
        <w:trPr>
          <w:trHeight w:val="254"/>
        </w:trPr>
        <w:tc>
          <w:tcPr>
            <w:tcW w:w="1265" w:type="dxa"/>
            <w:tcBorders>
              <w:top w:val="nil"/>
              <w:left w:val="single" w:sz="4" w:space="0" w:color="auto"/>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rPr>
                <w:color w:val="FFFFFF"/>
                <w:lang w:val="de-DE"/>
              </w:rPr>
            </w:pPr>
            <w:r>
              <w:rPr>
                <w:color w:val="FFFFFF"/>
                <w:sz w:val="22"/>
                <w:lang w:val="de-DE"/>
              </w:rPr>
              <w:t>Transport</w:t>
            </w:r>
          </w:p>
        </w:tc>
        <w:tc>
          <w:tcPr>
            <w:tcW w:w="657"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4.8</w:t>
            </w:r>
          </w:p>
        </w:tc>
        <w:tc>
          <w:tcPr>
            <w:tcW w:w="657"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4.5</w:t>
            </w:r>
          </w:p>
        </w:tc>
        <w:tc>
          <w:tcPr>
            <w:tcW w:w="657"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1.5</w:t>
            </w:r>
          </w:p>
        </w:tc>
        <w:tc>
          <w:tcPr>
            <w:tcW w:w="657"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0.4</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0.1</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0.1</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0.1</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0.1</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0.1</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0.1</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0.1</w:t>
            </w:r>
          </w:p>
        </w:tc>
        <w:tc>
          <w:tcPr>
            <w:tcW w:w="643"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0.1</w:t>
            </w:r>
          </w:p>
        </w:tc>
      </w:tr>
      <w:tr w:rsidR="000B433A" w:rsidRPr="005759E4" w:rsidTr="00CA5156">
        <w:trPr>
          <w:trHeight w:val="254"/>
        </w:trPr>
        <w:tc>
          <w:tcPr>
            <w:tcW w:w="1265" w:type="dxa"/>
            <w:tcBorders>
              <w:top w:val="nil"/>
              <w:left w:val="single" w:sz="4" w:space="0" w:color="auto"/>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rPr>
                <w:color w:val="FFFFFF"/>
                <w:lang w:val="de-DE"/>
              </w:rPr>
            </w:pPr>
            <w:r>
              <w:rPr>
                <w:color w:val="FFFFFF"/>
                <w:sz w:val="22"/>
                <w:lang w:val="de-DE"/>
              </w:rPr>
              <w:t>Landwirtsch.</w:t>
            </w:r>
          </w:p>
        </w:tc>
        <w:tc>
          <w:tcPr>
            <w:tcW w:w="657"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0.6</w:t>
            </w:r>
          </w:p>
        </w:tc>
        <w:tc>
          <w:tcPr>
            <w:tcW w:w="657"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0.4</w:t>
            </w:r>
          </w:p>
        </w:tc>
        <w:tc>
          <w:tcPr>
            <w:tcW w:w="657"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0.4</w:t>
            </w:r>
          </w:p>
        </w:tc>
        <w:tc>
          <w:tcPr>
            <w:tcW w:w="657"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0.4</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0.2</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0.2</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0.2</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0.2</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0.2</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0.2</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0.2</w:t>
            </w:r>
          </w:p>
        </w:tc>
        <w:tc>
          <w:tcPr>
            <w:tcW w:w="643"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0.2</w:t>
            </w:r>
          </w:p>
        </w:tc>
      </w:tr>
      <w:tr w:rsidR="000B433A" w:rsidRPr="005759E4" w:rsidTr="00CA5156">
        <w:trPr>
          <w:trHeight w:val="267"/>
        </w:trPr>
        <w:tc>
          <w:tcPr>
            <w:tcW w:w="1265" w:type="dxa"/>
            <w:tcBorders>
              <w:top w:val="nil"/>
              <w:left w:val="single" w:sz="4" w:space="0" w:color="auto"/>
              <w:bottom w:val="double" w:sz="6" w:space="0" w:color="auto"/>
              <w:right w:val="single" w:sz="4" w:space="0" w:color="auto"/>
            </w:tcBorders>
            <w:shd w:val="clear" w:color="000000" w:fill="4F81BD"/>
            <w:noWrap/>
            <w:vAlign w:val="bottom"/>
          </w:tcPr>
          <w:p w:rsidR="000B433A" w:rsidRPr="00BB673C" w:rsidRDefault="000B433A" w:rsidP="000A7B30">
            <w:pPr>
              <w:spacing w:after="0" w:line="240" w:lineRule="auto"/>
              <w:rPr>
                <w:color w:val="FFFFFF"/>
                <w:lang w:val="de-DE"/>
              </w:rPr>
            </w:pPr>
            <w:r>
              <w:rPr>
                <w:color w:val="FFFFFF"/>
                <w:sz w:val="22"/>
                <w:lang w:val="de-DE"/>
              </w:rPr>
              <w:t>Abfälle</w:t>
            </w:r>
          </w:p>
        </w:tc>
        <w:tc>
          <w:tcPr>
            <w:tcW w:w="657" w:type="dxa"/>
            <w:tcBorders>
              <w:top w:val="nil"/>
              <w:left w:val="nil"/>
              <w:bottom w:val="double" w:sz="6"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0.2</w:t>
            </w:r>
          </w:p>
        </w:tc>
        <w:tc>
          <w:tcPr>
            <w:tcW w:w="657" w:type="dxa"/>
            <w:tcBorders>
              <w:top w:val="nil"/>
              <w:left w:val="nil"/>
              <w:bottom w:val="double" w:sz="6"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0.2</w:t>
            </w:r>
          </w:p>
        </w:tc>
        <w:tc>
          <w:tcPr>
            <w:tcW w:w="657" w:type="dxa"/>
            <w:tcBorders>
              <w:top w:val="nil"/>
              <w:left w:val="nil"/>
              <w:bottom w:val="double" w:sz="6"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0.0</w:t>
            </w:r>
          </w:p>
        </w:tc>
        <w:tc>
          <w:tcPr>
            <w:tcW w:w="657" w:type="dxa"/>
            <w:tcBorders>
              <w:top w:val="nil"/>
              <w:left w:val="nil"/>
              <w:bottom w:val="double" w:sz="6"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0.0</w:t>
            </w:r>
          </w:p>
        </w:tc>
        <w:tc>
          <w:tcPr>
            <w:tcW w:w="658" w:type="dxa"/>
            <w:tcBorders>
              <w:top w:val="nil"/>
              <w:left w:val="nil"/>
              <w:bottom w:val="double" w:sz="6"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0.2</w:t>
            </w:r>
          </w:p>
        </w:tc>
        <w:tc>
          <w:tcPr>
            <w:tcW w:w="658" w:type="dxa"/>
            <w:tcBorders>
              <w:top w:val="nil"/>
              <w:left w:val="nil"/>
              <w:bottom w:val="double" w:sz="6"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0.1</w:t>
            </w:r>
          </w:p>
        </w:tc>
        <w:tc>
          <w:tcPr>
            <w:tcW w:w="658" w:type="dxa"/>
            <w:tcBorders>
              <w:top w:val="nil"/>
              <w:left w:val="nil"/>
              <w:bottom w:val="double" w:sz="6"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0.1</w:t>
            </w:r>
          </w:p>
        </w:tc>
        <w:tc>
          <w:tcPr>
            <w:tcW w:w="658" w:type="dxa"/>
            <w:tcBorders>
              <w:top w:val="nil"/>
              <w:left w:val="nil"/>
              <w:bottom w:val="double" w:sz="6"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0.1</w:t>
            </w:r>
          </w:p>
        </w:tc>
        <w:tc>
          <w:tcPr>
            <w:tcW w:w="658" w:type="dxa"/>
            <w:tcBorders>
              <w:top w:val="nil"/>
              <w:left w:val="nil"/>
              <w:bottom w:val="double" w:sz="6"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0.1</w:t>
            </w:r>
          </w:p>
        </w:tc>
        <w:tc>
          <w:tcPr>
            <w:tcW w:w="658" w:type="dxa"/>
            <w:tcBorders>
              <w:top w:val="nil"/>
              <w:left w:val="nil"/>
              <w:bottom w:val="double" w:sz="6"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0.1</w:t>
            </w:r>
          </w:p>
        </w:tc>
        <w:tc>
          <w:tcPr>
            <w:tcW w:w="658" w:type="dxa"/>
            <w:tcBorders>
              <w:top w:val="nil"/>
              <w:left w:val="nil"/>
              <w:bottom w:val="double" w:sz="6"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0.1</w:t>
            </w:r>
          </w:p>
        </w:tc>
        <w:tc>
          <w:tcPr>
            <w:tcW w:w="643" w:type="dxa"/>
            <w:tcBorders>
              <w:top w:val="nil"/>
              <w:left w:val="nil"/>
              <w:bottom w:val="double" w:sz="6"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0.1</w:t>
            </w:r>
          </w:p>
        </w:tc>
      </w:tr>
      <w:tr w:rsidR="000B433A" w:rsidRPr="005759E4" w:rsidTr="00CA5156">
        <w:trPr>
          <w:trHeight w:val="267"/>
        </w:trPr>
        <w:tc>
          <w:tcPr>
            <w:tcW w:w="1265" w:type="dxa"/>
            <w:tcBorders>
              <w:top w:val="nil"/>
              <w:left w:val="single" w:sz="4" w:space="0" w:color="auto"/>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rPr>
                <w:b/>
                <w:bCs/>
                <w:color w:val="FFFFFF"/>
                <w:lang w:val="de-DE"/>
              </w:rPr>
            </w:pPr>
            <w:r>
              <w:rPr>
                <w:b/>
                <w:color w:val="FFFFFF"/>
                <w:sz w:val="22"/>
                <w:lang w:val="de-DE"/>
              </w:rPr>
              <w:t>Gesamt</w:t>
            </w:r>
          </w:p>
        </w:tc>
        <w:tc>
          <w:tcPr>
            <w:tcW w:w="657"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b/>
                <w:bCs/>
                <w:color w:val="000000"/>
                <w:lang w:val="de-DE"/>
              </w:rPr>
            </w:pPr>
            <w:r>
              <w:rPr>
                <w:b/>
                <w:color w:val="000000"/>
                <w:sz w:val="22"/>
                <w:lang w:val="de-DE"/>
              </w:rPr>
              <w:t>109.5</w:t>
            </w:r>
          </w:p>
        </w:tc>
        <w:tc>
          <w:tcPr>
            <w:tcW w:w="657"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b/>
                <w:bCs/>
                <w:color w:val="000000"/>
                <w:lang w:val="de-DE"/>
              </w:rPr>
            </w:pPr>
            <w:r>
              <w:rPr>
                <w:b/>
                <w:color w:val="000000"/>
                <w:sz w:val="22"/>
                <w:lang w:val="de-DE"/>
              </w:rPr>
              <w:t>68.9</w:t>
            </w:r>
          </w:p>
        </w:tc>
        <w:tc>
          <w:tcPr>
            <w:tcW w:w="657"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b/>
                <w:bCs/>
                <w:color w:val="000000"/>
                <w:lang w:val="de-DE"/>
              </w:rPr>
            </w:pPr>
            <w:r>
              <w:rPr>
                <w:b/>
                <w:color w:val="000000"/>
                <w:sz w:val="22"/>
                <w:lang w:val="de-DE"/>
              </w:rPr>
              <w:t>52.9</w:t>
            </w:r>
          </w:p>
        </w:tc>
        <w:tc>
          <w:tcPr>
            <w:tcW w:w="657"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b/>
                <w:bCs/>
                <w:color w:val="000000"/>
                <w:lang w:val="de-DE"/>
              </w:rPr>
            </w:pPr>
            <w:r>
              <w:rPr>
                <w:b/>
                <w:color w:val="000000"/>
                <w:sz w:val="22"/>
                <w:lang w:val="de-DE"/>
              </w:rPr>
              <w:t>44.2</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b/>
                <w:bCs/>
                <w:color w:val="000000"/>
                <w:lang w:val="de-DE"/>
              </w:rPr>
            </w:pPr>
            <w:r>
              <w:rPr>
                <w:b/>
                <w:color w:val="000000"/>
                <w:sz w:val="22"/>
                <w:lang w:val="de-DE"/>
              </w:rPr>
              <w:t>19.7</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b/>
                <w:bCs/>
                <w:color w:val="000000"/>
                <w:lang w:val="de-DE"/>
              </w:rPr>
            </w:pPr>
            <w:r>
              <w:rPr>
                <w:b/>
                <w:color w:val="000000"/>
                <w:sz w:val="22"/>
                <w:lang w:val="de-DE"/>
              </w:rPr>
              <w:t>16.6</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b/>
                <w:bCs/>
                <w:color w:val="000000"/>
                <w:lang w:val="de-DE"/>
              </w:rPr>
            </w:pPr>
            <w:r>
              <w:rPr>
                <w:b/>
                <w:color w:val="000000"/>
                <w:sz w:val="22"/>
                <w:lang w:val="de-DE"/>
              </w:rPr>
              <w:t>13.6</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b/>
                <w:bCs/>
                <w:color w:val="000000"/>
                <w:lang w:val="de-DE"/>
              </w:rPr>
            </w:pPr>
            <w:r>
              <w:rPr>
                <w:b/>
                <w:color w:val="000000"/>
                <w:sz w:val="22"/>
                <w:lang w:val="de-DE"/>
              </w:rPr>
              <w:t>11.7</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b/>
                <w:bCs/>
                <w:color w:val="000000"/>
                <w:lang w:val="de-DE"/>
              </w:rPr>
            </w:pPr>
            <w:r>
              <w:rPr>
                <w:b/>
                <w:color w:val="000000"/>
                <w:sz w:val="22"/>
                <w:lang w:val="de-DE"/>
              </w:rPr>
              <w:t>10.2</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b/>
                <w:bCs/>
                <w:color w:val="000000"/>
                <w:lang w:val="de-DE"/>
              </w:rPr>
            </w:pPr>
            <w:r>
              <w:rPr>
                <w:b/>
                <w:color w:val="000000"/>
                <w:sz w:val="22"/>
                <w:lang w:val="de-DE"/>
              </w:rPr>
              <w:t>9.8</w:t>
            </w:r>
          </w:p>
        </w:tc>
        <w:tc>
          <w:tcPr>
            <w:tcW w:w="658"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b/>
                <w:bCs/>
                <w:color w:val="000000"/>
                <w:lang w:val="de-DE"/>
              </w:rPr>
            </w:pPr>
            <w:r>
              <w:rPr>
                <w:b/>
                <w:color w:val="000000"/>
                <w:sz w:val="22"/>
                <w:lang w:val="de-DE"/>
              </w:rPr>
              <w:t>9.2</w:t>
            </w:r>
          </w:p>
        </w:tc>
        <w:tc>
          <w:tcPr>
            <w:tcW w:w="643"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b/>
                <w:bCs/>
                <w:color w:val="000000"/>
                <w:lang w:val="de-DE"/>
              </w:rPr>
            </w:pPr>
            <w:r>
              <w:rPr>
                <w:b/>
                <w:color w:val="000000"/>
                <w:sz w:val="22"/>
                <w:lang w:val="de-DE"/>
              </w:rPr>
              <w:t>9.1</w:t>
            </w:r>
          </w:p>
        </w:tc>
      </w:tr>
    </w:tbl>
    <w:p w:rsidR="000B433A" w:rsidRPr="00631E4A" w:rsidRDefault="000B433A" w:rsidP="00BB673C">
      <w:pPr>
        <w:pStyle w:val="Titre2"/>
        <w:numPr>
          <w:ilvl w:val="1"/>
          <w:numId w:val="1"/>
        </w:numPr>
        <w:ind w:left="851" w:hanging="851"/>
        <w:rPr>
          <w:rFonts w:ascii="Calibri" w:hAnsi="Calibri" w:cs="Calibri"/>
          <w:color w:val="1F497D"/>
          <w:sz w:val="28"/>
          <w:szCs w:val="28"/>
          <w:lang w:val="de-DE"/>
        </w:rPr>
      </w:pPr>
      <w:bookmarkStart w:id="13" w:name="_Toc7802428"/>
      <w:r>
        <w:rPr>
          <w:rFonts w:ascii="Calibri" w:hAnsi="Calibri" w:cs="Calibri"/>
          <w:color w:val="1F497D"/>
          <w:sz w:val="28"/>
          <w:lang w:val="de-DE"/>
        </w:rPr>
        <w:t>Feinstaubemissionen</w:t>
      </w:r>
      <w:bookmarkEnd w:id="13"/>
    </w:p>
    <w:p w:rsidR="000B433A" w:rsidRPr="005F5D9D" w:rsidRDefault="000B433A" w:rsidP="00662BE1">
      <w:pPr>
        <w:rPr>
          <w:rFonts w:cs="Calibri"/>
          <w:szCs w:val="24"/>
          <w:lang w:val="de-DE"/>
        </w:rPr>
      </w:pPr>
      <w:r>
        <w:rPr>
          <w:rFonts w:cs="Calibri"/>
          <w:lang w:val="de-DE"/>
        </w:rPr>
        <w:t xml:space="preserve">Der Begriff „Partikel“ bezieht sich auf eine Reihe von festen teilchenförmigen Substanzen, die mehrere Tage bis mehrere Jahre in der Luft schweben. </w:t>
      </w:r>
    </w:p>
    <w:p w:rsidR="000B433A" w:rsidRPr="005F5D9D" w:rsidRDefault="000B433A" w:rsidP="00662BE1">
      <w:pPr>
        <w:rPr>
          <w:rFonts w:cs="Calibri"/>
          <w:szCs w:val="24"/>
          <w:lang w:val="de-DE"/>
        </w:rPr>
      </w:pPr>
      <w:r>
        <w:rPr>
          <w:rFonts w:cs="Calibri"/>
          <w:lang w:val="de-DE"/>
        </w:rPr>
        <w:t>Luftpartikel und die darin enthaltenen Schadstoffe dringen je nach Größe mehr oder weniger tief in die Atemwege ein und haben schädliche gesundheitliche Auswirkungen.</w:t>
      </w:r>
      <w:r w:rsidRPr="005F5D9D">
        <w:rPr>
          <w:rStyle w:val="Appelnotedebasdep"/>
          <w:rFonts w:cs="Calibri"/>
          <w:szCs w:val="24"/>
          <w:lang w:val="de-DE"/>
        </w:rPr>
        <w:footnoteReference w:id="7"/>
      </w:r>
      <w:r>
        <w:rPr>
          <w:rFonts w:cs="Calibri"/>
          <w:lang w:val="de-DE"/>
        </w:rPr>
        <w:t xml:space="preserve">  Feinstaub, PM</w:t>
      </w:r>
      <w:r w:rsidRPr="005F5D9D">
        <w:rPr>
          <w:rFonts w:cs="Calibri"/>
          <w:szCs w:val="24"/>
          <w:vertAlign w:val="subscript"/>
          <w:lang w:val="de-DE"/>
        </w:rPr>
        <w:t>2</w:t>
      </w:r>
      <w:proofErr w:type="gramStart"/>
      <w:r w:rsidRPr="005F5D9D">
        <w:rPr>
          <w:rFonts w:cs="Calibri"/>
          <w:szCs w:val="24"/>
          <w:vertAlign w:val="subscript"/>
          <w:lang w:val="de-DE"/>
        </w:rPr>
        <w:t>,5</w:t>
      </w:r>
      <w:proofErr w:type="gramEnd"/>
      <w:r>
        <w:rPr>
          <w:rFonts w:cs="Calibri"/>
          <w:lang w:val="de-DE"/>
        </w:rPr>
        <w:t>, macht einen Bruchteil der gesamten Feinstaubemissionen aus. Diese Partikel sind Gegenstand eines Reduktionsziels der NEC-Richtlinie, da sie für das Herz-Kreislauf-System besonders toxisch sind. Nach Angaben der WHO gibt es keine Norm, unter der sie nicht toxisch sind.</w:t>
      </w:r>
    </w:p>
    <w:p w:rsidR="000B433A" w:rsidRPr="005F5D9D" w:rsidRDefault="000B433A" w:rsidP="00662BE1">
      <w:pPr>
        <w:rPr>
          <w:rFonts w:cs="Calibri"/>
          <w:szCs w:val="24"/>
          <w:lang w:val="de-DE"/>
        </w:rPr>
      </w:pPr>
      <w:r>
        <w:rPr>
          <w:rFonts w:cs="Calibri"/>
          <w:lang w:val="de-DE"/>
        </w:rPr>
        <w:t>Der Ursprung der Partikel ist sehr unterschiedlich. Neben den natürlich vorkommenden Partikeln (Vulkane, Winderosion, Gischt) sind die uns Interessierenden auf menschliche Tätigkeiten zurückzuführen: industrielle Prozesse, Verbrennungsprozesse (Fahrzeugabgase, Heizungsanlagen, Biomasseverbrennung, industrielle Verbrennung usw.), Abnutzung von Straßen, Verschleiß von Reifen, Bremsen oder Metallteilen, die Verwendung von Salz und Sand im Winter, Baustaub usw.</w:t>
      </w:r>
    </w:p>
    <w:p w:rsidR="000B433A" w:rsidRPr="005F5D9D" w:rsidRDefault="000B433A" w:rsidP="00662BE1">
      <w:pPr>
        <w:rPr>
          <w:rFonts w:cs="Calibri"/>
          <w:szCs w:val="24"/>
          <w:lang w:val="de-DE"/>
        </w:rPr>
      </w:pPr>
      <w:r>
        <w:rPr>
          <w:rFonts w:cs="Calibri"/>
          <w:lang w:val="de-DE"/>
        </w:rPr>
        <w:t>Je nachdem wie diese gebildet werden, wird unterschieden zwischen:</w:t>
      </w:r>
    </w:p>
    <w:p w:rsidR="000B433A" w:rsidRDefault="000B433A">
      <w:pPr>
        <w:pStyle w:val="Paragraphedeliste"/>
        <w:numPr>
          <w:ilvl w:val="0"/>
          <w:numId w:val="14"/>
        </w:numPr>
        <w:rPr>
          <w:rFonts w:cs="Calibri"/>
          <w:szCs w:val="24"/>
          <w:lang w:val="de-DE"/>
        </w:rPr>
      </w:pPr>
      <w:r>
        <w:rPr>
          <w:rFonts w:cs="Calibri"/>
          <w:lang w:val="de-DE"/>
        </w:rPr>
        <w:t>Primärteilchen, die beim Austritt in die Atmosphäre abgegeben werden;</w:t>
      </w:r>
    </w:p>
    <w:p w:rsidR="000B433A" w:rsidRDefault="000B433A">
      <w:pPr>
        <w:pStyle w:val="Paragraphedeliste"/>
        <w:numPr>
          <w:ilvl w:val="0"/>
          <w:numId w:val="14"/>
        </w:numPr>
        <w:rPr>
          <w:rFonts w:cs="Calibri"/>
          <w:szCs w:val="24"/>
          <w:lang w:val="de-DE"/>
        </w:rPr>
      </w:pPr>
      <w:r>
        <w:rPr>
          <w:rFonts w:cs="Calibri"/>
          <w:lang w:val="de-DE"/>
        </w:rPr>
        <w:t xml:space="preserve">Sekundärteilchen, die in der Luft durch komplexe physikalisch-chemische Reaktionen aus anderen Schadstoffen gebildet werden, einschließlich Stickoxide oder Schwefeloxide, die mit Ammoniak reagieren und wiederum sekundäre Ammoniumnitrat- oder Ammoniumsulfatteilchen bilden, oder flüchtige organische Verbindungen, die sich zu organischen Sekundärteilchen entwickeln. </w:t>
      </w:r>
    </w:p>
    <w:p w:rsidR="000B433A" w:rsidRPr="005F5D9D" w:rsidRDefault="000B433A" w:rsidP="00662BE1">
      <w:pPr>
        <w:rPr>
          <w:rFonts w:cs="Calibri"/>
          <w:szCs w:val="24"/>
          <w:lang w:val="de-DE"/>
        </w:rPr>
      </w:pPr>
      <w:r>
        <w:rPr>
          <w:rFonts w:cs="Calibri"/>
          <w:lang w:val="de-DE"/>
        </w:rPr>
        <w:t>Die Emissionen von NH</w:t>
      </w:r>
      <w:r w:rsidRPr="007E6E8D">
        <w:rPr>
          <w:rFonts w:cs="Calibri"/>
          <w:szCs w:val="24"/>
          <w:vertAlign w:val="subscript"/>
          <w:lang w:val="de-DE"/>
        </w:rPr>
        <w:t>3</w:t>
      </w:r>
      <w:r>
        <w:rPr>
          <w:rFonts w:cs="Calibri"/>
          <w:lang w:val="de-DE"/>
        </w:rPr>
        <w:t>, NO</w:t>
      </w:r>
      <w:r w:rsidRPr="007E6E8D">
        <w:rPr>
          <w:rFonts w:cs="Calibri"/>
          <w:szCs w:val="24"/>
          <w:vertAlign w:val="subscript"/>
          <w:lang w:val="de-DE"/>
        </w:rPr>
        <w:t>x</w:t>
      </w:r>
      <w:r>
        <w:rPr>
          <w:rFonts w:cs="Calibri"/>
          <w:lang w:val="de-DE"/>
        </w:rPr>
        <w:t xml:space="preserve"> und SO</w:t>
      </w:r>
      <w:r w:rsidRPr="007E6E8D">
        <w:rPr>
          <w:rFonts w:cs="Calibri"/>
          <w:szCs w:val="24"/>
          <w:vertAlign w:val="subscript"/>
          <w:lang w:val="de-DE"/>
        </w:rPr>
        <w:t>x</w:t>
      </w:r>
      <w:r>
        <w:rPr>
          <w:rFonts w:cs="Calibri"/>
          <w:lang w:val="de-DE"/>
        </w:rPr>
        <w:t xml:space="preserve"> sind daher Vorläufer von Sekundärpartikeln. </w:t>
      </w:r>
    </w:p>
    <w:p w:rsidR="000B433A" w:rsidRPr="005F5D9D" w:rsidRDefault="000B433A" w:rsidP="00662BE1">
      <w:pPr>
        <w:rPr>
          <w:rFonts w:cs="Calibri"/>
          <w:szCs w:val="24"/>
          <w:lang w:val="de-DE"/>
        </w:rPr>
      </w:pPr>
      <w:r>
        <w:rPr>
          <w:rFonts w:cs="Calibri"/>
          <w:lang w:val="de-DE"/>
        </w:rPr>
        <w:t>Im Jahr 2017 betrugen die wallonischen PM</w:t>
      </w:r>
      <w:r w:rsidRPr="005F5D9D">
        <w:rPr>
          <w:rFonts w:cs="Calibri"/>
          <w:szCs w:val="24"/>
          <w:vertAlign w:val="subscript"/>
          <w:lang w:val="de-DE"/>
        </w:rPr>
        <w:t>2,5</w:t>
      </w:r>
      <w:r>
        <w:rPr>
          <w:rFonts w:cs="Calibri"/>
          <w:lang w:val="de-DE"/>
        </w:rPr>
        <w:t>-Emissionen 10,21 kt, von denen 63 % aus der Heizungen in Wohnanlagen stammen, hauptsächlich aus der Verbrennung fester Biomasse (Rundholz, Pellets, Kohle usw.). Brennholz in all seinen Formen ist daher eine entscheidende Quelle für feine Partikel.</w:t>
      </w:r>
    </w:p>
    <w:p w:rsidR="000B433A" w:rsidRPr="005F5D9D" w:rsidRDefault="000B433A" w:rsidP="00662BE1">
      <w:pPr>
        <w:rPr>
          <w:rFonts w:cs="Calibri"/>
          <w:szCs w:val="24"/>
          <w:lang w:val="de-DE"/>
        </w:rPr>
      </w:pPr>
      <w:r>
        <w:rPr>
          <w:rFonts w:cs="Calibri"/>
          <w:lang w:val="de-DE"/>
        </w:rPr>
        <w:t>Der Rest der Emissionen stammt aus dem Straßenverkehr (Dieselverbrennung, Bremsen-, Reifen- und Straßenverschleiß), der Landwirtschaft (Viehzucht, Bodenbearbeitung, Ernte usw.) und der Industrie (hauptsächlich diffuse Emissionen in Steinbrüchen und Zementwerken).</w:t>
      </w:r>
    </w:p>
    <w:p w:rsidR="000B433A" w:rsidRPr="005F5D9D" w:rsidRDefault="000B433A" w:rsidP="00662BE1">
      <w:pPr>
        <w:rPr>
          <w:rFonts w:cs="Calibri"/>
          <w:szCs w:val="24"/>
          <w:lang w:val="de-DE"/>
        </w:rPr>
      </w:pPr>
      <w:r>
        <w:rPr>
          <w:rFonts w:cs="Calibri"/>
          <w:lang w:val="de-DE"/>
        </w:rPr>
        <w:t>Die PM</w:t>
      </w:r>
      <w:r w:rsidRPr="005F5D9D">
        <w:rPr>
          <w:rFonts w:cs="Calibri"/>
          <w:szCs w:val="24"/>
          <w:vertAlign w:val="subscript"/>
          <w:lang w:val="de-DE"/>
        </w:rPr>
        <w:t>2</w:t>
      </w:r>
      <w:proofErr w:type="gramStart"/>
      <w:r w:rsidRPr="005F5D9D">
        <w:rPr>
          <w:rFonts w:cs="Calibri"/>
          <w:szCs w:val="24"/>
          <w:vertAlign w:val="subscript"/>
          <w:lang w:val="de-DE"/>
        </w:rPr>
        <w:t>,5</w:t>
      </w:r>
      <w:proofErr w:type="gramEnd"/>
      <w:r>
        <w:rPr>
          <w:rFonts w:cs="Calibri"/>
          <w:lang w:val="de-DE"/>
        </w:rPr>
        <w:t>-Emissionen sanken in der Wallonie zwischen 2005 und 2017 um 32,9 %, trotz des Anstiegs der Emissionen aus dem Wohnungsbereich (Holzheizung).  Zurückzuführen sind die Reduktionen auf:</w:t>
      </w:r>
    </w:p>
    <w:p w:rsidR="000B433A" w:rsidRDefault="000B433A">
      <w:pPr>
        <w:pStyle w:val="Sansinterligne"/>
        <w:numPr>
          <w:ilvl w:val="0"/>
          <w:numId w:val="67"/>
        </w:numPr>
        <w:rPr>
          <w:rFonts w:ascii="Calibri" w:hAnsi="Calibri" w:cs="Calibri"/>
          <w:sz w:val="24"/>
          <w:szCs w:val="24"/>
          <w:lang w:val="de-DE"/>
        </w:rPr>
      </w:pPr>
      <w:r>
        <w:rPr>
          <w:rFonts w:ascii="Calibri" w:hAnsi="Calibri" w:cs="Calibri"/>
          <w:sz w:val="24"/>
          <w:lang w:val="de-DE"/>
        </w:rPr>
        <w:t>Industriebereiche durch die Installation effizienterer Filtersysteme und die Schließung von Unternehmen;</w:t>
      </w:r>
    </w:p>
    <w:p w:rsidR="000B433A" w:rsidRDefault="000B433A">
      <w:pPr>
        <w:pStyle w:val="Sansinterligne"/>
        <w:numPr>
          <w:ilvl w:val="0"/>
          <w:numId w:val="67"/>
        </w:numPr>
        <w:rPr>
          <w:rFonts w:ascii="Calibri" w:hAnsi="Calibri" w:cs="Calibri"/>
          <w:sz w:val="24"/>
          <w:szCs w:val="24"/>
          <w:lang w:val="de-DE"/>
        </w:rPr>
      </w:pPr>
      <w:r>
        <w:rPr>
          <w:rFonts w:ascii="Calibri" w:hAnsi="Calibri" w:cs="Calibri"/>
          <w:sz w:val="24"/>
          <w:lang w:val="de-DE"/>
        </w:rPr>
        <w:t>den Energiebereich durch den Ersatz fester Brennstoffe durch Erdgas und erneuerbare Energiequellen (mit Ausnahme von Biomasse);</w:t>
      </w:r>
    </w:p>
    <w:p w:rsidR="000B433A" w:rsidRDefault="000B433A">
      <w:pPr>
        <w:pStyle w:val="Sansinterligne"/>
        <w:numPr>
          <w:ilvl w:val="0"/>
          <w:numId w:val="67"/>
        </w:numPr>
        <w:rPr>
          <w:rFonts w:ascii="Calibri" w:hAnsi="Calibri" w:cs="Calibri"/>
          <w:sz w:val="24"/>
          <w:szCs w:val="24"/>
          <w:lang w:val="de-DE"/>
        </w:rPr>
      </w:pPr>
      <w:r>
        <w:rPr>
          <w:rFonts w:ascii="Calibri" w:hAnsi="Calibri" w:cs="Calibri"/>
          <w:sz w:val="24"/>
          <w:lang w:val="de-DE"/>
        </w:rPr>
        <w:t>den Verkehrssektor (strengere EURO-Normen für Neufahrzeuge).</w:t>
      </w:r>
    </w:p>
    <w:p w:rsidR="000B433A" w:rsidRDefault="000B433A" w:rsidP="00662BE1">
      <w:pPr>
        <w:rPr>
          <w:rFonts w:cs="Calibri"/>
          <w:szCs w:val="24"/>
          <w:lang w:val="de-DE"/>
        </w:rPr>
      </w:pPr>
    </w:p>
    <w:p w:rsidR="000B433A" w:rsidRDefault="000B433A" w:rsidP="00662BE1">
      <w:pPr>
        <w:rPr>
          <w:rFonts w:cs="Calibri"/>
          <w:szCs w:val="24"/>
          <w:lang w:val="de-DE"/>
        </w:rPr>
      </w:pPr>
      <w:r>
        <w:rPr>
          <w:rFonts w:cs="Calibri"/>
          <w:lang w:val="de-DE"/>
        </w:rPr>
        <w:t xml:space="preserve">Neben </w:t>
      </w:r>
      <w:r w:rsidRPr="005F5D9D">
        <w:rPr>
          <w:rFonts w:cs="Calibri"/>
          <w:szCs w:val="24"/>
          <w:vertAlign w:val="subscript"/>
          <w:lang w:val="de-DE"/>
        </w:rPr>
        <w:t>PM2,5</w:t>
      </w:r>
      <w:r>
        <w:rPr>
          <w:rFonts w:cs="Calibri"/>
          <w:lang w:val="de-DE"/>
        </w:rPr>
        <w:t xml:space="preserve"> unterliegen sehr feine und kohlenstoffhaltige Partikel, die als Schwarzer Kohlenstoff oder Ruß bezeichnet werden, die Rückstände einer schlechten Verbrennung sind, der Überwachung durch die NEC-Richtlinie auf ihre besonders schädlichen Auswirkungen auf die Gesundheit, ohne jedoch einem Reduktionsziel zu unterliegen. Sie sind auch ein kurzlebiger Klimafaktor und haben daher negative Auswirkungen auf das Klima.</w:t>
      </w:r>
    </w:p>
    <w:p w:rsidR="000B433A" w:rsidRPr="005F5D9D" w:rsidRDefault="000B433A" w:rsidP="00662BE1">
      <w:pPr>
        <w:rPr>
          <w:rFonts w:cs="Calibri"/>
          <w:szCs w:val="24"/>
          <w:lang w:val="de-DE"/>
        </w:rPr>
      </w:pPr>
    </w:p>
    <w:p w:rsidR="000B433A" w:rsidRDefault="00372180" w:rsidP="000656E7">
      <w:pPr>
        <w:pStyle w:val="Lgende"/>
        <w:jc w:val="both"/>
      </w:pPr>
      <w:r>
        <w:rPr>
          <w:noProof/>
          <w:lang w:val="fr-BE" w:eastAsia="fr-BE"/>
        </w:rPr>
        <w:drawing>
          <wp:inline distT="0" distB="0" distL="0" distR="0">
            <wp:extent cx="5782310" cy="3646805"/>
            <wp:effectExtent l="19050" t="0" r="8890" b="0"/>
            <wp:docPr id="10" name="Graphiqu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2"/>
                    <pic:cNvPicPr>
                      <a:picLocks noChangeArrowheads="1"/>
                    </pic:cNvPicPr>
                  </pic:nvPicPr>
                  <pic:blipFill>
                    <a:blip r:embed="rId20"/>
                    <a:srcRect/>
                    <a:stretch>
                      <a:fillRect/>
                    </a:stretch>
                  </pic:blipFill>
                  <pic:spPr bwMode="auto">
                    <a:xfrm>
                      <a:off x="0" y="0"/>
                      <a:ext cx="5782310" cy="3646805"/>
                    </a:xfrm>
                    <a:prstGeom prst="rect">
                      <a:avLst/>
                    </a:prstGeom>
                    <a:noFill/>
                    <a:ln w="9525">
                      <a:noFill/>
                      <a:miter lim="800000"/>
                      <a:headEnd/>
                      <a:tailEnd/>
                    </a:ln>
                  </pic:spPr>
                </pic:pic>
              </a:graphicData>
            </a:graphic>
          </wp:inline>
        </w:drawing>
      </w:r>
    </w:p>
    <w:p w:rsidR="000B433A" w:rsidRPr="00D07F58" w:rsidRDefault="000B433A" w:rsidP="000656E7">
      <w:pPr>
        <w:pStyle w:val="Lgende"/>
        <w:jc w:val="both"/>
        <w:rPr>
          <w:lang w:val="de-DE"/>
        </w:rPr>
      </w:pPr>
      <w:r>
        <w:rPr>
          <w:lang w:val="de-DE"/>
        </w:rPr>
        <w:t>Abbildung 6: Entwicklung der PM</w:t>
      </w:r>
      <w:r w:rsidRPr="006124BE">
        <w:rPr>
          <w:vertAlign w:val="subscript"/>
          <w:lang w:val="de-DE"/>
        </w:rPr>
        <w:t>2,5</w:t>
      </w:r>
      <w:r>
        <w:rPr>
          <w:lang w:val="de-DE"/>
        </w:rPr>
        <w:t>-Emissionen nach Emissionsquellen</w:t>
      </w:r>
    </w:p>
    <w:tbl>
      <w:tblPr>
        <w:tblW w:w="9133" w:type="dxa"/>
        <w:tblInd w:w="70" w:type="dxa"/>
        <w:tblCellMar>
          <w:left w:w="70" w:type="dxa"/>
          <w:right w:w="70" w:type="dxa"/>
        </w:tblCellMar>
        <w:tblLook w:val="00A0"/>
      </w:tblPr>
      <w:tblGrid>
        <w:gridCol w:w="1550"/>
        <w:gridCol w:w="760"/>
        <w:gridCol w:w="760"/>
        <w:gridCol w:w="759"/>
        <w:gridCol w:w="759"/>
        <w:gridCol w:w="759"/>
        <w:gridCol w:w="759"/>
        <w:gridCol w:w="759"/>
        <w:gridCol w:w="759"/>
        <w:gridCol w:w="759"/>
        <w:gridCol w:w="759"/>
      </w:tblGrid>
      <w:tr w:rsidR="000B433A" w:rsidRPr="005759E4" w:rsidTr="008F65BB">
        <w:trPr>
          <w:trHeight w:val="246"/>
        </w:trPr>
        <w:tc>
          <w:tcPr>
            <w:tcW w:w="1133" w:type="dxa"/>
            <w:tcBorders>
              <w:top w:val="nil"/>
              <w:left w:val="nil"/>
              <w:bottom w:val="nil"/>
              <w:right w:val="nil"/>
            </w:tcBorders>
            <w:noWrap/>
            <w:vAlign w:val="bottom"/>
          </w:tcPr>
          <w:p w:rsidR="000B433A" w:rsidRPr="00BB673C" w:rsidRDefault="000B433A" w:rsidP="000A7B30">
            <w:pPr>
              <w:spacing w:after="0" w:line="240" w:lineRule="auto"/>
              <w:rPr>
                <w:lang w:val="de-DE"/>
              </w:rPr>
            </w:pPr>
          </w:p>
        </w:tc>
        <w:tc>
          <w:tcPr>
            <w:tcW w:w="800" w:type="dxa"/>
            <w:tcBorders>
              <w:top w:val="single" w:sz="4" w:space="0" w:color="auto"/>
              <w:left w:val="single" w:sz="4" w:space="0" w:color="auto"/>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jc w:val="right"/>
              <w:rPr>
                <w:color w:val="FFFFFF"/>
                <w:lang w:val="de-DE"/>
              </w:rPr>
            </w:pPr>
            <w:r>
              <w:rPr>
                <w:color w:val="FFFFFF"/>
                <w:sz w:val="22"/>
                <w:lang w:val="de-DE"/>
              </w:rPr>
              <w:t>2000</w:t>
            </w:r>
          </w:p>
        </w:tc>
        <w:tc>
          <w:tcPr>
            <w:tcW w:w="800" w:type="dxa"/>
            <w:tcBorders>
              <w:top w:val="single" w:sz="4" w:space="0" w:color="auto"/>
              <w:left w:val="nil"/>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jc w:val="right"/>
              <w:rPr>
                <w:color w:val="FFFFFF"/>
                <w:lang w:val="de-DE"/>
              </w:rPr>
            </w:pPr>
            <w:r>
              <w:rPr>
                <w:color w:val="FFFFFF"/>
                <w:sz w:val="22"/>
                <w:lang w:val="de-DE"/>
              </w:rPr>
              <w:t>2005</w:t>
            </w:r>
          </w:p>
        </w:tc>
        <w:tc>
          <w:tcPr>
            <w:tcW w:w="800" w:type="dxa"/>
            <w:tcBorders>
              <w:top w:val="single" w:sz="4" w:space="0" w:color="auto"/>
              <w:left w:val="nil"/>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jc w:val="right"/>
              <w:rPr>
                <w:color w:val="FFFFFF"/>
                <w:lang w:val="de-DE"/>
              </w:rPr>
            </w:pPr>
            <w:r>
              <w:rPr>
                <w:color w:val="FFFFFF"/>
                <w:sz w:val="22"/>
                <w:lang w:val="de-DE"/>
              </w:rPr>
              <w:t>2010</w:t>
            </w:r>
          </w:p>
        </w:tc>
        <w:tc>
          <w:tcPr>
            <w:tcW w:w="800" w:type="dxa"/>
            <w:tcBorders>
              <w:top w:val="single" w:sz="4" w:space="0" w:color="auto"/>
              <w:left w:val="nil"/>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jc w:val="right"/>
              <w:rPr>
                <w:color w:val="FFFFFF"/>
                <w:lang w:val="de-DE"/>
              </w:rPr>
            </w:pPr>
            <w:r>
              <w:rPr>
                <w:color w:val="FFFFFF"/>
                <w:sz w:val="22"/>
                <w:lang w:val="de-DE"/>
              </w:rPr>
              <w:t>2011</w:t>
            </w:r>
          </w:p>
        </w:tc>
        <w:tc>
          <w:tcPr>
            <w:tcW w:w="800" w:type="dxa"/>
            <w:tcBorders>
              <w:top w:val="single" w:sz="4" w:space="0" w:color="auto"/>
              <w:left w:val="nil"/>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jc w:val="right"/>
              <w:rPr>
                <w:color w:val="FFFFFF"/>
                <w:lang w:val="de-DE"/>
              </w:rPr>
            </w:pPr>
            <w:r>
              <w:rPr>
                <w:color w:val="FFFFFF"/>
                <w:sz w:val="22"/>
                <w:lang w:val="de-DE"/>
              </w:rPr>
              <w:t>2012</w:t>
            </w:r>
          </w:p>
        </w:tc>
        <w:tc>
          <w:tcPr>
            <w:tcW w:w="800" w:type="dxa"/>
            <w:tcBorders>
              <w:top w:val="single" w:sz="4" w:space="0" w:color="auto"/>
              <w:left w:val="nil"/>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jc w:val="right"/>
              <w:rPr>
                <w:color w:val="FFFFFF"/>
                <w:lang w:val="de-DE"/>
              </w:rPr>
            </w:pPr>
            <w:r>
              <w:rPr>
                <w:color w:val="FFFFFF"/>
                <w:sz w:val="22"/>
                <w:lang w:val="de-DE"/>
              </w:rPr>
              <w:t>2013</w:t>
            </w:r>
          </w:p>
        </w:tc>
        <w:tc>
          <w:tcPr>
            <w:tcW w:w="800" w:type="dxa"/>
            <w:tcBorders>
              <w:top w:val="single" w:sz="4" w:space="0" w:color="auto"/>
              <w:left w:val="nil"/>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jc w:val="right"/>
              <w:rPr>
                <w:color w:val="FFFFFF"/>
                <w:lang w:val="de-DE"/>
              </w:rPr>
            </w:pPr>
            <w:r>
              <w:rPr>
                <w:color w:val="FFFFFF"/>
                <w:sz w:val="22"/>
                <w:lang w:val="de-DE"/>
              </w:rPr>
              <w:t>2014</w:t>
            </w:r>
          </w:p>
        </w:tc>
        <w:tc>
          <w:tcPr>
            <w:tcW w:w="800" w:type="dxa"/>
            <w:tcBorders>
              <w:top w:val="single" w:sz="4" w:space="0" w:color="auto"/>
              <w:left w:val="nil"/>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jc w:val="right"/>
              <w:rPr>
                <w:color w:val="FFFFFF"/>
                <w:lang w:val="de-DE"/>
              </w:rPr>
            </w:pPr>
            <w:r>
              <w:rPr>
                <w:color w:val="FFFFFF"/>
                <w:sz w:val="22"/>
                <w:lang w:val="de-DE"/>
              </w:rPr>
              <w:t>2015</w:t>
            </w:r>
          </w:p>
        </w:tc>
        <w:tc>
          <w:tcPr>
            <w:tcW w:w="800" w:type="dxa"/>
            <w:tcBorders>
              <w:top w:val="single" w:sz="4" w:space="0" w:color="auto"/>
              <w:left w:val="nil"/>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jc w:val="right"/>
              <w:rPr>
                <w:color w:val="FFFFFF"/>
                <w:lang w:val="de-DE"/>
              </w:rPr>
            </w:pPr>
            <w:r>
              <w:rPr>
                <w:color w:val="FFFFFF"/>
                <w:sz w:val="22"/>
                <w:lang w:val="de-DE"/>
              </w:rPr>
              <w:t>2016</w:t>
            </w:r>
          </w:p>
        </w:tc>
        <w:tc>
          <w:tcPr>
            <w:tcW w:w="800" w:type="dxa"/>
            <w:tcBorders>
              <w:top w:val="single" w:sz="4" w:space="0" w:color="auto"/>
              <w:left w:val="nil"/>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jc w:val="right"/>
              <w:rPr>
                <w:color w:val="FFFFFF"/>
                <w:lang w:val="de-DE"/>
              </w:rPr>
            </w:pPr>
            <w:r>
              <w:rPr>
                <w:color w:val="FFFFFF"/>
                <w:sz w:val="22"/>
                <w:lang w:val="de-DE"/>
              </w:rPr>
              <w:t>2017</w:t>
            </w:r>
          </w:p>
        </w:tc>
      </w:tr>
      <w:tr w:rsidR="000B433A" w:rsidRPr="005759E4" w:rsidTr="008F65BB">
        <w:trPr>
          <w:trHeight w:val="246"/>
        </w:trPr>
        <w:tc>
          <w:tcPr>
            <w:tcW w:w="1133" w:type="dxa"/>
            <w:tcBorders>
              <w:top w:val="single" w:sz="4" w:space="0" w:color="auto"/>
              <w:left w:val="single" w:sz="4" w:space="0" w:color="auto"/>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rPr>
                <w:color w:val="FFFFFF"/>
                <w:lang w:val="de-DE"/>
              </w:rPr>
            </w:pPr>
            <w:r>
              <w:rPr>
                <w:color w:val="FFFFFF"/>
                <w:sz w:val="22"/>
                <w:lang w:val="de-DE"/>
              </w:rPr>
              <w:t>Energie</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1.13</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0.66</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0.61</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0.51</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0,40</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0.44</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0,25</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0,25</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0.20</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0.10</w:t>
            </w:r>
          </w:p>
        </w:tc>
      </w:tr>
      <w:tr w:rsidR="000B433A" w:rsidRPr="005759E4" w:rsidTr="008F65BB">
        <w:trPr>
          <w:trHeight w:val="246"/>
        </w:trPr>
        <w:tc>
          <w:tcPr>
            <w:tcW w:w="1133" w:type="dxa"/>
            <w:tcBorders>
              <w:top w:val="nil"/>
              <w:left w:val="single" w:sz="4" w:space="0" w:color="auto"/>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rPr>
                <w:color w:val="FFFFFF"/>
                <w:lang w:val="de-DE"/>
              </w:rPr>
            </w:pPr>
            <w:r>
              <w:rPr>
                <w:color w:val="FFFFFF"/>
                <w:sz w:val="22"/>
                <w:lang w:val="de-DE"/>
              </w:rPr>
              <w:t>Industrie</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9.28</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5.67</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2.40</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2.02</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1.65</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1.69</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1.61</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1.66</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1.68</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1.76</w:t>
            </w:r>
          </w:p>
        </w:tc>
      </w:tr>
      <w:tr w:rsidR="000B433A" w:rsidRPr="005759E4" w:rsidTr="008F65BB">
        <w:trPr>
          <w:trHeight w:val="246"/>
        </w:trPr>
        <w:tc>
          <w:tcPr>
            <w:tcW w:w="1133" w:type="dxa"/>
            <w:tcBorders>
              <w:top w:val="nil"/>
              <w:left w:val="single" w:sz="4" w:space="0" w:color="auto"/>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rPr>
                <w:color w:val="FFFFFF"/>
                <w:lang w:val="de-DE"/>
              </w:rPr>
            </w:pPr>
            <w:r>
              <w:rPr>
                <w:color w:val="FFFFFF"/>
                <w:sz w:val="22"/>
                <w:lang w:val="de-DE"/>
              </w:rPr>
              <w:t>Wohnen</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4.89</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5.26</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7.65</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4.88</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6.04</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7.42</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4.60</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5.95</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7.02</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6.44</w:t>
            </w:r>
          </w:p>
        </w:tc>
      </w:tr>
      <w:tr w:rsidR="000B433A" w:rsidRPr="005759E4" w:rsidTr="008F65BB">
        <w:trPr>
          <w:trHeight w:val="246"/>
        </w:trPr>
        <w:tc>
          <w:tcPr>
            <w:tcW w:w="1133" w:type="dxa"/>
            <w:tcBorders>
              <w:top w:val="nil"/>
              <w:left w:val="single" w:sz="4" w:space="0" w:color="auto"/>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rPr>
                <w:color w:val="FFFFFF"/>
                <w:lang w:val="de-DE"/>
              </w:rPr>
            </w:pPr>
            <w:r>
              <w:rPr>
                <w:color w:val="FFFFFF"/>
                <w:sz w:val="22"/>
                <w:lang w:val="de-DE"/>
              </w:rPr>
              <w:t>Dienstleistungen</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0.05</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0.05</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0.05</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0.05</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0.05</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0.06</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0.05</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0.06</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0.06</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0.05</w:t>
            </w:r>
          </w:p>
        </w:tc>
      </w:tr>
      <w:tr w:rsidR="000B433A" w:rsidRPr="005759E4" w:rsidTr="008F65BB">
        <w:trPr>
          <w:trHeight w:val="258"/>
        </w:trPr>
        <w:tc>
          <w:tcPr>
            <w:tcW w:w="1133" w:type="dxa"/>
            <w:tcBorders>
              <w:top w:val="nil"/>
              <w:left w:val="single" w:sz="4" w:space="0" w:color="auto"/>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rPr>
                <w:color w:val="FFFFFF"/>
                <w:lang w:val="de-DE"/>
              </w:rPr>
            </w:pPr>
            <w:r>
              <w:rPr>
                <w:color w:val="FFFFFF"/>
                <w:sz w:val="22"/>
                <w:lang w:val="de-DE"/>
              </w:rPr>
              <w:t>Transport</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3.63</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2.99</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2.36</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2.10</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1.87</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1.68</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1.57</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1.51</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1.40</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1.29</w:t>
            </w:r>
          </w:p>
        </w:tc>
      </w:tr>
      <w:tr w:rsidR="000B433A" w:rsidRPr="005759E4" w:rsidTr="008F65BB">
        <w:trPr>
          <w:trHeight w:val="258"/>
        </w:trPr>
        <w:tc>
          <w:tcPr>
            <w:tcW w:w="1133" w:type="dxa"/>
            <w:tcBorders>
              <w:top w:val="nil"/>
              <w:left w:val="single" w:sz="4" w:space="0" w:color="auto"/>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rPr>
                <w:color w:val="FFFFFF"/>
                <w:lang w:val="de-DE"/>
              </w:rPr>
            </w:pPr>
            <w:r>
              <w:rPr>
                <w:color w:val="FFFFFF"/>
                <w:sz w:val="22"/>
                <w:lang w:val="de-DE"/>
              </w:rPr>
              <w:t>Landwirtschaft</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0.38</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0.37</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0.36</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0.36</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0.35</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0.35</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0.35</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0.37</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0.35</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0.35</w:t>
            </w:r>
          </w:p>
        </w:tc>
      </w:tr>
      <w:tr w:rsidR="000B433A" w:rsidRPr="005759E4" w:rsidTr="008F65BB">
        <w:trPr>
          <w:trHeight w:val="258"/>
        </w:trPr>
        <w:tc>
          <w:tcPr>
            <w:tcW w:w="1133" w:type="dxa"/>
            <w:tcBorders>
              <w:top w:val="nil"/>
              <w:left w:val="single" w:sz="4" w:space="0" w:color="auto"/>
              <w:bottom w:val="double" w:sz="6" w:space="0" w:color="auto"/>
              <w:right w:val="single" w:sz="4" w:space="0" w:color="auto"/>
            </w:tcBorders>
            <w:shd w:val="clear" w:color="000000" w:fill="4F81BD"/>
            <w:noWrap/>
            <w:vAlign w:val="bottom"/>
          </w:tcPr>
          <w:p w:rsidR="000B433A" w:rsidRPr="00BB673C" w:rsidRDefault="000B433A" w:rsidP="000A7B30">
            <w:pPr>
              <w:spacing w:after="0" w:line="240" w:lineRule="auto"/>
              <w:rPr>
                <w:color w:val="FFFFFF"/>
                <w:lang w:val="de-DE"/>
              </w:rPr>
            </w:pPr>
            <w:r>
              <w:rPr>
                <w:color w:val="FFFFFF"/>
                <w:sz w:val="22"/>
                <w:lang w:val="de-DE"/>
              </w:rPr>
              <w:t>Abfälle</w:t>
            </w:r>
          </w:p>
        </w:tc>
        <w:tc>
          <w:tcPr>
            <w:tcW w:w="800" w:type="dxa"/>
            <w:tcBorders>
              <w:top w:val="nil"/>
              <w:left w:val="nil"/>
              <w:bottom w:val="double" w:sz="6"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0.19</w:t>
            </w:r>
          </w:p>
        </w:tc>
        <w:tc>
          <w:tcPr>
            <w:tcW w:w="800" w:type="dxa"/>
            <w:tcBorders>
              <w:top w:val="nil"/>
              <w:left w:val="nil"/>
              <w:bottom w:val="double" w:sz="6"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0.20</w:t>
            </w:r>
          </w:p>
        </w:tc>
        <w:tc>
          <w:tcPr>
            <w:tcW w:w="800" w:type="dxa"/>
            <w:tcBorders>
              <w:top w:val="nil"/>
              <w:left w:val="nil"/>
              <w:bottom w:val="double" w:sz="6"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0.21</w:t>
            </w:r>
          </w:p>
        </w:tc>
        <w:tc>
          <w:tcPr>
            <w:tcW w:w="800" w:type="dxa"/>
            <w:tcBorders>
              <w:top w:val="nil"/>
              <w:left w:val="nil"/>
              <w:bottom w:val="double" w:sz="6"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0.21</w:t>
            </w:r>
          </w:p>
        </w:tc>
        <w:tc>
          <w:tcPr>
            <w:tcW w:w="800" w:type="dxa"/>
            <w:tcBorders>
              <w:top w:val="nil"/>
              <w:left w:val="nil"/>
              <w:bottom w:val="double" w:sz="6"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0.23</w:t>
            </w:r>
          </w:p>
        </w:tc>
        <w:tc>
          <w:tcPr>
            <w:tcW w:w="800" w:type="dxa"/>
            <w:tcBorders>
              <w:top w:val="nil"/>
              <w:left w:val="nil"/>
              <w:bottom w:val="double" w:sz="6"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0.23</w:t>
            </w:r>
          </w:p>
        </w:tc>
        <w:tc>
          <w:tcPr>
            <w:tcW w:w="800" w:type="dxa"/>
            <w:tcBorders>
              <w:top w:val="nil"/>
              <w:left w:val="nil"/>
              <w:bottom w:val="double" w:sz="6"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0.18</w:t>
            </w:r>
          </w:p>
        </w:tc>
        <w:tc>
          <w:tcPr>
            <w:tcW w:w="800" w:type="dxa"/>
            <w:tcBorders>
              <w:top w:val="nil"/>
              <w:left w:val="nil"/>
              <w:bottom w:val="double" w:sz="6"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0.21</w:t>
            </w:r>
          </w:p>
        </w:tc>
        <w:tc>
          <w:tcPr>
            <w:tcW w:w="800" w:type="dxa"/>
            <w:tcBorders>
              <w:top w:val="nil"/>
              <w:left w:val="nil"/>
              <w:bottom w:val="double" w:sz="6"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0.22</w:t>
            </w:r>
          </w:p>
        </w:tc>
        <w:tc>
          <w:tcPr>
            <w:tcW w:w="800" w:type="dxa"/>
            <w:tcBorders>
              <w:top w:val="nil"/>
              <w:left w:val="nil"/>
              <w:bottom w:val="double" w:sz="6" w:space="0" w:color="auto"/>
              <w:right w:val="single" w:sz="4" w:space="0" w:color="auto"/>
            </w:tcBorders>
            <w:noWrap/>
            <w:vAlign w:val="bottom"/>
          </w:tcPr>
          <w:p w:rsidR="000B433A" w:rsidRPr="00BB673C" w:rsidRDefault="000B433A" w:rsidP="000A7B30">
            <w:pPr>
              <w:spacing w:after="0" w:line="240" w:lineRule="auto"/>
              <w:jc w:val="right"/>
              <w:rPr>
                <w:color w:val="000000"/>
                <w:lang w:val="de-DE"/>
              </w:rPr>
            </w:pPr>
            <w:r>
              <w:rPr>
                <w:color w:val="000000"/>
                <w:sz w:val="22"/>
                <w:lang w:val="de-DE"/>
              </w:rPr>
              <w:t>0.21</w:t>
            </w:r>
          </w:p>
        </w:tc>
      </w:tr>
      <w:tr w:rsidR="000B433A" w:rsidRPr="005759E4" w:rsidTr="008F65BB">
        <w:trPr>
          <w:trHeight w:val="258"/>
        </w:trPr>
        <w:tc>
          <w:tcPr>
            <w:tcW w:w="1133" w:type="dxa"/>
            <w:tcBorders>
              <w:top w:val="nil"/>
              <w:left w:val="single" w:sz="4" w:space="0" w:color="auto"/>
              <w:bottom w:val="single" w:sz="4" w:space="0" w:color="auto"/>
              <w:right w:val="single" w:sz="4" w:space="0" w:color="auto"/>
            </w:tcBorders>
            <w:shd w:val="clear" w:color="000000" w:fill="4F81BD"/>
            <w:noWrap/>
            <w:vAlign w:val="bottom"/>
          </w:tcPr>
          <w:p w:rsidR="000B433A" w:rsidRPr="00BB673C" w:rsidRDefault="000B433A" w:rsidP="000A7B30">
            <w:pPr>
              <w:spacing w:after="0" w:line="240" w:lineRule="auto"/>
              <w:rPr>
                <w:b/>
                <w:bCs/>
                <w:color w:val="FFFFFF"/>
                <w:lang w:val="de-DE"/>
              </w:rPr>
            </w:pPr>
            <w:r>
              <w:rPr>
                <w:b/>
                <w:color w:val="FFFFFF"/>
                <w:sz w:val="22"/>
                <w:lang w:val="de-DE"/>
              </w:rPr>
              <w:t>Gesamt</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b/>
                <w:bCs/>
                <w:color w:val="000000"/>
                <w:lang w:val="de-DE"/>
              </w:rPr>
            </w:pPr>
            <w:r>
              <w:rPr>
                <w:b/>
                <w:color w:val="000000"/>
                <w:sz w:val="22"/>
                <w:lang w:val="de-DE"/>
              </w:rPr>
              <w:t>19.55</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b/>
                <w:bCs/>
                <w:color w:val="000000"/>
                <w:lang w:val="de-DE"/>
              </w:rPr>
            </w:pPr>
            <w:r>
              <w:rPr>
                <w:b/>
                <w:color w:val="000000"/>
                <w:sz w:val="22"/>
                <w:lang w:val="de-DE"/>
              </w:rPr>
              <w:t>15.21</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b/>
                <w:bCs/>
                <w:color w:val="000000"/>
                <w:lang w:val="de-DE"/>
              </w:rPr>
            </w:pPr>
            <w:r>
              <w:rPr>
                <w:b/>
                <w:color w:val="000000"/>
                <w:sz w:val="22"/>
                <w:lang w:val="de-DE"/>
              </w:rPr>
              <w:t>13.63</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b/>
                <w:bCs/>
                <w:color w:val="000000"/>
                <w:lang w:val="de-DE"/>
              </w:rPr>
            </w:pPr>
            <w:r>
              <w:rPr>
                <w:b/>
                <w:color w:val="000000"/>
                <w:sz w:val="22"/>
                <w:lang w:val="de-DE"/>
              </w:rPr>
              <w:t>10.12</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b/>
                <w:bCs/>
                <w:color w:val="000000"/>
                <w:lang w:val="de-DE"/>
              </w:rPr>
            </w:pPr>
            <w:r>
              <w:rPr>
                <w:b/>
                <w:color w:val="000000"/>
                <w:sz w:val="22"/>
                <w:lang w:val="de-DE"/>
              </w:rPr>
              <w:t>10.59</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b/>
                <w:bCs/>
                <w:color w:val="000000"/>
                <w:lang w:val="de-DE"/>
              </w:rPr>
            </w:pPr>
            <w:r>
              <w:rPr>
                <w:b/>
                <w:color w:val="000000"/>
                <w:sz w:val="22"/>
                <w:lang w:val="de-DE"/>
              </w:rPr>
              <w:t>11.88</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b/>
                <w:bCs/>
                <w:color w:val="000000"/>
                <w:lang w:val="de-DE"/>
              </w:rPr>
            </w:pPr>
            <w:r>
              <w:rPr>
                <w:b/>
                <w:color w:val="000000"/>
                <w:sz w:val="22"/>
                <w:lang w:val="de-DE"/>
              </w:rPr>
              <w:t>8.62</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b/>
                <w:bCs/>
                <w:color w:val="000000"/>
                <w:lang w:val="de-DE"/>
              </w:rPr>
            </w:pPr>
            <w:r>
              <w:rPr>
                <w:b/>
                <w:color w:val="000000"/>
                <w:sz w:val="22"/>
                <w:lang w:val="de-DE"/>
              </w:rPr>
              <w:t>10.01</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b/>
                <w:bCs/>
                <w:color w:val="000000"/>
                <w:lang w:val="de-DE"/>
              </w:rPr>
            </w:pPr>
            <w:r>
              <w:rPr>
                <w:b/>
                <w:color w:val="000000"/>
                <w:sz w:val="22"/>
                <w:lang w:val="de-DE"/>
              </w:rPr>
              <w:t>10.93</w:t>
            </w:r>
          </w:p>
        </w:tc>
        <w:tc>
          <w:tcPr>
            <w:tcW w:w="800" w:type="dxa"/>
            <w:tcBorders>
              <w:top w:val="nil"/>
              <w:left w:val="nil"/>
              <w:bottom w:val="single" w:sz="4" w:space="0" w:color="auto"/>
              <w:right w:val="single" w:sz="4" w:space="0" w:color="auto"/>
            </w:tcBorders>
            <w:noWrap/>
            <w:vAlign w:val="bottom"/>
          </w:tcPr>
          <w:p w:rsidR="000B433A" w:rsidRPr="00BB673C" w:rsidRDefault="000B433A" w:rsidP="000A7B30">
            <w:pPr>
              <w:spacing w:after="0" w:line="240" w:lineRule="auto"/>
              <w:jc w:val="right"/>
              <w:rPr>
                <w:b/>
                <w:bCs/>
                <w:color w:val="000000"/>
                <w:lang w:val="de-DE"/>
              </w:rPr>
            </w:pPr>
            <w:r>
              <w:rPr>
                <w:b/>
                <w:color w:val="000000"/>
                <w:sz w:val="22"/>
                <w:lang w:val="de-DE"/>
              </w:rPr>
              <w:t>10.21</w:t>
            </w:r>
          </w:p>
        </w:tc>
      </w:tr>
    </w:tbl>
    <w:p w:rsidR="000B433A" w:rsidRPr="00D07F58" w:rsidRDefault="000B433A" w:rsidP="008F65BB">
      <w:pPr>
        <w:pStyle w:val="Lgende"/>
        <w:jc w:val="both"/>
        <w:rPr>
          <w:lang w:val="de-DE"/>
        </w:rPr>
      </w:pPr>
      <w:r>
        <w:rPr>
          <w:lang w:val="de-DE"/>
        </w:rPr>
        <w:t xml:space="preserve">Tabelle </w:t>
      </w:r>
      <w:r w:rsidR="005A6B21" w:rsidRPr="00D07F58">
        <w:rPr>
          <w:lang w:val="de-DE"/>
        </w:rPr>
        <w:fldChar w:fldCharType="begin"/>
      </w:r>
      <w:r w:rsidRPr="00D07F58">
        <w:rPr>
          <w:lang w:val="de-DE"/>
        </w:rPr>
        <w:instrText xml:space="preserve"> SEQ Tableau \* ARABIC </w:instrText>
      </w:r>
      <w:r w:rsidR="005A6B21" w:rsidRPr="00D07F58">
        <w:rPr>
          <w:lang w:val="de-DE"/>
        </w:rPr>
        <w:fldChar w:fldCharType="separate"/>
      </w:r>
      <w:r>
        <w:rPr>
          <w:lang w:val="de-DE"/>
        </w:rPr>
        <w:t>2</w:t>
      </w:r>
      <w:r w:rsidR="005A6B21" w:rsidRPr="00D07F58">
        <w:rPr>
          <w:lang w:val="de-DE"/>
        </w:rPr>
        <w:fldChar w:fldCharType="end"/>
      </w:r>
      <w:r>
        <w:rPr>
          <w:lang w:val="de-DE"/>
        </w:rPr>
        <w:t>: Entwicklung der PM2,5-Emissionen in der Wallonie (in kt)</w:t>
      </w:r>
    </w:p>
    <w:p w:rsidR="000B433A" w:rsidRPr="00631E4A" w:rsidRDefault="000B433A" w:rsidP="00BB673C">
      <w:pPr>
        <w:pStyle w:val="Titre2"/>
        <w:numPr>
          <w:ilvl w:val="1"/>
          <w:numId w:val="1"/>
        </w:numPr>
        <w:ind w:left="851" w:hanging="851"/>
        <w:rPr>
          <w:rFonts w:ascii="Calibri" w:hAnsi="Calibri" w:cs="Calibri"/>
          <w:color w:val="1F497D"/>
          <w:sz w:val="28"/>
          <w:szCs w:val="28"/>
          <w:lang w:val="de-DE"/>
        </w:rPr>
      </w:pPr>
      <w:bookmarkStart w:id="14" w:name="_Toc7802429"/>
      <w:r>
        <w:rPr>
          <w:rFonts w:ascii="Calibri" w:hAnsi="Calibri" w:cs="Calibri"/>
          <w:color w:val="1F497D"/>
          <w:sz w:val="28"/>
          <w:lang w:val="de-DE"/>
        </w:rPr>
        <w:t>Emissionen von troposphärischen Ozonvorläufersubstanzen</w:t>
      </w:r>
      <w:bookmarkEnd w:id="14"/>
      <w:r>
        <w:rPr>
          <w:rFonts w:ascii="Calibri" w:hAnsi="Calibri" w:cs="Calibri"/>
          <w:color w:val="1F497D"/>
          <w:sz w:val="28"/>
          <w:lang w:val="de-DE"/>
        </w:rPr>
        <w:t xml:space="preserve"> </w:t>
      </w:r>
    </w:p>
    <w:p w:rsidR="000B433A" w:rsidRPr="005F5D9D" w:rsidRDefault="000B433A" w:rsidP="00662BE1">
      <w:pPr>
        <w:pStyle w:val="Sansinterligne"/>
        <w:rPr>
          <w:rFonts w:ascii="Calibri" w:hAnsi="Calibri" w:cs="Calibri"/>
          <w:sz w:val="24"/>
          <w:szCs w:val="24"/>
          <w:lang w:val="de-DE"/>
        </w:rPr>
      </w:pPr>
      <w:r>
        <w:rPr>
          <w:rFonts w:ascii="Calibri" w:hAnsi="Calibri" w:cs="Calibri"/>
          <w:sz w:val="24"/>
          <w:lang w:val="de-DE"/>
        </w:rPr>
        <w:t>Troposphärisches Ozon (O</w:t>
      </w:r>
      <w:r w:rsidRPr="003514A5">
        <w:rPr>
          <w:rFonts w:ascii="Calibri" w:hAnsi="Calibri" w:cs="Calibri"/>
          <w:sz w:val="24"/>
          <w:szCs w:val="24"/>
          <w:vertAlign w:val="subscript"/>
          <w:lang w:val="de-DE"/>
        </w:rPr>
        <w:t>3</w:t>
      </w:r>
      <w:r>
        <w:rPr>
          <w:rFonts w:ascii="Calibri" w:hAnsi="Calibri" w:cs="Calibri"/>
          <w:sz w:val="24"/>
          <w:lang w:val="de-DE"/>
        </w:rPr>
        <w:t>) oder photochemische Verunreinigung ist das Ergebnis komplexer photochemischer Reaktionen mit Vorläufersubstanzen wie Stickoxiden (NO</w:t>
      </w:r>
      <w:r w:rsidRPr="003514A5">
        <w:rPr>
          <w:rFonts w:ascii="Calibri" w:hAnsi="Calibri" w:cs="Calibri"/>
          <w:sz w:val="24"/>
          <w:szCs w:val="24"/>
          <w:vertAlign w:val="subscript"/>
          <w:lang w:val="de-DE"/>
        </w:rPr>
        <w:t>x</w:t>
      </w:r>
      <w:r>
        <w:rPr>
          <w:rFonts w:ascii="Calibri" w:hAnsi="Calibri" w:cs="Calibri"/>
          <w:sz w:val="24"/>
          <w:lang w:val="de-DE"/>
        </w:rPr>
        <w:t xml:space="preserve">) und flüchtigen organischen Verbindungen (VOC) in Gegenwart von Sonnenstrahlung. </w:t>
      </w:r>
    </w:p>
    <w:p w:rsidR="000B433A" w:rsidRPr="005F5D9D" w:rsidRDefault="000B433A" w:rsidP="00662BE1">
      <w:pPr>
        <w:pStyle w:val="Sansinterligne"/>
        <w:rPr>
          <w:rFonts w:ascii="Calibri" w:hAnsi="Calibri" w:cs="Calibri"/>
          <w:sz w:val="24"/>
          <w:szCs w:val="24"/>
          <w:lang w:val="de-DE"/>
        </w:rPr>
      </w:pPr>
      <w:r>
        <w:rPr>
          <w:rFonts w:ascii="Calibri" w:hAnsi="Calibri" w:cs="Calibri"/>
          <w:sz w:val="24"/>
          <w:lang w:val="de-DE"/>
        </w:rPr>
        <w:t xml:space="preserve">Auf der troposphärischen Ebene, d. h. in den unteren Schichten der Atmosphäre, in der wir leben, ist es schädlich für die Gesundheit und die Ökosysteme. </w:t>
      </w:r>
    </w:p>
    <w:p w:rsidR="000B433A" w:rsidRPr="005F5D9D" w:rsidRDefault="000B433A" w:rsidP="00662BE1">
      <w:pPr>
        <w:pStyle w:val="Sansinterligne"/>
        <w:rPr>
          <w:rFonts w:ascii="Calibri" w:hAnsi="Calibri" w:cs="Calibri"/>
          <w:sz w:val="24"/>
          <w:szCs w:val="24"/>
          <w:lang w:val="de-DE"/>
        </w:rPr>
      </w:pPr>
    </w:p>
    <w:p w:rsidR="000B433A" w:rsidRDefault="000B433A" w:rsidP="00662BE1">
      <w:pPr>
        <w:pStyle w:val="Sansinterligne"/>
        <w:rPr>
          <w:rFonts w:ascii="Calibri" w:hAnsi="Calibri" w:cs="Calibri"/>
          <w:sz w:val="24"/>
          <w:szCs w:val="24"/>
          <w:lang w:val="de-DE"/>
        </w:rPr>
      </w:pPr>
      <w:r>
        <w:rPr>
          <w:rFonts w:ascii="Calibri" w:hAnsi="Calibri" w:cs="Calibri"/>
          <w:sz w:val="24"/>
          <w:lang w:val="de-DE"/>
        </w:rPr>
        <w:t>Im Jahr 2017 beliefen sich die wallonischen Luftemissionen von NO</w:t>
      </w:r>
      <w:r w:rsidRPr="003514A5">
        <w:rPr>
          <w:rFonts w:ascii="Calibri" w:hAnsi="Calibri" w:cs="Calibri"/>
          <w:sz w:val="24"/>
          <w:szCs w:val="24"/>
          <w:vertAlign w:val="subscript"/>
          <w:lang w:val="de-DE"/>
        </w:rPr>
        <w:t>x</w:t>
      </w:r>
      <w:r>
        <w:rPr>
          <w:rFonts w:ascii="Calibri" w:hAnsi="Calibri" w:cs="Calibri"/>
          <w:sz w:val="24"/>
          <w:lang w:val="de-DE"/>
        </w:rPr>
        <w:t xml:space="preserve"> und VOC aus menschlichen Aktivitäten auf 67,1 bzw. 38,6 kt. Es sei darauf hingewiesen, dass die NEC-Richtlinie bei der Festlegung von Reduktionszielen die NO</w:t>
      </w:r>
      <w:r w:rsidRPr="003514A5">
        <w:rPr>
          <w:rFonts w:ascii="Calibri" w:hAnsi="Calibri" w:cs="Calibri"/>
          <w:sz w:val="24"/>
          <w:szCs w:val="24"/>
          <w:vertAlign w:val="subscript"/>
          <w:lang w:val="de-DE"/>
        </w:rPr>
        <w:t>x</w:t>
      </w:r>
      <w:r>
        <w:rPr>
          <w:rFonts w:ascii="Calibri" w:hAnsi="Calibri" w:cs="Calibri"/>
          <w:sz w:val="24"/>
          <w:lang w:val="de-DE"/>
        </w:rPr>
        <w:t>- und VOC-Emissionen aus der Düngewirtschaft und landwirtschaftlichen Flächen nicht berücksichtigt. In diesem Fall betragen die NO</w:t>
      </w:r>
      <w:r w:rsidRPr="003514A5">
        <w:rPr>
          <w:rFonts w:ascii="Calibri" w:hAnsi="Calibri" w:cs="Calibri"/>
          <w:sz w:val="24"/>
          <w:szCs w:val="24"/>
          <w:vertAlign w:val="subscript"/>
          <w:lang w:val="de-DE"/>
        </w:rPr>
        <w:t>x</w:t>
      </w:r>
      <w:r>
        <w:rPr>
          <w:rFonts w:ascii="Calibri" w:hAnsi="Calibri" w:cs="Calibri"/>
          <w:sz w:val="24"/>
          <w:lang w:val="de-DE"/>
        </w:rPr>
        <w:t xml:space="preserve">-Emissionen im Jahr 2017 somit 60,7 kt und die VOC-Emissionen 28 kt. </w:t>
      </w:r>
    </w:p>
    <w:p w:rsidR="000B433A" w:rsidRPr="005F5D9D" w:rsidRDefault="000B433A" w:rsidP="00662BE1">
      <w:pPr>
        <w:pStyle w:val="Sansinterligne"/>
        <w:rPr>
          <w:rFonts w:ascii="Calibri" w:hAnsi="Calibri" w:cs="Calibri"/>
          <w:sz w:val="24"/>
          <w:szCs w:val="24"/>
          <w:lang w:val="de-DE"/>
        </w:rPr>
      </w:pPr>
      <w:r>
        <w:rPr>
          <w:rFonts w:ascii="Calibri" w:hAnsi="Calibri" w:cs="Calibri"/>
          <w:sz w:val="24"/>
          <w:lang w:val="de-DE"/>
        </w:rPr>
        <w:t>Bei Inventuren und Prognosen werden jedoch alle Sektoren berücksichtigt.</w:t>
      </w:r>
    </w:p>
    <w:p w:rsidR="000B433A" w:rsidRPr="005F5D9D" w:rsidRDefault="000B433A" w:rsidP="00662BE1">
      <w:pPr>
        <w:pStyle w:val="Sansinterligne"/>
        <w:rPr>
          <w:rFonts w:ascii="Calibri" w:hAnsi="Calibri" w:cs="Calibri"/>
          <w:sz w:val="24"/>
          <w:szCs w:val="24"/>
          <w:lang w:val="de-DE"/>
        </w:rPr>
      </w:pPr>
    </w:p>
    <w:p w:rsidR="000B433A" w:rsidRPr="005F5D9D" w:rsidRDefault="000B433A" w:rsidP="00662BE1">
      <w:pPr>
        <w:pStyle w:val="Sansinterligne"/>
        <w:rPr>
          <w:rFonts w:ascii="Calibri" w:hAnsi="Calibri" w:cs="Calibri"/>
          <w:sz w:val="24"/>
          <w:szCs w:val="24"/>
          <w:lang w:val="de-DE"/>
        </w:rPr>
      </w:pPr>
      <w:r>
        <w:rPr>
          <w:rFonts w:ascii="Calibri" w:hAnsi="Calibri" w:cs="Calibri"/>
          <w:sz w:val="24"/>
          <w:lang w:val="de-DE"/>
        </w:rPr>
        <w:t>NO</w:t>
      </w:r>
      <w:r w:rsidRPr="003514A5">
        <w:rPr>
          <w:rFonts w:ascii="Calibri" w:hAnsi="Calibri" w:cs="Calibri"/>
          <w:sz w:val="24"/>
          <w:szCs w:val="24"/>
          <w:vertAlign w:val="subscript"/>
          <w:lang w:val="de-DE"/>
        </w:rPr>
        <w:t>x</w:t>
      </w:r>
      <w:r>
        <w:rPr>
          <w:rFonts w:ascii="Calibri" w:hAnsi="Calibri" w:cs="Calibri"/>
          <w:sz w:val="24"/>
          <w:lang w:val="de-DE"/>
        </w:rPr>
        <w:t>-Emissionen werden durch die Verbrennung fossiler Brennstoffe verursacht. In der Wallonie sind die Hauptquellen der Straßenverkehr, die Industriesektoren (Zementfabriken, Glasfabriken, Chemie usw.), die Landwirtschaft (diese Quelle wird in der NEC-Richtlinie für NO</w:t>
      </w:r>
      <w:r w:rsidRPr="003514A5">
        <w:rPr>
          <w:rFonts w:ascii="Calibri" w:hAnsi="Calibri" w:cs="Calibri"/>
          <w:sz w:val="24"/>
          <w:szCs w:val="24"/>
          <w:vertAlign w:val="subscript"/>
          <w:lang w:val="de-DE"/>
        </w:rPr>
        <w:t>x</w:t>
      </w:r>
      <w:r>
        <w:rPr>
          <w:rFonts w:ascii="Calibri" w:hAnsi="Calibri" w:cs="Calibri"/>
          <w:sz w:val="24"/>
          <w:lang w:val="de-DE"/>
        </w:rPr>
        <w:t xml:space="preserve"> jedoch nicht berücksichtigt), die Heizung von Wohnungen und die Energieerzeugung. </w:t>
      </w:r>
    </w:p>
    <w:p w:rsidR="000B433A" w:rsidRPr="005F5D9D" w:rsidRDefault="000B433A" w:rsidP="00662BE1">
      <w:pPr>
        <w:pStyle w:val="Sansinterligne"/>
        <w:rPr>
          <w:rFonts w:ascii="Calibri" w:hAnsi="Calibri" w:cs="Calibri"/>
          <w:sz w:val="24"/>
          <w:szCs w:val="24"/>
          <w:lang w:val="de-DE"/>
        </w:rPr>
      </w:pPr>
    </w:p>
    <w:p w:rsidR="000B433A" w:rsidRPr="005F5D9D" w:rsidRDefault="000B433A" w:rsidP="00662BE1">
      <w:pPr>
        <w:pStyle w:val="Sansinterligne"/>
        <w:rPr>
          <w:rFonts w:ascii="Calibri" w:hAnsi="Calibri" w:cs="Calibri"/>
          <w:sz w:val="24"/>
          <w:szCs w:val="24"/>
          <w:lang w:val="de-DE"/>
        </w:rPr>
      </w:pPr>
      <w:r>
        <w:rPr>
          <w:rFonts w:ascii="Calibri" w:hAnsi="Calibri" w:cs="Calibri"/>
          <w:sz w:val="24"/>
          <w:lang w:val="de-DE"/>
        </w:rPr>
        <w:t>Zwischen 2005 und 2017 sanken die NO</w:t>
      </w:r>
      <w:r w:rsidRPr="003514A5">
        <w:rPr>
          <w:rFonts w:ascii="Calibri" w:hAnsi="Calibri" w:cs="Calibri"/>
          <w:sz w:val="24"/>
          <w:szCs w:val="24"/>
          <w:vertAlign w:val="subscript"/>
          <w:lang w:val="de-DE"/>
        </w:rPr>
        <w:t>x</w:t>
      </w:r>
      <w:r>
        <w:rPr>
          <w:rFonts w:ascii="Calibri" w:hAnsi="Calibri" w:cs="Calibri"/>
          <w:sz w:val="24"/>
          <w:lang w:val="de-DE"/>
        </w:rPr>
        <w:t>-Emissionen um 48,1 %, was auf Low NO</w:t>
      </w:r>
      <w:r w:rsidRPr="003514A5">
        <w:rPr>
          <w:rFonts w:ascii="Calibri" w:hAnsi="Calibri" w:cs="Calibri"/>
          <w:sz w:val="24"/>
          <w:szCs w:val="24"/>
          <w:vertAlign w:val="subscript"/>
          <w:lang w:val="de-DE"/>
        </w:rPr>
        <w:t>x</w:t>
      </w:r>
      <w:r>
        <w:rPr>
          <w:rFonts w:ascii="Calibri" w:hAnsi="Calibri" w:cs="Calibri"/>
          <w:sz w:val="24"/>
          <w:lang w:val="de-DE"/>
        </w:rPr>
        <w:t>-Technologien in Industrie- und Energieerzeugungssektoren, Betriebsschließungen, die Gaspenetration als Energiequelle und verbesserte Fahrzeugstandards zurückzuführen ist, trotz Fehlverhalten einiger Automobilhersteller.</w:t>
      </w:r>
    </w:p>
    <w:p w:rsidR="000B433A" w:rsidRPr="005F5D9D" w:rsidRDefault="000B433A" w:rsidP="00662BE1">
      <w:pPr>
        <w:pStyle w:val="Sansinterligne"/>
        <w:rPr>
          <w:rFonts w:ascii="Calibri" w:hAnsi="Calibri" w:cs="Calibri"/>
          <w:sz w:val="24"/>
          <w:szCs w:val="24"/>
          <w:lang w:val="de-DE"/>
        </w:rPr>
      </w:pPr>
    </w:p>
    <w:p w:rsidR="000B433A" w:rsidRPr="005F5D9D" w:rsidRDefault="000B433A" w:rsidP="00662BE1">
      <w:pPr>
        <w:pStyle w:val="Sansinterligne"/>
        <w:rPr>
          <w:rFonts w:ascii="Calibri" w:hAnsi="Calibri" w:cs="Calibri"/>
          <w:sz w:val="24"/>
          <w:szCs w:val="24"/>
          <w:lang w:val="de-DE"/>
        </w:rPr>
      </w:pPr>
      <w:r>
        <w:rPr>
          <w:rFonts w:ascii="Calibri" w:hAnsi="Calibri" w:cs="Calibri"/>
          <w:sz w:val="24"/>
          <w:lang w:val="de-DE"/>
        </w:rPr>
        <w:t>Es sei darauf hingewiesen, dass NO</w:t>
      </w:r>
      <w:r w:rsidRPr="005F5D9D">
        <w:rPr>
          <w:rFonts w:ascii="Calibri" w:hAnsi="Calibri" w:cs="Calibri"/>
          <w:sz w:val="24"/>
          <w:szCs w:val="24"/>
          <w:vertAlign w:val="subscript"/>
          <w:lang w:val="de-DE"/>
        </w:rPr>
        <w:t>2</w:t>
      </w:r>
      <w:r>
        <w:rPr>
          <w:rFonts w:ascii="Calibri" w:hAnsi="Calibri" w:cs="Calibri"/>
          <w:sz w:val="24"/>
          <w:lang w:val="de-DE"/>
        </w:rPr>
        <w:t>-Emissionen an sich gesundheitsschädlich sind, unabhängig von ihrer Rolle als Ozonvorläufer. Dies sind säurebildende Schadstoffe und Vorläufersubstanzen des Feinstaubs.</w:t>
      </w:r>
    </w:p>
    <w:p w:rsidR="000B433A" w:rsidRPr="005F5D9D" w:rsidRDefault="000B433A" w:rsidP="00662BE1">
      <w:pPr>
        <w:pStyle w:val="Sansinterligne"/>
        <w:rPr>
          <w:rFonts w:ascii="Calibri" w:hAnsi="Calibri" w:cs="Calibri"/>
          <w:sz w:val="24"/>
          <w:szCs w:val="24"/>
          <w:lang w:val="de-DE"/>
        </w:rPr>
      </w:pPr>
    </w:p>
    <w:p w:rsidR="000B433A" w:rsidRPr="005F5D9D" w:rsidRDefault="000B433A" w:rsidP="00662BE1">
      <w:pPr>
        <w:pStyle w:val="Sansinterligne"/>
        <w:rPr>
          <w:rFonts w:ascii="Calibri" w:hAnsi="Calibri" w:cs="Calibri"/>
          <w:sz w:val="24"/>
          <w:szCs w:val="24"/>
          <w:lang w:val="de-DE"/>
        </w:rPr>
      </w:pPr>
      <w:r>
        <w:rPr>
          <w:rFonts w:ascii="Calibri" w:hAnsi="Calibri" w:cs="Calibri"/>
          <w:sz w:val="24"/>
          <w:lang w:val="de-DE"/>
        </w:rPr>
        <w:t xml:space="preserve">VOC-Emissionen entstehen hauptsächlich durch landwirtschaftliche Tätigkeiten (Nutzpflanzen, Viehdünger) - diese Quelle wird jedoch in der NEC-Richtlinie für VOC nicht berücksichtigt - und durch die Verwendung von Lösungsmitteln im industriellen und privaten Bereich (Farben, Klebstoffe, Entfettungsmittel, Materialbehandlung, Tinte, Reinigung usw.). </w:t>
      </w:r>
    </w:p>
    <w:p w:rsidR="000B433A" w:rsidRPr="005F5D9D" w:rsidRDefault="000B433A" w:rsidP="00662BE1">
      <w:pPr>
        <w:pStyle w:val="Sansinterligne"/>
        <w:rPr>
          <w:rFonts w:ascii="Calibri" w:hAnsi="Calibri" w:cs="Calibri"/>
          <w:sz w:val="24"/>
          <w:szCs w:val="24"/>
          <w:lang w:val="de-DE"/>
        </w:rPr>
      </w:pPr>
    </w:p>
    <w:p w:rsidR="000B433A" w:rsidRPr="005F5D9D" w:rsidRDefault="000B433A" w:rsidP="00662BE1">
      <w:pPr>
        <w:pStyle w:val="Sansinterligne"/>
        <w:rPr>
          <w:rFonts w:ascii="Calibri" w:hAnsi="Calibri" w:cs="Calibri"/>
          <w:sz w:val="24"/>
          <w:szCs w:val="24"/>
          <w:lang w:val="de-DE"/>
        </w:rPr>
      </w:pPr>
      <w:r>
        <w:rPr>
          <w:rFonts w:ascii="Calibri" w:hAnsi="Calibri" w:cs="Calibri"/>
          <w:sz w:val="24"/>
          <w:lang w:val="de-DE"/>
        </w:rPr>
        <w:t>Eine beträchtliche Menge an natürlichen VOC wird von Bäumen freigesetzt. Diese natürlichen Emissionen werden in den Inventaren nicht berücksichtigt, da es sich nur um anthropogene Emissionen (aufgrund menschlicher Aktivitäten) handelt. Sie unterliegen daher nicht den Reduktionszielen, tragen aber dennoch durch ihr Vorhandensein in der Atmosphäre zur Bildung von troposphärischem Ozon bei.</w:t>
      </w:r>
    </w:p>
    <w:p w:rsidR="000B433A" w:rsidRPr="005F5D9D" w:rsidRDefault="000B433A" w:rsidP="00662BE1">
      <w:pPr>
        <w:pStyle w:val="Sansinterligne"/>
        <w:rPr>
          <w:rFonts w:ascii="Calibri" w:hAnsi="Calibri" w:cs="Calibri"/>
          <w:sz w:val="24"/>
          <w:szCs w:val="24"/>
          <w:lang w:val="de-DE"/>
        </w:rPr>
      </w:pPr>
    </w:p>
    <w:p w:rsidR="000B433A" w:rsidRPr="005F5D9D" w:rsidRDefault="000B433A" w:rsidP="00662BE1">
      <w:pPr>
        <w:pStyle w:val="Sansinterligne"/>
        <w:rPr>
          <w:rFonts w:ascii="Calibri" w:hAnsi="Calibri" w:cs="Calibri"/>
          <w:sz w:val="24"/>
          <w:szCs w:val="24"/>
          <w:lang w:val="de-DE"/>
        </w:rPr>
      </w:pPr>
      <w:r>
        <w:rPr>
          <w:rFonts w:ascii="Calibri" w:hAnsi="Calibri" w:cs="Calibri"/>
          <w:sz w:val="24"/>
          <w:lang w:val="de-DE"/>
        </w:rPr>
        <w:t>Zwischen 2005 und 2017 sanken die anthropogenen VOC-Emissionen um 33,6 %, was hauptsächlich auf niedrigere Lösungsmittelkonzentrationen in Produkten und strengere Standards in den verschiedenen Industriezweigen, die Lösungsmittel verwenden, zurückzuführen ist.</w:t>
      </w:r>
    </w:p>
    <w:p w:rsidR="000B433A" w:rsidRPr="005F5D9D" w:rsidRDefault="000B433A" w:rsidP="00662BE1">
      <w:pPr>
        <w:pStyle w:val="Sansinterligne"/>
        <w:rPr>
          <w:rFonts w:ascii="Calibri" w:hAnsi="Calibri" w:cs="Calibri"/>
          <w:sz w:val="24"/>
          <w:szCs w:val="24"/>
          <w:lang w:val="de-DE"/>
        </w:rPr>
      </w:pPr>
    </w:p>
    <w:p w:rsidR="000B433A" w:rsidRPr="005F5D9D" w:rsidRDefault="000B433A" w:rsidP="00662BE1">
      <w:pPr>
        <w:pStyle w:val="Sansinterligne"/>
        <w:rPr>
          <w:rFonts w:ascii="Calibri" w:hAnsi="Calibri" w:cs="Calibri"/>
          <w:sz w:val="24"/>
          <w:szCs w:val="24"/>
          <w:lang w:val="de-DE"/>
        </w:rPr>
      </w:pPr>
      <w:r>
        <w:rPr>
          <w:rFonts w:ascii="Calibri" w:hAnsi="Calibri" w:cs="Calibri"/>
          <w:sz w:val="24"/>
          <w:lang w:val="de-DE"/>
        </w:rPr>
        <w:t>Die Inventare und Reduktionsziele der NEC-Richtlinie berücksichtigen ebenfalls nicht Methan (CH</w:t>
      </w:r>
      <w:r w:rsidRPr="007E6E8D">
        <w:rPr>
          <w:rFonts w:ascii="Calibri" w:hAnsi="Calibri" w:cs="Calibri"/>
          <w:sz w:val="24"/>
          <w:szCs w:val="24"/>
          <w:vertAlign w:val="subscript"/>
          <w:lang w:val="de-DE"/>
        </w:rPr>
        <w:t>4</w:t>
      </w:r>
      <w:r>
        <w:rPr>
          <w:rFonts w:ascii="Calibri" w:hAnsi="Calibri" w:cs="Calibri"/>
          <w:sz w:val="24"/>
          <w:lang w:val="de-DE"/>
        </w:rPr>
        <w:t>), ein Treibhausgas, das unter das Kyoto-Protokoll und die Pariser Abkommen fällt. Dennoch ist es ein wichtiger Vorläufer von Ozon. Gemäß der Modellierung tragen bedeutende CH</w:t>
      </w:r>
      <w:r w:rsidRPr="007E6E8D">
        <w:rPr>
          <w:rFonts w:ascii="Calibri" w:hAnsi="Calibri" w:cs="Calibri"/>
          <w:sz w:val="24"/>
          <w:szCs w:val="24"/>
          <w:vertAlign w:val="subscript"/>
          <w:lang w:val="de-DE"/>
        </w:rPr>
        <w:t>4</w:t>
      </w:r>
      <w:r>
        <w:rPr>
          <w:rFonts w:ascii="Calibri" w:hAnsi="Calibri" w:cs="Calibri"/>
          <w:sz w:val="24"/>
          <w:lang w:val="de-DE"/>
        </w:rPr>
        <w:t xml:space="preserve">-Emissionen auf Ebene der Nordhalbkugel (Mitteleuropa, Russland, China, Südostasien) dazu bei, das Hintergrundozonniveau in unseren Regionen konstant zu halten.  Die Verringerung der Ozonvorläufer in den EU-Ländern hat jedoch dazu beigetragen, das Niveau und die Häufigkeit von Ozonspitzenwerten in unseren Regionen zu senken. </w:t>
      </w:r>
    </w:p>
    <w:p w:rsidR="000B433A" w:rsidRPr="00D07F58" w:rsidRDefault="000B433A">
      <w:pPr>
        <w:rPr>
          <w:lang w:val="de-DE"/>
        </w:rPr>
      </w:pPr>
    </w:p>
    <w:p w:rsidR="000B433A" w:rsidRDefault="00372180" w:rsidP="00190015">
      <w:pPr>
        <w:rPr>
          <w:b/>
          <w:szCs w:val="24"/>
          <w:u w:val="single"/>
          <w:lang w:val="de-DE"/>
        </w:rPr>
      </w:pPr>
      <w:r>
        <w:rPr>
          <w:b/>
          <w:noProof/>
          <w:szCs w:val="24"/>
          <w:u w:val="single"/>
          <w:lang w:eastAsia="fr-BE"/>
        </w:rPr>
        <w:drawing>
          <wp:inline distT="0" distB="0" distL="0" distR="0">
            <wp:extent cx="6083935" cy="2753995"/>
            <wp:effectExtent l="19050" t="0" r="0" b="0"/>
            <wp:docPr id="11" name="Graphiqu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7"/>
                    <pic:cNvPicPr>
                      <a:picLocks noChangeArrowheads="1"/>
                    </pic:cNvPicPr>
                  </pic:nvPicPr>
                  <pic:blipFill>
                    <a:blip r:embed="rId21"/>
                    <a:srcRect b="-23"/>
                    <a:stretch>
                      <a:fillRect/>
                    </a:stretch>
                  </pic:blipFill>
                  <pic:spPr bwMode="auto">
                    <a:xfrm>
                      <a:off x="0" y="0"/>
                      <a:ext cx="6083935" cy="2753995"/>
                    </a:xfrm>
                    <a:prstGeom prst="rect">
                      <a:avLst/>
                    </a:prstGeom>
                    <a:noFill/>
                    <a:ln w="9525">
                      <a:noFill/>
                      <a:miter lim="800000"/>
                      <a:headEnd/>
                      <a:tailEnd/>
                    </a:ln>
                  </pic:spPr>
                </pic:pic>
              </a:graphicData>
            </a:graphic>
          </wp:inline>
        </w:drawing>
      </w:r>
    </w:p>
    <w:p w:rsidR="000B433A" w:rsidRPr="005F5D9D" w:rsidRDefault="000B433A" w:rsidP="00190015">
      <w:pPr>
        <w:pStyle w:val="Lgende"/>
        <w:jc w:val="both"/>
        <w:rPr>
          <w:rFonts w:cs="Calibri"/>
          <w:b/>
          <w:szCs w:val="24"/>
          <w:u w:val="single"/>
          <w:lang w:val="de-DE"/>
        </w:rPr>
      </w:pPr>
      <w:r>
        <w:rPr>
          <w:lang w:val="de-DE"/>
        </w:rPr>
        <w:t>Abbildung 7: Entwicklung der NO</w:t>
      </w:r>
      <w:r w:rsidRPr="007E6E8D">
        <w:rPr>
          <w:vertAlign w:val="subscript"/>
          <w:lang w:val="de-DE"/>
        </w:rPr>
        <w:t>x</w:t>
      </w:r>
      <w:r>
        <w:rPr>
          <w:lang w:val="de-DE"/>
        </w:rPr>
        <w:t>-Emissionen nach Emissionsquelle in der Wallonie</w:t>
      </w:r>
    </w:p>
    <w:p w:rsidR="000B433A" w:rsidRPr="00D07F58" w:rsidRDefault="000B433A" w:rsidP="00190015">
      <w:pPr>
        <w:pStyle w:val="Lgende"/>
        <w:keepNext/>
        <w:rPr>
          <w:lang w:val="de-DE"/>
        </w:rPr>
      </w:pPr>
      <w:r>
        <w:rPr>
          <w:lang w:val="de-DE"/>
        </w:rPr>
        <w:t xml:space="preserve">Tabelle </w:t>
      </w:r>
      <w:r w:rsidR="005A6B21">
        <w:rPr>
          <w:lang w:val="de-DE"/>
        </w:rPr>
        <w:fldChar w:fldCharType="begin"/>
      </w:r>
      <w:r>
        <w:rPr>
          <w:lang w:val="de-DE"/>
        </w:rPr>
        <w:instrText xml:space="preserve"> SEQ Tableau \* ARABIC </w:instrText>
      </w:r>
      <w:r w:rsidR="005A6B21">
        <w:rPr>
          <w:lang w:val="de-DE"/>
        </w:rPr>
        <w:fldChar w:fldCharType="separate"/>
      </w:r>
      <w:r>
        <w:rPr>
          <w:lang w:val="de-DE"/>
        </w:rPr>
        <w:t>3</w:t>
      </w:r>
      <w:r w:rsidR="005A6B21">
        <w:rPr>
          <w:lang w:val="de-DE"/>
        </w:rPr>
        <w:fldChar w:fldCharType="end"/>
      </w:r>
      <w:r>
        <w:rPr>
          <w:lang w:val="de-DE"/>
        </w:rPr>
        <w:t>: Entwicklung der NO</w:t>
      </w:r>
      <w:r w:rsidRPr="007E6E8D">
        <w:rPr>
          <w:vertAlign w:val="subscript"/>
          <w:lang w:val="de-DE"/>
        </w:rPr>
        <w:t>x</w:t>
      </w:r>
      <w:r>
        <w:rPr>
          <w:lang w:val="de-DE"/>
        </w:rPr>
        <w:t>-Emissionen nach Emissionsquelle in der Wallonie (kt)</w:t>
      </w:r>
    </w:p>
    <w:tbl>
      <w:tblPr>
        <w:tblW w:w="9505" w:type="dxa"/>
        <w:tblInd w:w="70" w:type="dxa"/>
        <w:tblCellMar>
          <w:left w:w="70" w:type="dxa"/>
          <w:right w:w="70" w:type="dxa"/>
        </w:tblCellMar>
        <w:tblLook w:val="00A0"/>
      </w:tblPr>
      <w:tblGrid>
        <w:gridCol w:w="1777"/>
        <w:gridCol w:w="696"/>
        <w:gridCol w:w="696"/>
        <w:gridCol w:w="696"/>
        <w:gridCol w:w="696"/>
        <w:gridCol w:w="696"/>
        <w:gridCol w:w="696"/>
        <w:gridCol w:w="696"/>
        <w:gridCol w:w="696"/>
        <w:gridCol w:w="696"/>
        <w:gridCol w:w="696"/>
        <w:gridCol w:w="696"/>
        <w:gridCol w:w="696"/>
      </w:tblGrid>
      <w:tr w:rsidR="000B433A" w:rsidRPr="005759E4" w:rsidTr="00BB673C">
        <w:trPr>
          <w:trHeight w:val="317"/>
        </w:trPr>
        <w:tc>
          <w:tcPr>
            <w:tcW w:w="1153" w:type="dxa"/>
            <w:tcBorders>
              <w:top w:val="nil"/>
              <w:left w:val="nil"/>
              <w:bottom w:val="nil"/>
              <w:right w:val="nil"/>
            </w:tcBorders>
            <w:noWrap/>
            <w:vAlign w:val="center"/>
          </w:tcPr>
          <w:p w:rsidR="000B433A" w:rsidRPr="009D3BDA" w:rsidRDefault="000B433A" w:rsidP="00FD0BD2">
            <w:pPr>
              <w:spacing w:after="0" w:line="240" w:lineRule="auto"/>
              <w:jc w:val="center"/>
              <w:rPr>
                <w:lang w:val="de-DE"/>
              </w:rPr>
            </w:pPr>
          </w:p>
        </w:tc>
        <w:tc>
          <w:tcPr>
            <w:tcW w:w="696" w:type="dxa"/>
            <w:tcBorders>
              <w:top w:val="single" w:sz="4" w:space="0" w:color="auto"/>
              <w:left w:val="single" w:sz="4" w:space="0" w:color="auto"/>
              <w:bottom w:val="single" w:sz="4" w:space="0" w:color="auto"/>
              <w:right w:val="single" w:sz="4" w:space="0" w:color="auto"/>
            </w:tcBorders>
            <w:shd w:val="clear" w:color="000000" w:fill="4F81BD"/>
            <w:noWrap/>
            <w:vAlign w:val="center"/>
          </w:tcPr>
          <w:p w:rsidR="000B433A" w:rsidRPr="009D3BDA" w:rsidRDefault="000B433A" w:rsidP="00FD0BD2">
            <w:pPr>
              <w:spacing w:after="0" w:line="240" w:lineRule="auto"/>
              <w:jc w:val="center"/>
              <w:rPr>
                <w:color w:val="FFFFFF"/>
                <w:lang w:val="de-DE"/>
              </w:rPr>
            </w:pPr>
            <w:r>
              <w:rPr>
                <w:color w:val="FFFFFF"/>
                <w:lang w:val="de-DE"/>
              </w:rPr>
              <w:t>1990</w:t>
            </w:r>
          </w:p>
        </w:tc>
        <w:tc>
          <w:tcPr>
            <w:tcW w:w="696" w:type="dxa"/>
            <w:tcBorders>
              <w:top w:val="single" w:sz="4" w:space="0" w:color="auto"/>
              <w:left w:val="nil"/>
              <w:bottom w:val="single" w:sz="4" w:space="0" w:color="auto"/>
              <w:right w:val="single" w:sz="4" w:space="0" w:color="auto"/>
            </w:tcBorders>
            <w:shd w:val="clear" w:color="000000" w:fill="4F81BD"/>
            <w:noWrap/>
            <w:vAlign w:val="center"/>
          </w:tcPr>
          <w:p w:rsidR="000B433A" w:rsidRPr="009D3BDA" w:rsidRDefault="000B433A" w:rsidP="00FD0BD2">
            <w:pPr>
              <w:spacing w:after="0" w:line="240" w:lineRule="auto"/>
              <w:jc w:val="center"/>
              <w:rPr>
                <w:color w:val="FFFFFF"/>
                <w:lang w:val="de-DE"/>
              </w:rPr>
            </w:pPr>
            <w:r>
              <w:rPr>
                <w:color w:val="FFFFFF"/>
                <w:lang w:val="de-DE"/>
              </w:rPr>
              <w:t>1995</w:t>
            </w:r>
          </w:p>
        </w:tc>
        <w:tc>
          <w:tcPr>
            <w:tcW w:w="696" w:type="dxa"/>
            <w:tcBorders>
              <w:top w:val="single" w:sz="4" w:space="0" w:color="auto"/>
              <w:left w:val="nil"/>
              <w:bottom w:val="single" w:sz="4" w:space="0" w:color="auto"/>
              <w:right w:val="single" w:sz="4" w:space="0" w:color="auto"/>
            </w:tcBorders>
            <w:shd w:val="clear" w:color="000000" w:fill="4F81BD"/>
            <w:noWrap/>
            <w:vAlign w:val="center"/>
          </w:tcPr>
          <w:p w:rsidR="000B433A" w:rsidRPr="009D3BDA" w:rsidRDefault="000B433A" w:rsidP="00FD0BD2">
            <w:pPr>
              <w:spacing w:after="0" w:line="240" w:lineRule="auto"/>
              <w:jc w:val="center"/>
              <w:rPr>
                <w:color w:val="FFFFFF"/>
                <w:lang w:val="de-DE"/>
              </w:rPr>
            </w:pPr>
            <w:r>
              <w:rPr>
                <w:color w:val="FFFFFF"/>
                <w:lang w:val="de-DE"/>
              </w:rPr>
              <w:t>2000</w:t>
            </w:r>
          </w:p>
        </w:tc>
        <w:tc>
          <w:tcPr>
            <w:tcW w:w="696" w:type="dxa"/>
            <w:tcBorders>
              <w:top w:val="single" w:sz="4" w:space="0" w:color="auto"/>
              <w:left w:val="nil"/>
              <w:bottom w:val="single" w:sz="4" w:space="0" w:color="auto"/>
              <w:right w:val="single" w:sz="4" w:space="0" w:color="auto"/>
            </w:tcBorders>
            <w:shd w:val="clear" w:color="000000" w:fill="4F81BD"/>
            <w:noWrap/>
            <w:vAlign w:val="center"/>
          </w:tcPr>
          <w:p w:rsidR="000B433A" w:rsidRPr="009D3BDA" w:rsidRDefault="000B433A" w:rsidP="00FD0BD2">
            <w:pPr>
              <w:spacing w:after="0" w:line="240" w:lineRule="auto"/>
              <w:jc w:val="center"/>
              <w:rPr>
                <w:color w:val="FFFFFF"/>
                <w:lang w:val="de-DE"/>
              </w:rPr>
            </w:pPr>
            <w:r>
              <w:rPr>
                <w:color w:val="FFFFFF"/>
                <w:lang w:val="de-DE"/>
              </w:rPr>
              <w:t>2005</w:t>
            </w:r>
          </w:p>
        </w:tc>
        <w:tc>
          <w:tcPr>
            <w:tcW w:w="696" w:type="dxa"/>
            <w:tcBorders>
              <w:top w:val="single" w:sz="4" w:space="0" w:color="auto"/>
              <w:left w:val="nil"/>
              <w:bottom w:val="single" w:sz="4" w:space="0" w:color="auto"/>
              <w:right w:val="single" w:sz="4" w:space="0" w:color="auto"/>
            </w:tcBorders>
            <w:shd w:val="clear" w:color="000000" w:fill="4F81BD"/>
            <w:noWrap/>
            <w:vAlign w:val="center"/>
          </w:tcPr>
          <w:p w:rsidR="000B433A" w:rsidRPr="009D3BDA" w:rsidRDefault="000B433A" w:rsidP="00FD0BD2">
            <w:pPr>
              <w:spacing w:after="0" w:line="240" w:lineRule="auto"/>
              <w:jc w:val="center"/>
              <w:rPr>
                <w:color w:val="FFFFFF"/>
                <w:lang w:val="de-DE"/>
              </w:rPr>
            </w:pPr>
            <w:r>
              <w:rPr>
                <w:color w:val="FFFFFF"/>
                <w:lang w:val="de-DE"/>
              </w:rPr>
              <w:t>2010</w:t>
            </w:r>
          </w:p>
        </w:tc>
        <w:tc>
          <w:tcPr>
            <w:tcW w:w="696" w:type="dxa"/>
            <w:tcBorders>
              <w:top w:val="single" w:sz="4" w:space="0" w:color="auto"/>
              <w:left w:val="nil"/>
              <w:bottom w:val="single" w:sz="4" w:space="0" w:color="auto"/>
              <w:right w:val="single" w:sz="4" w:space="0" w:color="auto"/>
            </w:tcBorders>
            <w:shd w:val="clear" w:color="000000" w:fill="4F81BD"/>
            <w:noWrap/>
            <w:vAlign w:val="center"/>
          </w:tcPr>
          <w:p w:rsidR="000B433A" w:rsidRPr="009D3BDA" w:rsidRDefault="000B433A" w:rsidP="00FD0BD2">
            <w:pPr>
              <w:spacing w:after="0" w:line="240" w:lineRule="auto"/>
              <w:jc w:val="center"/>
              <w:rPr>
                <w:color w:val="FFFFFF"/>
                <w:lang w:val="de-DE"/>
              </w:rPr>
            </w:pPr>
            <w:r>
              <w:rPr>
                <w:color w:val="FFFFFF"/>
                <w:lang w:val="de-DE"/>
              </w:rPr>
              <w:t>2011</w:t>
            </w:r>
          </w:p>
        </w:tc>
        <w:tc>
          <w:tcPr>
            <w:tcW w:w="696" w:type="dxa"/>
            <w:tcBorders>
              <w:top w:val="single" w:sz="4" w:space="0" w:color="auto"/>
              <w:left w:val="nil"/>
              <w:bottom w:val="single" w:sz="4" w:space="0" w:color="auto"/>
              <w:right w:val="single" w:sz="4" w:space="0" w:color="auto"/>
            </w:tcBorders>
            <w:shd w:val="clear" w:color="000000" w:fill="4F81BD"/>
            <w:noWrap/>
            <w:vAlign w:val="center"/>
          </w:tcPr>
          <w:p w:rsidR="000B433A" w:rsidRPr="009D3BDA" w:rsidRDefault="000B433A" w:rsidP="00FD0BD2">
            <w:pPr>
              <w:spacing w:after="0" w:line="240" w:lineRule="auto"/>
              <w:jc w:val="center"/>
              <w:rPr>
                <w:color w:val="FFFFFF"/>
                <w:lang w:val="de-DE"/>
              </w:rPr>
            </w:pPr>
            <w:r>
              <w:rPr>
                <w:color w:val="FFFFFF"/>
                <w:lang w:val="de-DE"/>
              </w:rPr>
              <w:t>2012</w:t>
            </w:r>
          </w:p>
        </w:tc>
        <w:tc>
          <w:tcPr>
            <w:tcW w:w="696" w:type="dxa"/>
            <w:tcBorders>
              <w:top w:val="single" w:sz="4" w:space="0" w:color="auto"/>
              <w:left w:val="nil"/>
              <w:bottom w:val="single" w:sz="4" w:space="0" w:color="auto"/>
              <w:right w:val="single" w:sz="4" w:space="0" w:color="auto"/>
            </w:tcBorders>
            <w:shd w:val="clear" w:color="000000" w:fill="4F81BD"/>
            <w:noWrap/>
            <w:vAlign w:val="center"/>
          </w:tcPr>
          <w:p w:rsidR="000B433A" w:rsidRPr="009D3BDA" w:rsidRDefault="000B433A" w:rsidP="00FD0BD2">
            <w:pPr>
              <w:spacing w:after="0" w:line="240" w:lineRule="auto"/>
              <w:jc w:val="center"/>
              <w:rPr>
                <w:color w:val="FFFFFF"/>
                <w:lang w:val="de-DE"/>
              </w:rPr>
            </w:pPr>
            <w:r>
              <w:rPr>
                <w:color w:val="FFFFFF"/>
                <w:lang w:val="de-DE"/>
              </w:rPr>
              <w:t>2013</w:t>
            </w:r>
          </w:p>
        </w:tc>
        <w:tc>
          <w:tcPr>
            <w:tcW w:w="696" w:type="dxa"/>
            <w:tcBorders>
              <w:top w:val="single" w:sz="4" w:space="0" w:color="auto"/>
              <w:left w:val="nil"/>
              <w:bottom w:val="single" w:sz="4" w:space="0" w:color="auto"/>
              <w:right w:val="single" w:sz="4" w:space="0" w:color="auto"/>
            </w:tcBorders>
            <w:shd w:val="clear" w:color="000000" w:fill="4F81BD"/>
            <w:noWrap/>
            <w:vAlign w:val="center"/>
          </w:tcPr>
          <w:p w:rsidR="000B433A" w:rsidRPr="009D3BDA" w:rsidRDefault="000B433A" w:rsidP="00FD0BD2">
            <w:pPr>
              <w:spacing w:after="0" w:line="240" w:lineRule="auto"/>
              <w:jc w:val="center"/>
              <w:rPr>
                <w:color w:val="FFFFFF"/>
                <w:lang w:val="de-DE"/>
              </w:rPr>
            </w:pPr>
            <w:r>
              <w:rPr>
                <w:color w:val="FFFFFF"/>
                <w:lang w:val="de-DE"/>
              </w:rPr>
              <w:t>2014</w:t>
            </w:r>
          </w:p>
        </w:tc>
        <w:tc>
          <w:tcPr>
            <w:tcW w:w="696" w:type="dxa"/>
            <w:tcBorders>
              <w:top w:val="single" w:sz="4" w:space="0" w:color="auto"/>
              <w:left w:val="nil"/>
              <w:bottom w:val="single" w:sz="4" w:space="0" w:color="auto"/>
              <w:right w:val="single" w:sz="4" w:space="0" w:color="auto"/>
            </w:tcBorders>
            <w:shd w:val="clear" w:color="000000" w:fill="4F81BD"/>
            <w:noWrap/>
            <w:vAlign w:val="center"/>
          </w:tcPr>
          <w:p w:rsidR="000B433A" w:rsidRPr="009D3BDA" w:rsidRDefault="000B433A" w:rsidP="00FD0BD2">
            <w:pPr>
              <w:spacing w:after="0" w:line="240" w:lineRule="auto"/>
              <w:jc w:val="center"/>
              <w:rPr>
                <w:color w:val="FFFFFF"/>
                <w:lang w:val="de-DE"/>
              </w:rPr>
            </w:pPr>
            <w:r>
              <w:rPr>
                <w:color w:val="FFFFFF"/>
                <w:lang w:val="de-DE"/>
              </w:rPr>
              <w:t>2015</w:t>
            </w:r>
          </w:p>
        </w:tc>
        <w:tc>
          <w:tcPr>
            <w:tcW w:w="696" w:type="dxa"/>
            <w:tcBorders>
              <w:top w:val="single" w:sz="4" w:space="0" w:color="auto"/>
              <w:left w:val="nil"/>
              <w:bottom w:val="single" w:sz="4" w:space="0" w:color="auto"/>
              <w:right w:val="single" w:sz="4" w:space="0" w:color="auto"/>
            </w:tcBorders>
            <w:shd w:val="clear" w:color="000000" w:fill="4F81BD"/>
            <w:noWrap/>
            <w:vAlign w:val="center"/>
          </w:tcPr>
          <w:p w:rsidR="000B433A" w:rsidRPr="009D3BDA" w:rsidRDefault="000B433A" w:rsidP="00FD0BD2">
            <w:pPr>
              <w:spacing w:after="0" w:line="240" w:lineRule="auto"/>
              <w:jc w:val="center"/>
              <w:rPr>
                <w:color w:val="FFFFFF"/>
                <w:lang w:val="de-DE"/>
              </w:rPr>
            </w:pPr>
            <w:r>
              <w:rPr>
                <w:color w:val="FFFFFF"/>
                <w:lang w:val="de-DE"/>
              </w:rPr>
              <w:t>2016</w:t>
            </w:r>
          </w:p>
        </w:tc>
        <w:tc>
          <w:tcPr>
            <w:tcW w:w="696" w:type="dxa"/>
            <w:tcBorders>
              <w:top w:val="single" w:sz="4" w:space="0" w:color="auto"/>
              <w:left w:val="nil"/>
              <w:bottom w:val="single" w:sz="4" w:space="0" w:color="auto"/>
              <w:right w:val="single" w:sz="4" w:space="0" w:color="auto"/>
            </w:tcBorders>
            <w:shd w:val="clear" w:color="000000" w:fill="4F81BD"/>
            <w:noWrap/>
            <w:vAlign w:val="center"/>
          </w:tcPr>
          <w:p w:rsidR="000B433A" w:rsidRPr="009D3BDA" w:rsidRDefault="000B433A" w:rsidP="00FD0BD2">
            <w:pPr>
              <w:spacing w:after="0" w:line="240" w:lineRule="auto"/>
              <w:jc w:val="center"/>
              <w:rPr>
                <w:color w:val="FFFFFF"/>
                <w:lang w:val="de-DE"/>
              </w:rPr>
            </w:pPr>
            <w:r>
              <w:rPr>
                <w:color w:val="FFFFFF"/>
                <w:lang w:val="de-DE"/>
              </w:rPr>
              <w:t>2017</w:t>
            </w:r>
          </w:p>
        </w:tc>
      </w:tr>
      <w:tr w:rsidR="000B433A" w:rsidRPr="005759E4" w:rsidTr="00BB673C">
        <w:trPr>
          <w:trHeight w:val="334"/>
        </w:trPr>
        <w:tc>
          <w:tcPr>
            <w:tcW w:w="1153" w:type="dxa"/>
            <w:tcBorders>
              <w:top w:val="single" w:sz="4" w:space="0" w:color="auto"/>
              <w:left w:val="single" w:sz="4" w:space="0" w:color="auto"/>
              <w:bottom w:val="single" w:sz="4" w:space="0" w:color="auto"/>
              <w:right w:val="single" w:sz="4" w:space="0" w:color="auto"/>
            </w:tcBorders>
            <w:shd w:val="clear" w:color="000000" w:fill="4F81BD"/>
            <w:noWrap/>
            <w:vAlign w:val="center"/>
          </w:tcPr>
          <w:p w:rsidR="000B433A" w:rsidRPr="009D3BDA" w:rsidRDefault="000B433A" w:rsidP="00FD0BD2">
            <w:pPr>
              <w:spacing w:after="0" w:line="240" w:lineRule="auto"/>
              <w:jc w:val="left"/>
              <w:rPr>
                <w:color w:val="FFFFFF"/>
                <w:lang w:val="de-DE"/>
              </w:rPr>
            </w:pPr>
            <w:r>
              <w:rPr>
                <w:color w:val="FFFFFF"/>
                <w:lang w:val="de-DE"/>
              </w:rPr>
              <w:t>Energie</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16.1</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16.2</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11.3</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10.6</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4.1</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3.2</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3.0</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2.9</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2.6</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2.8</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2.6</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2,5</w:t>
            </w:r>
          </w:p>
        </w:tc>
      </w:tr>
      <w:tr w:rsidR="000B433A" w:rsidRPr="005759E4" w:rsidTr="00BB673C">
        <w:trPr>
          <w:trHeight w:val="334"/>
        </w:trPr>
        <w:tc>
          <w:tcPr>
            <w:tcW w:w="1153" w:type="dxa"/>
            <w:tcBorders>
              <w:top w:val="nil"/>
              <w:left w:val="single" w:sz="4" w:space="0" w:color="auto"/>
              <w:bottom w:val="single" w:sz="4" w:space="0" w:color="auto"/>
              <w:right w:val="single" w:sz="4" w:space="0" w:color="auto"/>
            </w:tcBorders>
            <w:shd w:val="clear" w:color="000000" w:fill="4F81BD"/>
            <w:noWrap/>
            <w:vAlign w:val="center"/>
          </w:tcPr>
          <w:p w:rsidR="000B433A" w:rsidRPr="009D3BDA" w:rsidRDefault="000B433A" w:rsidP="00FD0BD2">
            <w:pPr>
              <w:spacing w:after="0" w:line="240" w:lineRule="auto"/>
              <w:jc w:val="left"/>
              <w:rPr>
                <w:color w:val="FFFFFF"/>
                <w:lang w:val="de-DE"/>
              </w:rPr>
            </w:pPr>
            <w:r>
              <w:rPr>
                <w:color w:val="FFFFFF"/>
                <w:lang w:val="de-DE"/>
              </w:rPr>
              <w:t>Industrie</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49.5</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49.6</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50.1</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43.4</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26.9</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27.8</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25.1</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22.4</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21.7</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21.0</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18.8</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18.1</w:t>
            </w:r>
          </w:p>
        </w:tc>
      </w:tr>
      <w:tr w:rsidR="000B433A" w:rsidRPr="005759E4" w:rsidTr="00BB673C">
        <w:trPr>
          <w:trHeight w:val="334"/>
        </w:trPr>
        <w:tc>
          <w:tcPr>
            <w:tcW w:w="1153" w:type="dxa"/>
            <w:tcBorders>
              <w:top w:val="nil"/>
              <w:left w:val="single" w:sz="4" w:space="0" w:color="auto"/>
              <w:bottom w:val="single" w:sz="4" w:space="0" w:color="auto"/>
              <w:right w:val="single" w:sz="4" w:space="0" w:color="auto"/>
            </w:tcBorders>
            <w:shd w:val="clear" w:color="000000" w:fill="4F81BD"/>
            <w:noWrap/>
            <w:vAlign w:val="center"/>
          </w:tcPr>
          <w:p w:rsidR="000B433A" w:rsidRPr="009D3BDA" w:rsidRDefault="000B433A" w:rsidP="00FD0BD2">
            <w:pPr>
              <w:spacing w:after="0" w:line="240" w:lineRule="auto"/>
              <w:jc w:val="left"/>
              <w:rPr>
                <w:color w:val="FFFFFF"/>
                <w:lang w:val="de-DE"/>
              </w:rPr>
            </w:pPr>
            <w:r>
              <w:rPr>
                <w:color w:val="FFFFFF"/>
                <w:lang w:val="de-DE"/>
              </w:rPr>
              <w:t>Wohnen</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5.5</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5.8</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4.6</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4.7</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4.2</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3.4</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3.5</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3.9</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3.2</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3.6</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3.5</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3.4</w:t>
            </w:r>
          </w:p>
        </w:tc>
      </w:tr>
      <w:tr w:rsidR="000B433A" w:rsidRPr="005759E4" w:rsidTr="00BB673C">
        <w:trPr>
          <w:trHeight w:val="334"/>
        </w:trPr>
        <w:tc>
          <w:tcPr>
            <w:tcW w:w="1153" w:type="dxa"/>
            <w:tcBorders>
              <w:top w:val="nil"/>
              <w:left w:val="single" w:sz="4" w:space="0" w:color="auto"/>
              <w:bottom w:val="single" w:sz="4" w:space="0" w:color="auto"/>
              <w:right w:val="single" w:sz="4" w:space="0" w:color="auto"/>
            </w:tcBorders>
            <w:shd w:val="clear" w:color="000000" w:fill="4F81BD"/>
            <w:noWrap/>
            <w:vAlign w:val="center"/>
          </w:tcPr>
          <w:p w:rsidR="000B433A" w:rsidRPr="009D3BDA" w:rsidRDefault="000B433A" w:rsidP="00FD0BD2">
            <w:pPr>
              <w:spacing w:after="0" w:line="240" w:lineRule="auto"/>
              <w:jc w:val="left"/>
              <w:rPr>
                <w:color w:val="FFFFFF"/>
                <w:lang w:val="de-DE"/>
              </w:rPr>
            </w:pPr>
            <w:r>
              <w:rPr>
                <w:color w:val="FFFFFF"/>
                <w:lang w:val="de-DE"/>
              </w:rPr>
              <w:t>Dienstleistungen</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1.1</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1.2</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1.0</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1.0</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1.2</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1.0</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1.0</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1.1</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0.9</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1.0</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1.0</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1.0</w:t>
            </w:r>
          </w:p>
        </w:tc>
      </w:tr>
      <w:tr w:rsidR="000B433A" w:rsidRPr="005759E4" w:rsidTr="00BB673C">
        <w:trPr>
          <w:trHeight w:val="334"/>
        </w:trPr>
        <w:tc>
          <w:tcPr>
            <w:tcW w:w="1153" w:type="dxa"/>
            <w:tcBorders>
              <w:top w:val="nil"/>
              <w:left w:val="single" w:sz="4" w:space="0" w:color="auto"/>
              <w:bottom w:val="single" w:sz="4" w:space="0" w:color="auto"/>
              <w:right w:val="single" w:sz="4" w:space="0" w:color="auto"/>
            </w:tcBorders>
            <w:shd w:val="clear" w:color="000000" w:fill="4F81BD"/>
            <w:noWrap/>
            <w:vAlign w:val="center"/>
          </w:tcPr>
          <w:p w:rsidR="000B433A" w:rsidRPr="009D3BDA" w:rsidRDefault="000B433A" w:rsidP="00FD0BD2">
            <w:pPr>
              <w:spacing w:after="0" w:line="240" w:lineRule="auto"/>
              <w:jc w:val="left"/>
              <w:rPr>
                <w:color w:val="FFFFFF"/>
                <w:lang w:val="de-DE"/>
              </w:rPr>
            </w:pPr>
            <w:r>
              <w:rPr>
                <w:color w:val="FFFFFF"/>
                <w:lang w:val="de-DE"/>
              </w:rPr>
              <w:t>Transport</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75.5</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66.5</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59.9</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58.6</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48.6</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45.4</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41.5</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38.7</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37.2</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36.7</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34.6</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32.2</w:t>
            </w:r>
          </w:p>
        </w:tc>
      </w:tr>
      <w:tr w:rsidR="000B433A" w:rsidRPr="005759E4" w:rsidTr="00BB673C">
        <w:trPr>
          <w:trHeight w:val="334"/>
        </w:trPr>
        <w:tc>
          <w:tcPr>
            <w:tcW w:w="1153" w:type="dxa"/>
            <w:tcBorders>
              <w:top w:val="nil"/>
              <w:left w:val="single" w:sz="4" w:space="0" w:color="auto"/>
              <w:bottom w:val="single" w:sz="4" w:space="0" w:color="auto"/>
              <w:right w:val="single" w:sz="4" w:space="0" w:color="auto"/>
            </w:tcBorders>
            <w:shd w:val="clear" w:color="000000" w:fill="4F81BD"/>
            <w:noWrap/>
            <w:vAlign w:val="center"/>
          </w:tcPr>
          <w:p w:rsidR="000B433A" w:rsidRPr="009D3BDA" w:rsidRDefault="000B433A" w:rsidP="00FD0BD2">
            <w:pPr>
              <w:spacing w:after="0" w:line="240" w:lineRule="auto"/>
              <w:jc w:val="left"/>
              <w:rPr>
                <w:color w:val="FFFFFF"/>
                <w:lang w:val="de-DE"/>
              </w:rPr>
            </w:pPr>
            <w:r>
              <w:rPr>
                <w:color w:val="FFFFFF"/>
                <w:lang w:val="de-DE"/>
              </w:rPr>
              <w:t>Landwirtschaft</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11.4</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11.1</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10.7</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10.2</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9.9</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9.8</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9.4</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9.5</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9.5</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9.8</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9.6</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9.3</w:t>
            </w:r>
          </w:p>
        </w:tc>
      </w:tr>
      <w:tr w:rsidR="000B433A" w:rsidRPr="005759E4" w:rsidTr="00BB673C">
        <w:trPr>
          <w:trHeight w:val="334"/>
        </w:trPr>
        <w:tc>
          <w:tcPr>
            <w:tcW w:w="1153" w:type="dxa"/>
            <w:tcBorders>
              <w:top w:val="nil"/>
              <w:left w:val="single" w:sz="4" w:space="0" w:color="auto"/>
              <w:bottom w:val="double" w:sz="6" w:space="0" w:color="auto"/>
              <w:right w:val="single" w:sz="4" w:space="0" w:color="auto"/>
            </w:tcBorders>
            <w:shd w:val="clear" w:color="000000" w:fill="4F81BD"/>
            <w:noWrap/>
            <w:vAlign w:val="center"/>
          </w:tcPr>
          <w:p w:rsidR="000B433A" w:rsidRPr="009D3BDA" w:rsidRDefault="000B433A" w:rsidP="00FD0BD2">
            <w:pPr>
              <w:spacing w:after="0" w:line="240" w:lineRule="auto"/>
              <w:jc w:val="left"/>
              <w:rPr>
                <w:color w:val="FFFFFF"/>
                <w:lang w:val="de-DE"/>
              </w:rPr>
            </w:pPr>
            <w:r>
              <w:rPr>
                <w:color w:val="FFFFFF"/>
                <w:lang w:val="de-DE"/>
              </w:rPr>
              <w:t>Abfälle</w:t>
            </w:r>
          </w:p>
        </w:tc>
        <w:tc>
          <w:tcPr>
            <w:tcW w:w="696" w:type="dxa"/>
            <w:tcBorders>
              <w:top w:val="nil"/>
              <w:left w:val="nil"/>
              <w:bottom w:val="double" w:sz="6"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0.6</w:t>
            </w:r>
          </w:p>
        </w:tc>
        <w:tc>
          <w:tcPr>
            <w:tcW w:w="696" w:type="dxa"/>
            <w:tcBorders>
              <w:top w:val="nil"/>
              <w:left w:val="nil"/>
              <w:bottom w:val="double" w:sz="6"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0.7</w:t>
            </w:r>
          </w:p>
        </w:tc>
        <w:tc>
          <w:tcPr>
            <w:tcW w:w="696" w:type="dxa"/>
            <w:tcBorders>
              <w:top w:val="nil"/>
              <w:left w:val="nil"/>
              <w:bottom w:val="double" w:sz="6"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0.6</w:t>
            </w:r>
          </w:p>
        </w:tc>
        <w:tc>
          <w:tcPr>
            <w:tcW w:w="696" w:type="dxa"/>
            <w:tcBorders>
              <w:top w:val="nil"/>
              <w:left w:val="nil"/>
              <w:bottom w:val="double" w:sz="6"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0.9</w:t>
            </w:r>
          </w:p>
        </w:tc>
        <w:tc>
          <w:tcPr>
            <w:tcW w:w="696" w:type="dxa"/>
            <w:tcBorders>
              <w:top w:val="nil"/>
              <w:left w:val="nil"/>
              <w:bottom w:val="double" w:sz="6"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0.6</w:t>
            </w:r>
          </w:p>
        </w:tc>
        <w:tc>
          <w:tcPr>
            <w:tcW w:w="696" w:type="dxa"/>
            <w:tcBorders>
              <w:top w:val="nil"/>
              <w:left w:val="nil"/>
              <w:bottom w:val="double" w:sz="6"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0.8</w:t>
            </w:r>
          </w:p>
        </w:tc>
        <w:tc>
          <w:tcPr>
            <w:tcW w:w="696" w:type="dxa"/>
            <w:tcBorders>
              <w:top w:val="nil"/>
              <w:left w:val="nil"/>
              <w:bottom w:val="double" w:sz="6"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0.8</w:t>
            </w:r>
          </w:p>
        </w:tc>
        <w:tc>
          <w:tcPr>
            <w:tcW w:w="696" w:type="dxa"/>
            <w:tcBorders>
              <w:top w:val="nil"/>
              <w:left w:val="nil"/>
              <w:bottom w:val="double" w:sz="6"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0.5</w:t>
            </w:r>
          </w:p>
        </w:tc>
        <w:tc>
          <w:tcPr>
            <w:tcW w:w="696" w:type="dxa"/>
            <w:tcBorders>
              <w:top w:val="nil"/>
              <w:left w:val="nil"/>
              <w:bottom w:val="double" w:sz="6"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0.6</w:t>
            </w:r>
          </w:p>
        </w:tc>
        <w:tc>
          <w:tcPr>
            <w:tcW w:w="696" w:type="dxa"/>
            <w:tcBorders>
              <w:top w:val="nil"/>
              <w:left w:val="nil"/>
              <w:bottom w:val="double" w:sz="6"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0.6</w:t>
            </w:r>
          </w:p>
        </w:tc>
        <w:tc>
          <w:tcPr>
            <w:tcW w:w="696" w:type="dxa"/>
            <w:tcBorders>
              <w:top w:val="nil"/>
              <w:left w:val="nil"/>
              <w:bottom w:val="double" w:sz="6"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0.6</w:t>
            </w:r>
          </w:p>
        </w:tc>
        <w:tc>
          <w:tcPr>
            <w:tcW w:w="696" w:type="dxa"/>
            <w:tcBorders>
              <w:top w:val="nil"/>
              <w:left w:val="nil"/>
              <w:bottom w:val="double" w:sz="6" w:space="0" w:color="auto"/>
              <w:right w:val="single" w:sz="4" w:space="0" w:color="auto"/>
            </w:tcBorders>
            <w:noWrap/>
            <w:vAlign w:val="center"/>
          </w:tcPr>
          <w:p w:rsidR="000B433A" w:rsidRPr="009D3BDA" w:rsidRDefault="000B433A" w:rsidP="00FD0BD2">
            <w:pPr>
              <w:spacing w:after="0" w:line="240" w:lineRule="auto"/>
              <w:jc w:val="center"/>
              <w:rPr>
                <w:color w:val="000000"/>
                <w:lang w:val="de-DE"/>
              </w:rPr>
            </w:pPr>
            <w:r>
              <w:rPr>
                <w:color w:val="000000"/>
                <w:lang w:val="de-DE"/>
              </w:rPr>
              <w:t>0.6</w:t>
            </w:r>
          </w:p>
        </w:tc>
      </w:tr>
      <w:tr w:rsidR="000B433A" w:rsidRPr="005759E4" w:rsidTr="00BB673C">
        <w:trPr>
          <w:trHeight w:val="334"/>
        </w:trPr>
        <w:tc>
          <w:tcPr>
            <w:tcW w:w="1153" w:type="dxa"/>
            <w:tcBorders>
              <w:top w:val="nil"/>
              <w:left w:val="single" w:sz="4" w:space="0" w:color="auto"/>
              <w:bottom w:val="single" w:sz="4" w:space="0" w:color="auto"/>
              <w:right w:val="single" w:sz="4" w:space="0" w:color="auto"/>
            </w:tcBorders>
            <w:shd w:val="clear" w:color="000000" w:fill="4F81BD"/>
            <w:noWrap/>
            <w:vAlign w:val="center"/>
          </w:tcPr>
          <w:p w:rsidR="000B433A" w:rsidRPr="009D3BDA" w:rsidRDefault="000B433A" w:rsidP="00FD0BD2">
            <w:pPr>
              <w:spacing w:after="0" w:line="240" w:lineRule="auto"/>
              <w:jc w:val="left"/>
              <w:rPr>
                <w:b/>
                <w:bCs/>
                <w:color w:val="FFFFFF"/>
                <w:lang w:val="de-DE"/>
              </w:rPr>
            </w:pPr>
            <w:r>
              <w:rPr>
                <w:b/>
                <w:color w:val="FFFFFF"/>
                <w:lang w:val="de-DE"/>
              </w:rPr>
              <w:t>Gesamt</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b/>
                <w:bCs/>
                <w:color w:val="000000"/>
                <w:lang w:val="de-DE"/>
              </w:rPr>
            </w:pPr>
            <w:r>
              <w:rPr>
                <w:b/>
                <w:color w:val="000000"/>
                <w:lang w:val="de-DE"/>
              </w:rPr>
              <w:t>159.6</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b/>
                <w:bCs/>
                <w:color w:val="000000"/>
                <w:lang w:val="de-DE"/>
              </w:rPr>
            </w:pPr>
            <w:r>
              <w:rPr>
                <w:b/>
                <w:color w:val="000000"/>
                <w:lang w:val="de-DE"/>
              </w:rPr>
              <w:t>151.0</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b/>
                <w:bCs/>
                <w:color w:val="000000"/>
                <w:lang w:val="de-DE"/>
              </w:rPr>
            </w:pPr>
            <w:r>
              <w:rPr>
                <w:b/>
                <w:color w:val="000000"/>
                <w:lang w:val="de-DE"/>
              </w:rPr>
              <w:t>138.2</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b/>
                <w:bCs/>
                <w:color w:val="000000"/>
                <w:lang w:val="de-DE"/>
              </w:rPr>
            </w:pPr>
            <w:r>
              <w:rPr>
                <w:b/>
                <w:color w:val="000000"/>
                <w:lang w:val="de-DE"/>
              </w:rPr>
              <w:t>129.3</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b/>
                <w:bCs/>
                <w:color w:val="000000"/>
                <w:lang w:val="de-DE"/>
              </w:rPr>
            </w:pPr>
            <w:r>
              <w:rPr>
                <w:b/>
                <w:color w:val="000000"/>
                <w:lang w:val="de-DE"/>
              </w:rPr>
              <w:t>95.5</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b/>
                <w:bCs/>
                <w:color w:val="000000"/>
                <w:lang w:val="de-DE"/>
              </w:rPr>
            </w:pPr>
            <w:r>
              <w:rPr>
                <w:b/>
                <w:color w:val="000000"/>
                <w:lang w:val="de-DE"/>
              </w:rPr>
              <w:t>91.4</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b/>
                <w:bCs/>
                <w:color w:val="000000"/>
                <w:lang w:val="de-DE"/>
              </w:rPr>
            </w:pPr>
            <w:r>
              <w:rPr>
                <w:b/>
                <w:color w:val="000000"/>
                <w:lang w:val="de-DE"/>
              </w:rPr>
              <w:t>84.4</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b/>
                <w:bCs/>
                <w:color w:val="000000"/>
                <w:lang w:val="de-DE"/>
              </w:rPr>
            </w:pPr>
            <w:r>
              <w:rPr>
                <w:b/>
                <w:color w:val="000000"/>
                <w:lang w:val="de-DE"/>
              </w:rPr>
              <w:t>78.9</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b/>
                <w:bCs/>
                <w:color w:val="000000"/>
                <w:lang w:val="de-DE"/>
              </w:rPr>
            </w:pPr>
            <w:r>
              <w:rPr>
                <w:b/>
                <w:color w:val="000000"/>
                <w:lang w:val="de-DE"/>
              </w:rPr>
              <w:t>75.7</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b/>
                <w:bCs/>
                <w:color w:val="000000"/>
                <w:lang w:val="de-DE"/>
              </w:rPr>
            </w:pPr>
            <w:r>
              <w:rPr>
                <w:b/>
                <w:color w:val="000000"/>
                <w:lang w:val="de-DE"/>
              </w:rPr>
              <w:t>75.5</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b/>
                <w:bCs/>
                <w:color w:val="000000"/>
                <w:lang w:val="de-DE"/>
              </w:rPr>
            </w:pPr>
            <w:r>
              <w:rPr>
                <w:b/>
                <w:color w:val="000000"/>
                <w:lang w:val="de-DE"/>
              </w:rPr>
              <w:t>70.7</w:t>
            </w:r>
          </w:p>
        </w:tc>
        <w:tc>
          <w:tcPr>
            <w:tcW w:w="696" w:type="dxa"/>
            <w:tcBorders>
              <w:top w:val="nil"/>
              <w:left w:val="nil"/>
              <w:bottom w:val="single" w:sz="4" w:space="0" w:color="auto"/>
              <w:right w:val="single" w:sz="4" w:space="0" w:color="auto"/>
            </w:tcBorders>
            <w:noWrap/>
            <w:vAlign w:val="center"/>
          </w:tcPr>
          <w:p w:rsidR="000B433A" w:rsidRPr="009D3BDA" w:rsidRDefault="000B433A" w:rsidP="00FD0BD2">
            <w:pPr>
              <w:spacing w:after="0" w:line="240" w:lineRule="auto"/>
              <w:jc w:val="center"/>
              <w:rPr>
                <w:b/>
                <w:bCs/>
                <w:color w:val="000000"/>
                <w:lang w:val="de-DE"/>
              </w:rPr>
            </w:pPr>
            <w:r>
              <w:rPr>
                <w:b/>
                <w:color w:val="000000"/>
                <w:lang w:val="de-DE"/>
              </w:rPr>
              <w:t>67.1</w:t>
            </w:r>
          </w:p>
        </w:tc>
      </w:tr>
    </w:tbl>
    <w:p w:rsidR="000B433A" w:rsidRDefault="000B433A"/>
    <w:p w:rsidR="000B433A" w:rsidRDefault="00372180" w:rsidP="00190015">
      <w:pPr>
        <w:rPr>
          <w:b/>
          <w:szCs w:val="24"/>
          <w:u w:val="single"/>
          <w:lang w:val="de-DE"/>
        </w:rPr>
      </w:pPr>
      <w:r>
        <w:rPr>
          <w:b/>
          <w:noProof/>
          <w:szCs w:val="24"/>
          <w:u w:val="single"/>
          <w:lang w:eastAsia="fr-BE"/>
        </w:rPr>
        <w:drawing>
          <wp:inline distT="0" distB="0" distL="0" distR="0">
            <wp:extent cx="6421755" cy="2827655"/>
            <wp:effectExtent l="19050" t="0" r="0" b="0"/>
            <wp:docPr id="12" name="Graphiqu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9"/>
                    <pic:cNvPicPr>
                      <a:picLocks noChangeArrowheads="1"/>
                    </pic:cNvPicPr>
                  </pic:nvPicPr>
                  <pic:blipFill>
                    <a:blip r:embed="rId22"/>
                    <a:srcRect b="-23"/>
                    <a:stretch>
                      <a:fillRect/>
                    </a:stretch>
                  </pic:blipFill>
                  <pic:spPr bwMode="auto">
                    <a:xfrm>
                      <a:off x="0" y="0"/>
                      <a:ext cx="6421755" cy="2827655"/>
                    </a:xfrm>
                    <a:prstGeom prst="rect">
                      <a:avLst/>
                    </a:prstGeom>
                    <a:noFill/>
                    <a:ln w="9525">
                      <a:noFill/>
                      <a:miter lim="800000"/>
                      <a:headEnd/>
                      <a:tailEnd/>
                    </a:ln>
                  </pic:spPr>
                </pic:pic>
              </a:graphicData>
            </a:graphic>
          </wp:inline>
        </w:drawing>
      </w:r>
    </w:p>
    <w:p w:rsidR="000B433A" w:rsidRPr="005F5D9D" w:rsidRDefault="000B433A" w:rsidP="005024AF">
      <w:pPr>
        <w:pStyle w:val="Lgende"/>
        <w:jc w:val="both"/>
        <w:rPr>
          <w:rFonts w:cs="Calibri"/>
          <w:b/>
          <w:szCs w:val="24"/>
          <w:u w:val="single"/>
          <w:lang w:val="de-DE"/>
        </w:rPr>
      </w:pPr>
      <w:r>
        <w:rPr>
          <w:lang w:val="de-DE"/>
        </w:rPr>
        <w:t>Abbildung 8: Entwicklung der VOC-Emissionen nach Emissionsquelle in der Wallonie</w:t>
      </w:r>
    </w:p>
    <w:p w:rsidR="000B433A" w:rsidRPr="00D07F58" w:rsidRDefault="000B433A" w:rsidP="005024AF">
      <w:pPr>
        <w:pStyle w:val="Lgende"/>
        <w:keepNext/>
        <w:rPr>
          <w:lang w:val="de-DE"/>
        </w:rPr>
      </w:pPr>
      <w:r>
        <w:rPr>
          <w:lang w:val="de-DE"/>
        </w:rPr>
        <w:t xml:space="preserve">Tabelle </w:t>
      </w:r>
      <w:r w:rsidR="005A6B21">
        <w:rPr>
          <w:lang w:val="de-DE"/>
        </w:rPr>
        <w:fldChar w:fldCharType="begin"/>
      </w:r>
      <w:r>
        <w:rPr>
          <w:lang w:val="de-DE"/>
        </w:rPr>
        <w:instrText xml:space="preserve"> SEQ Tableau \* ARABIC </w:instrText>
      </w:r>
      <w:r w:rsidR="005A6B21">
        <w:rPr>
          <w:lang w:val="de-DE"/>
        </w:rPr>
        <w:fldChar w:fldCharType="separate"/>
      </w:r>
      <w:r>
        <w:rPr>
          <w:lang w:val="de-DE"/>
        </w:rPr>
        <w:t>4</w:t>
      </w:r>
      <w:r w:rsidR="005A6B21">
        <w:rPr>
          <w:lang w:val="de-DE"/>
        </w:rPr>
        <w:fldChar w:fldCharType="end"/>
      </w:r>
      <w:r>
        <w:rPr>
          <w:lang w:val="de-DE"/>
        </w:rPr>
        <w:t>: Entwicklung der COV-Emissionen nach Emissionsquelle in der Wallonie (kt)</w:t>
      </w:r>
    </w:p>
    <w:tbl>
      <w:tblPr>
        <w:tblW w:w="9181" w:type="dxa"/>
        <w:tblInd w:w="70" w:type="dxa"/>
        <w:tblCellMar>
          <w:left w:w="70" w:type="dxa"/>
          <w:right w:w="70" w:type="dxa"/>
        </w:tblCellMar>
        <w:tblLook w:val="00A0"/>
      </w:tblPr>
      <w:tblGrid>
        <w:gridCol w:w="1641"/>
        <w:gridCol w:w="655"/>
        <w:gridCol w:w="743"/>
        <w:gridCol w:w="654"/>
        <w:gridCol w:w="654"/>
        <w:gridCol w:w="741"/>
        <w:gridCol w:w="654"/>
        <w:gridCol w:w="654"/>
        <w:gridCol w:w="654"/>
        <w:gridCol w:w="654"/>
        <w:gridCol w:w="654"/>
        <w:gridCol w:w="654"/>
        <w:gridCol w:w="654"/>
      </w:tblGrid>
      <w:tr w:rsidR="000B433A" w:rsidRPr="005759E4" w:rsidTr="00027FB8">
        <w:trPr>
          <w:trHeight w:val="285"/>
        </w:trPr>
        <w:tc>
          <w:tcPr>
            <w:tcW w:w="1156" w:type="dxa"/>
            <w:tcBorders>
              <w:top w:val="nil"/>
              <w:left w:val="nil"/>
              <w:bottom w:val="nil"/>
              <w:right w:val="nil"/>
            </w:tcBorders>
            <w:noWrap/>
            <w:vAlign w:val="center"/>
          </w:tcPr>
          <w:p w:rsidR="000B433A" w:rsidRPr="00BB673C" w:rsidRDefault="000B433A" w:rsidP="00FD0BD2">
            <w:pPr>
              <w:spacing w:after="0" w:line="240" w:lineRule="auto"/>
              <w:jc w:val="center"/>
              <w:rPr>
                <w:lang w:val="de-DE"/>
              </w:rPr>
            </w:pPr>
          </w:p>
        </w:tc>
        <w:tc>
          <w:tcPr>
            <w:tcW w:w="655" w:type="dxa"/>
            <w:tcBorders>
              <w:top w:val="single" w:sz="4" w:space="0" w:color="auto"/>
              <w:left w:val="single" w:sz="4" w:space="0" w:color="auto"/>
              <w:bottom w:val="single" w:sz="4" w:space="0" w:color="auto"/>
              <w:right w:val="single" w:sz="4" w:space="0" w:color="auto"/>
            </w:tcBorders>
            <w:shd w:val="clear" w:color="000000" w:fill="4F81BD"/>
            <w:noWrap/>
            <w:vAlign w:val="center"/>
          </w:tcPr>
          <w:p w:rsidR="000B433A" w:rsidRPr="00BB673C" w:rsidRDefault="000B433A" w:rsidP="00FD0BD2">
            <w:pPr>
              <w:spacing w:after="0" w:line="240" w:lineRule="auto"/>
              <w:jc w:val="center"/>
              <w:rPr>
                <w:color w:val="FFFFFF"/>
                <w:lang w:val="de-DE"/>
              </w:rPr>
            </w:pPr>
            <w:r>
              <w:rPr>
                <w:color w:val="FFFFFF"/>
                <w:sz w:val="22"/>
                <w:lang w:val="de-DE"/>
              </w:rPr>
              <w:t>1990</w:t>
            </w:r>
          </w:p>
        </w:tc>
        <w:tc>
          <w:tcPr>
            <w:tcW w:w="743" w:type="dxa"/>
            <w:tcBorders>
              <w:top w:val="single" w:sz="4" w:space="0" w:color="auto"/>
              <w:left w:val="nil"/>
              <w:bottom w:val="single" w:sz="4" w:space="0" w:color="auto"/>
              <w:right w:val="single" w:sz="4" w:space="0" w:color="auto"/>
            </w:tcBorders>
            <w:shd w:val="clear" w:color="000000" w:fill="4F81BD"/>
            <w:noWrap/>
            <w:vAlign w:val="center"/>
          </w:tcPr>
          <w:p w:rsidR="000B433A" w:rsidRPr="00BB673C" w:rsidRDefault="000B433A" w:rsidP="00FD0BD2">
            <w:pPr>
              <w:spacing w:after="0" w:line="240" w:lineRule="auto"/>
              <w:jc w:val="center"/>
              <w:rPr>
                <w:color w:val="FFFFFF"/>
                <w:lang w:val="de-DE"/>
              </w:rPr>
            </w:pPr>
            <w:r>
              <w:rPr>
                <w:color w:val="FFFFFF"/>
                <w:sz w:val="22"/>
                <w:lang w:val="de-DE"/>
              </w:rPr>
              <w:t>1995</w:t>
            </w:r>
          </w:p>
        </w:tc>
        <w:tc>
          <w:tcPr>
            <w:tcW w:w="654" w:type="dxa"/>
            <w:tcBorders>
              <w:top w:val="single" w:sz="4" w:space="0" w:color="auto"/>
              <w:left w:val="nil"/>
              <w:bottom w:val="single" w:sz="4" w:space="0" w:color="auto"/>
              <w:right w:val="single" w:sz="4" w:space="0" w:color="auto"/>
            </w:tcBorders>
            <w:shd w:val="clear" w:color="000000" w:fill="4F81BD"/>
            <w:noWrap/>
            <w:vAlign w:val="center"/>
          </w:tcPr>
          <w:p w:rsidR="000B433A" w:rsidRPr="00BB673C" w:rsidRDefault="000B433A" w:rsidP="00FD0BD2">
            <w:pPr>
              <w:spacing w:after="0" w:line="240" w:lineRule="auto"/>
              <w:jc w:val="center"/>
              <w:rPr>
                <w:color w:val="FFFFFF"/>
                <w:lang w:val="de-DE"/>
              </w:rPr>
            </w:pPr>
            <w:r>
              <w:rPr>
                <w:color w:val="FFFFFF"/>
                <w:sz w:val="22"/>
                <w:lang w:val="de-DE"/>
              </w:rPr>
              <w:t>2000</w:t>
            </w:r>
          </w:p>
        </w:tc>
        <w:tc>
          <w:tcPr>
            <w:tcW w:w="654" w:type="dxa"/>
            <w:tcBorders>
              <w:top w:val="single" w:sz="4" w:space="0" w:color="auto"/>
              <w:left w:val="nil"/>
              <w:bottom w:val="single" w:sz="4" w:space="0" w:color="auto"/>
              <w:right w:val="single" w:sz="4" w:space="0" w:color="auto"/>
            </w:tcBorders>
            <w:shd w:val="clear" w:color="000000" w:fill="4F81BD"/>
            <w:noWrap/>
            <w:vAlign w:val="center"/>
          </w:tcPr>
          <w:p w:rsidR="000B433A" w:rsidRPr="00BB673C" w:rsidRDefault="000B433A" w:rsidP="00FD0BD2">
            <w:pPr>
              <w:spacing w:after="0" w:line="240" w:lineRule="auto"/>
              <w:jc w:val="center"/>
              <w:rPr>
                <w:color w:val="FFFFFF"/>
                <w:lang w:val="de-DE"/>
              </w:rPr>
            </w:pPr>
            <w:r>
              <w:rPr>
                <w:color w:val="FFFFFF"/>
                <w:sz w:val="22"/>
                <w:lang w:val="de-DE"/>
              </w:rPr>
              <w:t>2005</w:t>
            </w:r>
          </w:p>
        </w:tc>
        <w:tc>
          <w:tcPr>
            <w:tcW w:w="741" w:type="dxa"/>
            <w:tcBorders>
              <w:top w:val="single" w:sz="4" w:space="0" w:color="auto"/>
              <w:left w:val="nil"/>
              <w:bottom w:val="single" w:sz="4" w:space="0" w:color="auto"/>
              <w:right w:val="single" w:sz="4" w:space="0" w:color="auto"/>
            </w:tcBorders>
            <w:shd w:val="clear" w:color="000000" w:fill="4F81BD"/>
            <w:noWrap/>
            <w:vAlign w:val="center"/>
          </w:tcPr>
          <w:p w:rsidR="000B433A" w:rsidRPr="00BB673C" w:rsidRDefault="000B433A" w:rsidP="00FD0BD2">
            <w:pPr>
              <w:spacing w:after="0" w:line="240" w:lineRule="auto"/>
              <w:jc w:val="center"/>
              <w:rPr>
                <w:color w:val="FFFFFF"/>
                <w:lang w:val="de-DE"/>
              </w:rPr>
            </w:pPr>
            <w:r>
              <w:rPr>
                <w:color w:val="FFFFFF"/>
                <w:sz w:val="22"/>
                <w:lang w:val="de-DE"/>
              </w:rPr>
              <w:t>2010</w:t>
            </w:r>
          </w:p>
        </w:tc>
        <w:tc>
          <w:tcPr>
            <w:tcW w:w="654" w:type="dxa"/>
            <w:tcBorders>
              <w:top w:val="single" w:sz="4" w:space="0" w:color="auto"/>
              <w:left w:val="nil"/>
              <w:bottom w:val="single" w:sz="4" w:space="0" w:color="auto"/>
              <w:right w:val="single" w:sz="4" w:space="0" w:color="auto"/>
            </w:tcBorders>
            <w:shd w:val="clear" w:color="000000" w:fill="4F81BD"/>
            <w:noWrap/>
            <w:vAlign w:val="center"/>
          </w:tcPr>
          <w:p w:rsidR="000B433A" w:rsidRPr="00BB673C" w:rsidRDefault="000B433A" w:rsidP="00FD0BD2">
            <w:pPr>
              <w:spacing w:after="0" w:line="240" w:lineRule="auto"/>
              <w:jc w:val="center"/>
              <w:rPr>
                <w:color w:val="FFFFFF"/>
                <w:lang w:val="de-DE"/>
              </w:rPr>
            </w:pPr>
            <w:r>
              <w:rPr>
                <w:color w:val="FFFFFF"/>
                <w:sz w:val="22"/>
                <w:lang w:val="de-DE"/>
              </w:rPr>
              <w:t>2011</w:t>
            </w:r>
          </w:p>
        </w:tc>
        <w:tc>
          <w:tcPr>
            <w:tcW w:w="654" w:type="dxa"/>
            <w:tcBorders>
              <w:top w:val="single" w:sz="4" w:space="0" w:color="auto"/>
              <w:left w:val="nil"/>
              <w:bottom w:val="single" w:sz="4" w:space="0" w:color="auto"/>
              <w:right w:val="single" w:sz="4" w:space="0" w:color="auto"/>
            </w:tcBorders>
            <w:shd w:val="clear" w:color="000000" w:fill="4F81BD"/>
            <w:noWrap/>
            <w:vAlign w:val="center"/>
          </w:tcPr>
          <w:p w:rsidR="000B433A" w:rsidRPr="00BB673C" w:rsidRDefault="000B433A" w:rsidP="00FD0BD2">
            <w:pPr>
              <w:spacing w:after="0" w:line="240" w:lineRule="auto"/>
              <w:jc w:val="center"/>
              <w:rPr>
                <w:color w:val="FFFFFF"/>
                <w:lang w:val="de-DE"/>
              </w:rPr>
            </w:pPr>
            <w:r>
              <w:rPr>
                <w:color w:val="FFFFFF"/>
                <w:sz w:val="22"/>
                <w:lang w:val="de-DE"/>
              </w:rPr>
              <w:t>2012</w:t>
            </w:r>
          </w:p>
        </w:tc>
        <w:tc>
          <w:tcPr>
            <w:tcW w:w="654" w:type="dxa"/>
            <w:tcBorders>
              <w:top w:val="single" w:sz="4" w:space="0" w:color="auto"/>
              <w:left w:val="nil"/>
              <w:bottom w:val="single" w:sz="4" w:space="0" w:color="auto"/>
              <w:right w:val="single" w:sz="4" w:space="0" w:color="auto"/>
            </w:tcBorders>
            <w:shd w:val="clear" w:color="000000" w:fill="4F81BD"/>
            <w:noWrap/>
            <w:vAlign w:val="center"/>
          </w:tcPr>
          <w:p w:rsidR="000B433A" w:rsidRPr="00BB673C" w:rsidRDefault="000B433A" w:rsidP="00FD0BD2">
            <w:pPr>
              <w:spacing w:after="0" w:line="240" w:lineRule="auto"/>
              <w:jc w:val="center"/>
              <w:rPr>
                <w:color w:val="FFFFFF"/>
                <w:lang w:val="de-DE"/>
              </w:rPr>
            </w:pPr>
            <w:r>
              <w:rPr>
                <w:color w:val="FFFFFF"/>
                <w:sz w:val="22"/>
                <w:lang w:val="de-DE"/>
              </w:rPr>
              <w:t>2013</w:t>
            </w:r>
          </w:p>
        </w:tc>
        <w:tc>
          <w:tcPr>
            <w:tcW w:w="654" w:type="dxa"/>
            <w:tcBorders>
              <w:top w:val="single" w:sz="4" w:space="0" w:color="auto"/>
              <w:left w:val="nil"/>
              <w:bottom w:val="single" w:sz="4" w:space="0" w:color="auto"/>
              <w:right w:val="single" w:sz="4" w:space="0" w:color="auto"/>
            </w:tcBorders>
            <w:shd w:val="clear" w:color="000000" w:fill="4F81BD"/>
            <w:noWrap/>
            <w:vAlign w:val="center"/>
          </w:tcPr>
          <w:p w:rsidR="000B433A" w:rsidRPr="00BB673C" w:rsidRDefault="000B433A" w:rsidP="00FD0BD2">
            <w:pPr>
              <w:spacing w:after="0" w:line="240" w:lineRule="auto"/>
              <w:jc w:val="center"/>
              <w:rPr>
                <w:color w:val="FFFFFF"/>
                <w:lang w:val="de-DE"/>
              </w:rPr>
            </w:pPr>
            <w:r>
              <w:rPr>
                <w:color w:val="FFFFFF"/>
                <w:sz w:val="22"/>
                <w:lang w:val="de-DE"/>
              </w:rPr>
              <w:t>2014</w:t>
            </w:r>
          </w:p>
        </w:tc>
        <w:tc>
          <w:tcPr>
            <w:tcW w:w="654" w:type="dxa"/>
            <w:tcBorders>
              <w:top w:val="single" w:sz="4" w:space="0" w:color="auto"/>
              <w:left w:val="nil"/>
              <w:bottom w:val="single" w:sz="4" w:space="0" w:color="auto"/>
              <w:right w:val="single" w:sz="4" w:space="0" w:color="auto"/>
            </w:tcBorders>
            <w:shd w:val="clear" w:color="000000" w:fill="4F81BD"/>
            <w:noWrap/>
            <w:vAlign w:val="center"/>
          </w:tcPr>
          <w:p w:rsidR="000B433A" w:rsidRPr="00BB673C" w:rsidRDefault="000B433A" w:rsidP="00FD0BD2">
            <w:pPr>
              <w:spacing w:after="0" w:line="240" w:lineRule="auto"/>
              <w:jc w:val="center"/>
              <w:rPr>
                <w:color w:val="FFFFFF"/>
                <w:lang w:val="de-DE"/>
              </w:rPr>
            </w:pPr>
            <w:r>
              <w:rPr>
                <w:color w:val="FFFFFF"/>
                <w:sz w:val="22"/>
                <w:lang w:val="de-DE"/>
              </w:rPr>
              <w:t>2015</w:t>
            </w:r>
          </w:p>
        </w:tc>
        <w:tc>
          <w:tcPr>
            <w:tcW w:w="654" w:type="dxa"/>
            <w:tcBorders>
              <w:top w:val="single" w:sz="4" w:space="0" w:color="auto"/>
              <w:left w:val="nil"/>
              <w:bottom w:val="single" w:sz="4" w:space="0" w:color="auto"/>
              <w:right w:val="single" w:sz="4" w:space="0" w:color="auto"/>
            </w:tcBorders>
            <w:shd w:val="clear" w:color="000000" w:fill="4F81BD"/>
            <w:noWrap/>
            <w:vAlign w:val="center"/>
          </w:tcPr>
          <w:p w:rsidR="000B433A" w:rsidRPr="00BB673C" w:rsidRDefault="000B433A" w:rsidP="00FD0BD2">
            <w:pPr>
              <w:spacing w:after="0" w:line="240" w:lineRule="auto"/>
              <w:jc w:val="center"/>
              <w:rPr>
                <w:color w:val="FFFFFF"/>
                <w:lang w:val="de-DE"/>
              </w:rPr>
            </w:pPr>
            <w:r>
              <w:rPr>
                <w:color w:val="FFFFFF"/>
                <w:sz w:val="22"/>
                <w:lang w:val="de-DE"/>
              </w:rPr>
              <w:t>2016</w:t>
            </w:r>
          </w:p>
        </w:tc>
        <w:tc>
          <w:tcPr>
            <w:tcW w:w="654" w:type="dxa"/>
            <w:tcBorders>
              <w:top w:val="single" w:sz="4" w:space="0" w:color="auto"/>
              <w:left w:val="nil"/>
              <w:bottom w:val="single" w:sz="4" w:space="0" w:color="auto"/>
              <w:right w:val="single" w:sz="4" w:space="0" w:color="auto"/>
            </w:tcBorders>
            <w:shd w:val="clear" w:color="000000" w:fill="4F81BD"/>
            <w:noWrap/>
            <w:vAlign w:val="center"/>
          </w:tcPr>
          <w:p w:rsidR="000B433A" w:rsidRPr="00BB673C" w:rsidRDefault="000B433A" w:rsidP="00FD0BD2">
            <w:pPr>
              <w:spacing w:after="0" w:line="240" w:lineRule="auto"/>
              <w:jc w:val="center"/>
              <w:rPr>
                <w:color w:val="FFFFFF"/>
                <w:lang w:val="de-DE"/>
              </w:rPr>
            </w:pPr>
            <w:r>
              <w:rPr>
                <w:color w:val="FFFFFF"/>
                <w:sz w:val="22"/>
                <w:lang w:val="de-DE"/>
              </w:rPr>
              <w:t>2017</w:t>
            </w:r>
          </w:p>
        </w:tc>
      </w:tr>
      <w:tr w:rsidR="000B433A" w:rsidRPr="005759E4" w:rsidTr="00027FB8">
        <w:trPr>
          <w:trHeight w:val="285"/>
        </w:trPr>
        <w:tc>
          <w:tcPr>
            <w:tcW w:w="1156" w:type="dxa"/>
            <w:tcBorders>
              <w:top w:val="single" w:sz="4" w:space="0" w:color="auto"/>
              <w:left w:val="single" w:sz="4" w:space="0" w:color="auto"/>
              <w:bottom w:val="single" w:sz="4" w:space="0" w:color="auto"/>
              <w:right w:val="single" w:sz="4" w:space="0" w:color="auto"/>
            </w:tcBorders>
            <w:shd w:val="clear" w:color="000000" w:fill="4F81BD"/>
            <w:noWrap/>
            <w:vAlign w:val="center"/>
          </w:tcPr>
          <w:p w:rsidR="000B433A" w:rsidRPr="00BB673C" w:rsidRDefault="000B433A" w:rsidP="00FD0BD2">
            <w:pPr>
              <w:spacing w:after="0" w:line="240" w:lineRule="auto"/>
              <w:jc w:val="left"/>
              <w:rPr>
                <w:color w:val="FFFFFF"/>
                <w:lang w:val="de-DE"/>
              </w:rPr>
            </w:pPr>
            <w:r>
              <w:rPr>
                <w:color w:val="FFFFFF"/>
                <w:sz w:val="22"/>
                <w:lang w:val="de-DE"/>
              </w:rPr>
              <w:t>Energie</w:t>
            </w:r>
          </w:p>
        </w:tc>
        <w:tc>
          <w:tcPr>
            <w:tcW w:w="655"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9.69</w:t>
            </w:r>
          </w:p>
        </w:tc>
        <w:tc>
          <w:tcPr>
            <w:tcW w:w="743"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7.98</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6.01</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5.07</w:t>
            </w:r>
          </w:p>
        </w:tc>
        <w:tc>
          <w:tcPr>
            <w:tcW w:w="741"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2.30</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2.16</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1.99</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1.85</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1.54</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1.37</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1.39</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1.42</w:t>
            </w:r>
          </w:p>
        </w:tc>
      </w:tr>
      <w:tr w:rsidR="000B433A" w:rsidRPr="005759E4" w:rsidTr="00027FB8">
        <w:trPr>
          <w:trHeight w:val="285"/>
        </w:trPr>
        <w:tc>
          <w:tcPr>
            <w:tcW w:w="1156" w:type="dxa"/>
            <w:tcBorders>
              <w:top w:val="nil"/>
              <w:left w:val="single" w:sz="4" w:space="0" w:color="auto"/>
              <w:bottom w:val="single" w:sz="4" w:space="0" w:color="auto"/>
              <w:right w:val="single" w:sz="4" w:space="0" w:color="auto"/>
            </w:tcBorders>
            <w:shd w:val="clear" w:color="000000" w:fill="4F81BD"/>
            <w:noWrap/>
            <w:vAlign w:val="center"/>
          </w:tcPr>
          <w:p w:rsidR="000B433A" w:rsidRPr="00BB673C" w:rsidRDefault="000B433A" w:rsidP="00FD0BD2">
            <w:pPr>
              <w:spacing w:after="0" w:line="240" w:lineRule="auto"/>
              <w:jc w:val="left"/>
              <w:rPr>
                <w:color w:val="FFFFFF"/>
                <w:lang w:val="de-DE"/>
              </w:rPr>
            </w:pPr>
            <w:r>
              <w:rPr>
                <w:color w:val="FFFFFF"/>
                <w:sz w:val="22"/>
                <w:lang w:val="de-DE"/>
              </w:rPr>
              <w:t>Industrie</w:t>
            </w:r>
          </w:p>
        </w:tc>
        <w:tc>
          <w:tcPr>
            <w:tcW w:w="655"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6.69</w:t>
            </w:r>
          </w:p>
        </w:tc>
        <w:tc>
          <w:tcPr>
            <w:tcW w:w="743"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6.31</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8.38</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6.82</w:t>
            </w:r>
          </w:p>
        </w:tc>
        <w:tc>
          <w:tcPr>
            <w:tcW w:w="741"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5.70</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5.03</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4.95</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5.34</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5.12</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5.40</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4.90</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4.99</w:t>
            </w:r>
          </w:p>
        </w:tc>
      </w:tr>
      <w:tr w:rsidR="000B433A" w:rsidRPr="005759E4" w:rsidTr="00027FB8">
        <w:trPr>
          <w:trHeight w:val="285"/>
        </w:trPr>
        <w:tc>
          <w:tcPr>
            <w:tcW w:w="1156" w:type="dxa"/>
            <w:tcBorders>
              <w:top w:val="nil"/>
              <w:left w:val="single" w:sz="4" w:space="0" w:color="auto"/>
              <w:bottom w:val="single" w:sz="4" w:space="0" w:color="auto"/>
              <w:right w:val="single" w:sz="4" w:space="0" w:color="auto"/>
            </w:tcBorders>
            <w:shd w:val="clear" w:color="000000" w:fill="4F81BD"/>
            <w:noWrap/>
            <w:vAlign w:val="center"/>
          </w:tcPr>
          <w:p w:rsidR="000B433A" w:rsidRPr="00BB673C" w:rsidRDefault="000B433A" w:rsidP="00FD0BD2">
            <w:pPr>
              <w:spacing w:after="0" w:line="240" w:lineRule="auto"/>
              <w:jc w:val="left"/>
              <w:rPr>
                <w:color w:val="FFFFFF"/>
                <w:lang w:val="de-DE"/>
              </w:rPr>
            </w:pPr>
            <w:r>
              <w:rPr>
                <w:color w:val="FFFFFF"/>
                <w:sz w:val="22"/>
                <w:lang w:val="de-DE"/>
              </w:rPr>
              <w:t>Wohnen</w:t>
            </w:r>
          </w:p>
        </w:tc>
        <w:tc>
          <w:tcPr>
            <w:tcW w:w="655"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7.68</w:t>
            </w:r>
          </w:p>
        </w:tc>
        <w:tc>
          <w:tcPr>
            <w:tcW w:w="743"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6.82</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4.87</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4.75</w:t>
            </w:r>
          </w:p>
        </w:tc>
        <w:tc>
          <w:tcPr>
            <w:tcW w:w="741"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6.47</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4.21</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5.11</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6.24</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3.85</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4.91</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5.79</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5.34</w:t>
            </w:r>
          </w:p>
        </w:tc>
      </w:tr>
      <w:tr w:rsidR="000B433A" w:rsidRPr="005759E4" w:rsidTr="00027FB8">
        <w:trPr>
          <w:trHeight w:val="285"/>
        </w:trPr>
        <w:tc>
          <w:tcPr>
            <w:tcW w:w="1156" w:type="dxa"/>
            <w:tcBorders>
              <w:top w:val="nil"/>
              <w:left w:val="single" w:sz="4" w:space="0" w:color="auto"/>
              <w:bottom w:val="single" w:sz="4" w:space="0" w:color="auto"/>
              <w:right w:val="single" w:sz="4" w:space="0" w:color="auto"/>
            </w:tcBorders>
            <w:shd w:val="clear" w:color="000000" w:fill="4F81BD"/>
            <w:noWrap/>
            <w:vAlign w:val="center"/>
          </w:tcPr>
          <w:p w:rsidR="000B433A" w:rsidRPr="00BB673C" w:rsidRDefault="000B433A" w:rsidP="00FD0BD2">
            <w:pPr>
              <w:spacing w:after="0" w:line="240" w:lineRule="auto"/>
              <w:jc w:val="left"/>
              <w:rPr>
                <w:color w:val="FFFFFF"/>
                <w:lang w:val="de-DE"/>
              </w:rPr>
            </w:pPr>
            <w:r>
              <w:rPr>
                <w:color w:val="FFFFFF"/>
                <w:sz w:val="22"/>
                <w:lang w:val="de-DE"/>
              </w:rPr>
              <w:t>Dienstleistungen</w:t>
            </w:r>
          </w:p>
        </w:tc>
        <w:tc>
          <w:tcPr>
            <w:tcW w:w="655"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0.19</w:t>
            </w:r>
          </w:p>
        </w:tc>
        <w:tc>
          <w:tcPr>
            <w:tcW w:w="743"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0.20</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0.21</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0.21</w:t>
            </w:r>
          </w:p>
        </w:tc>
        <w:tc>
          <w:tcPr>
            <w:tcW w:w="741"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0.18</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0,16</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0.15</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0.18</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0.17</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0.19</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0.17</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0.17</w:t>
            </w:r>
          </w:p>
        </w:tc>
      </w:tr>
      <w:tr w:rsidR="000B433A" w:rsidRPr="005759E4" w:rsidTr="00027FB8">
        <w:trPr>
          <w:trHeight w:val="285"/>
        </w:trPr>
        <w:tc>
          <w:tcPr>
            <w:tcW w:w="1156" w:type="dxa"/>
            <w:tcBorders>
              <w:top w:val="nil"/>
              <w:left w:val="single" w:sz="4" w:space="0" w:color="auto"/>
              <w:bottom w:val="single" w:sz="4" w:space="0" w:color="auto"/>
              <w:right w:val="single" w:sz="4" w:space="0" w:color="auto"/>
            </w:tcBorders>
            <w:shd w:val="clear" w:color="000000" w:fill="4F81BD"/>
            <w:noWrap/>
            <w:vAlign w:val="center"/>
          </w:tcPr>
          <w:p w:rsidR="000B433A" w:rsidRPr="00BB673C" w:rsidRDefault="000B433A" w:rsidP="00FD0BD2">
            <w:pPr>
              <w:spacing w:after="0" w:line="240" w:lineRule="auto"/>
              <w:jc w:val="left"/>
              <w:rPr>
                <w:color w:val="FFFFFF"/>
                <w:lang w:val="de-DE"/>
              </w:rPr>
            </w:pPr>
            <w:r>
              <w:rPr>
                <w:color w:val="FFFFFF"/>
                <w:sz w:val="22"/>
                <w:lang w:val="de-DE"/>
              </w:rPr>
              <w:t>Transport</w:t>
            </w:r>
          </w:p>
        </w:tc>
        <w:tc>
          <w:tcPr>
            <w:tcW w:w="655"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30.28</w:t>
            </w:r>
          </w:p>
        </w:tc>
        <w:tc>
          <w:tcPr>
            <w:tcW w:w="743"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22.87</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13.53</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9.32</w:t>
            </w:r>
          </w:p>
        </w:tc>
        <w:tc>
          <w:tcPr>
            <w:tcW w:w="741"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6.17</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5.76</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5.28</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4.76</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4.82</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3.42</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3.24</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3.00</w:t>
            </w:r>
          </w:p>
        </w:tc>
      </w:tr>
      <w:tr w:rsidR="000B433A" w:rsidRPr="005759E4" w:rsidTr="00027FB8">
        <w:trPr>
          <w:trHeight w:val="285"/>
        </w:trPr>
        <w:tc>
          <w:tcPr>
            <w:tcW w:w="1156" w:type="dxa"/>
            <w:tcBorders>
              <w:top w:val="nil"/>
              <w:left w:val="single" w:sz="4" w:space="0" w:color="auto"/>
              <w:bottom w:val="single" w:sz="4" w:space="0" w:color="auto"/>
              <w:right w:val="single" w:sz="4" w:space="0" w:color="auto"/>
            </w:tcBorders>
            <w:shd w:val="clear" w:color="000000" w:fill="4F81BD"/>
            <w:noWrap/>
            <w:vAlign w:val="center"/>
          </w:tcPr>
          <w:p w:rsidR="000B433A" w:rsidRPr="00BB673C" w:rsidRDefault="000B433A" w:rsidP="00FD0BD2">
            <w:pPr>
              <w:spacing w:after="0" w:line="240" w:lineRule="auto"/>
              <w:jc w:val="left"/>
              <w:rPr>
                <w:color w:val="FFFFFF"/>
                <w:lang w:val="de-DE"/>
              </w:rPr>
            </w:pPr>
            <w:r>
              <w:rPr>
                <w:color w:val="FFFFFF"/>
                <w:sz w:val="22"/>
                <w:lang w:val="de-DE"/>
              </w:rPr>
              <w:t>Landwirtschaft</w:t>
            </w:r>
          </w:p>
        </w:tc>
        <w:tc>
          <w:tcPr>
            <w:tcW w:w="655"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12.88</w:t>
            </w:r>
          </w:p>
        </w:tc>
        <w:tc>
          <w:tcPr>
            <w:tcW w:w="743"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12.91</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12.85</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12.07</w:t>
            </w:r>
          </w:p>
        </w:tc>
        <w:tc>
          <w:tcPr>
            <w:tcW w:w="741"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11.69</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11.40</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11.33</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11.19</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11.32</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11.23</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11.02</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10.90</w:t>
            </w:r>
          </w:p>
        </w:tc>
      </w:tr>
      <w:tr w:rsidR="000B433A" w:rsidRPr="005759E4" w:rsidTr="00027FB8">
        <w:trPr>
          <w:trHeight w:val="285"/>
        </w:trPr>
        <w:tc>
          <w:tcPr>
            <w:tcW w:w="1156" w:type="dxa"/>
            <w:tcBorders>
              <w:top w:val="nil"/>
              <w:left w:val="single" w:sz="4" w:space="0" w:color="auto"/>
              <w:bottom w:val="single" w:sz="4" w:space="0" w:color="auto"/>
              <w:right w:val="single" w:sz="4" w:space="0" w:color="auto"/>
            </w:tcBorders>
            <w:shd w:val="clear" w:color="000000" w:fill="4F81BD"/>
            <w:noWrap/>
            <w:vAlign w:val="center"/>
          </w:tcPr>
          <w:p w:rsidR="000B433A" w:rsidRPr="00BB673C" w:rsidRDefault="000B433A" w:rsidP="00FD0BD2">
            <w:pPr>
              <w:spacing w:after="0" w:line="240" w:lineRule="auto"/>
              <w:jc w:val="left"/>
              <w:rPr>
                <w:color w:val="FFFFFF"/>
                <w:lang w:val="de-DE"/>
              </w:rPr>
            </w:pPr>
            <w:r>
              <w:rPr>
                <w:color w:val="FFFFFF"/>
                <w:sz w:val="22"/>
                <w:lang w:val="de-DE"/>
              </w:rPr>
              <w:t>Verwendung von Lösungsmitteln</w:t>
            </w:r>
          </w:p>
        </w:tc>
        <w:tc>
          <w:tcPr>
            <w:tcW w:w="655"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31.43</w:t>
            </w:r>
          </w:p>
        </w:tc>
        <w:tc>
          <w:tcPr>
            <w:tcW w:w="743"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26.36</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21.91</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19.38</w:t>
            </w:r>
          </w:p>
        </w:tc>
        <w:tc>
          <w:tcPr>
            <w:tcW w:w="741"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16.92</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15.56</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14.84</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13.53</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12.67</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12.31</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12.44</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12,57</w:t>
            </w:r>
          </w:p>
        </w:tc>
      </w:tr>
      <w:tr w:rsidR="000B433A" w:rsidRPr="005759E4" w:rsidTr="00027FB8">
        <w:trPr>
          <w:trHeight w:val="300"/>
        </w:trPr>
        <w:tc>
          <w:tcPr>
            <w:tcW w:w="1156" w:type="dxa"/>
            <w:tcBorders>
              <w:top w:val="nil"/>
              <w:left w:val="single" w:sz="4" w:space="0" w:color="auto"/>
              <w:bottom w:val="double" w:sz="6" w:space="0" w:color="auto"/>
              <w:right w:val="single" w:sz="4" w:space="0" w:color="auto"/>
            </w:tcBorders>
            <w:shd w:val="clear" w:color="000000" w:fill="4F81BD"/>
            <w:noWrap/>
            <w:vAlign w:val="center"/>
          </w:tcPr>
          <w:p w:rsidR="000B433A" w:rsidRPr="00BB673C" w:rsidRDefault="000B433A" w:rsidP="00FD0BD2">
            <w:pPr>
              <w:spacing w:after="0" w:line="240" w:lineRule="auto"/>
              <w:jc w:val="left"/>
              <w:rPr>
                <w:color w:val="FFFFFF"/>
                <w:lang w:val="de-DE"/>
              </w:rPr>
            </w:pPr>
            <w:r>
              <w:rPr>
                <w:color w:val="FFFFFF"/>
                <w:sz w:val="22"/>
                <w:lang w:val="de-DE"/>
              </w:rPr>
              <w:t>Abfälle</w:t>
            </w:r>
          </w:p>
        </w:tc>
        <w:tc>
          <w:tcPr>
            <w:tcW w:w="655" w:type="dxa"/>
            <w:tcBorders>
              <w:top w:val="nil"/>
              <w:left w:val="nil"/>
              <w:bottom w:val="double" w:sz="6"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0.93</w:t>
            </w:r>
          </w:p>
        </w:tc>
        <w:tc>
          <w:tcPr>
            <w:tcW w:w="743" w:type="dxa"/>
            <w:tcBorders>
              <w:top w:val="nil"/>
              <w:left w:val="nil"/>
              <w:bottom w:val="double" w:sz="6"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0.95</w:t>
            </w:r>
          </w:p>
        </w:tc>
        <w:tc>
          <w:tcPr>
            <w:tcW w:w="654" w:type="dxa"/>
            <w:tcBorders>
              <w:top w:val="nil"/>
              <w:left w:val="nil"/>
              <w:bottom w:val="double" w:sz="6"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0.76</w:t>
            </w:r>
          </w:p>
        </w:tc>
        <w:tc>
          <w:tcPr>
            <w:tcW w:w="654" w:type="dxa"/>
            <w:tcBorders>
              <w:top w:val="nil"/>
              <w:left w:val="nil"/>
              <w:bottom w:val="double" w:sz="6"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0.51</w:t>
            </w:r>
          </w:p>
        </w:tc>
        <w:tc>
          <w:tcPr>
            <w:tcW w:w="741" w:type="dxa"/>
            <w:tcBorders>
              <w:top w:val="nil"/>
              <w:left w:val="nil"/>
              <w:bottom w:val="double" w:sz="6"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0.31</w:t>
            </w:r>
          </w:p>
        </w:tc>
        <w:tc>
          <w:tcPr>
            <w:tcW w:w="654" w:type="dxa"/>
            <w:tcBorders>
              <w:top w:val="nil"/>
              <w:left w:val="nil"/>
              <w:bottom w:val="double" w:sz="6"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0.30</w:t>
            </w:r>
          </w:p>
        </w:tc>
        <w:tc>
          <w:tcPr>
            <w:tcW w:w="654" w:type="dxa"/>
            <w:tcBorders>
              <w:top w:val="nil"/>
              <w:left w:val="nil"/>
              <w:bottom w:val="double" w:sz="6"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0.31</w:t>
            </w:r>
          </w:p>
        </w:tc>
        <w:tc>
          <w:tcPr>
            <w:tcW w:w="654" w:type="dxa"/>
            <w:tcBorders>
              <w:top w:val="nil"/>
              <w:left w:val="nil"/>
              <w:bottom w:val="double" w:sz="6"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0.27</w:t>
            </w:r>
          </w:p>
        </w:tc>
        <w:tc>
          <w:tcPr>
            <w:tcW w:w="654" w:type="dxa"/>
            <w:tcBorders>
              <w:top w:val="nil"/>
              <w:left w:val="nil"/>
              <w:bottom w:val="double" w:sz="6"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0.26</w:t>
            </w:r>
          </w:p>
        </w:tc>
        <w:tc>
          <w:tcPr>
            <w:tcW w:w="654" w:type="dxa"/>
            <w:tcBorders>
              <w:top w:val="nil"/>
              <w:left w:val="nil"/>
              <w:bottom w:val="double" w:sz="6"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0.25</w:t>
            </w:r>
          </w:p>
        </w:tc>
        <w:tc>
          <w:tcPr>
            <w:tcW w:w="654" w:type="dxa"/>
            <w:tcBorders>
              <w:top w:val="nil"/>
              <w:left w:val="nil"/>
              <w:bottom w:val="double" w:sz="6"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0.24</w:t>
            </w:r>
          </w:p>
        </w:tc>
        <w:tc>
          <w:tcPr>
            <w:tcW w:w="654" w:type="dxa"/>
            <w:tcBorders>
              <w:top w:val="nil"/>
              <w:left w:val="nil"/>
              <w:bottom w:val="double" w:sz="6"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0.22</w:t>
            </w:r>
          </w:p>
        </w:tc>
      </w:tr>
      <w:tr w:rsidR="000B433A" w:rsidRPr="005759E4" w:rsidTr="00027FB8">
        <w:trPr>
          <w:trHeight w:val="300"/>
        </w:trPr>
        <w:tc>
          <w:tcPr>
            <w:tcW w:w="1156" w:type="dxa"/>
            <w:tcBorders>
              <w:top w:val="nil"/>
              <w:left w:val="single" w:sz="4" w:space="0" w:color="auto"/>
              <w:bottom w:val="single" w:sz="4" w:space="0" w:color="auto"/>
              <w:right w:val="single" w:sz="4" w:space="0" w:color="auto"/>
            </w:tcBorders>
            <w:shd w:val="clear" w:color="000000" w:fill="4F81BD"/>
            <w:noWrap/>
            <w:vAlign w:val="center"/>
          </w:tcPr>
          <w:p w:rsidR="000B433A" w:rsidRPr="00BB673C" w:rsidRDefault="000B433A" w:rsidP="00FD0BD2">
            <w:pPr>
              <w:spacing w:after="0" w:line="240" w:lineRule="auto"/>
              <w:jc w:val="left"/>
              <w:rPr>
                <w:color w:val="FFFFFF"/>
                <w:lang w:val="de-DE"/>
              </w:rPr>
            </w:pPr>
            <w:r>
              <w:rPr>
                <w:color w:val="FFFFFF"/>
                <w:sz w:val="22"/>
                <w:lang w:val="de-DE"/>
              </w:rPr>
              <w:t>Gesamt</w:t>
            </w:r>
          </w:p>
        </w:tc>
        <w:tc>
          <w:tcPr>
            <w:tcW w:w="655"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99.75</w:t>
            </w:r>
          </w:p>
        </w:tc>
        <w:tc>
          <w:tcPr>
            <w:tcW w:w="743"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84.40</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68.51</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58.12</w:t>
            </w:r>
          </w:p>
        </w:tc>
        <w:tc>
          <w:tcPr>
            <w:tcW w:w="741"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49.75</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44.57</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43.95</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43.35</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39.75</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39.08</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39.20</w:t>
            </w:r>
          </w:p>
        </w:tc>
        <w:tc>
          <w:tcPr>
            <w:tcW w:w="654" w:type="dxa"/>
            <w:tcBorders>
              <w:top w:val="nil"/>
              <w:left w:val="nil"/>
              <w:bottom w:val="single" w:sz="4" w:space="0" w:color="auto"/>
              <w:right w:val="single" w:sz="4" w:space="0" w:color="auto"/>
            </w:tcBorders>
            <w:noWrap/>
            <w:vAlign w:val="center"/>
          </w:tcPr>
          <w:p w:rsidR="000B433A" w:rsidRPr="00BB673C" w:rsidRDefault="000B433A" w:rsidP="00FD0BD2">
            <w:pPr>
              <w:spacing w:after="0" w:line="240" w:lineRule="auto"/>
              <w:jc w:val="center"/>
              <w:rPr>
                <w:color w:val="000000"/>
                <w:lang w:val="de-DE"/>
              </w:rPr>
            </w:pPr>
            <w:r>
              <w:rPr>
                <w:color w:val="000000"/>
                <w:sz w:val="22"/>
                <w:lang w:val="de-DE"/>
              </w:rPr>
              <w:t>38.61</w:t>
            </w:r>
          </w:p>
        </w:tc>
      </w:tr>
    </w:tbl>
    <w:p w:rsidR="000B433A" w:rsidRPr="00631E4A" w:rsidRDefault="000B433A" w:rsidP="00BB673C">
      <w:pPr>
        <w:pStyle w:val="Titre2"/>
        <w:numPr>
          <w:ilvl w:val="1"/>
          <w:numId w:val="1"/>
        </w:numPr>
        <w:ind w:left="851" w:hanging="851"/>
        <w:rPr>
          <w:rFonts w:ascii="Calibri" w:hAnsi="Calibri" w:cs="Calibri"/>
          <w:color w:val="1F497D"/>
          <w:sz w:val="28"/>
          <w:szCs w:val="28"/>
          <w:lang w:val="de-DE"/>
        </w:rPr>
      </w:pPr>
      <w:bookmarkStart w:id="15" w:name="_Toc7802430"/>
      <w:r>
        <w:rPr>
          <w:rFonts w:ascii="Calibri" w:hAnsi="Calibri" w:cs="Calibri"/>
          <w:color w:val="1F497D"/>
          <w:sz w:val="28"/>
          <w:lang w:val="de-DE"/>
        </w:rPr>
        <w:t>Ammoniakemissionen</w:t>
      </w:r>
      <w:bookmarkEnd w:id="15"/>
    </w:p>
    <w:p w:rsidR="000B433A" w:rsidRDefault="000B433A" w:rsidP="00662BE1">
      <w:pPr>
        <w:pStyle w:val="Sansinterligne"/>
        <w:rPr>
          <w:rFonts w:ascii="Calibri" w:hAnsi="Calibri" w:cs="Calibri"/>
          <w:sz w:val="24"/>
          <w:szCs w:val="24"/>
          <w:lang w:val="de-DE"/>
        </w:rPr>
      </w:pPr>
      <w:r>
        <w:rPr>
          <w:rFonts w:ascii="Calibri" w:hAnsi="Calibri" w:cs="Calibri"/>
          <w:sz w:val="24"/>
          <w:lang w:val="de-DE"/>
        </w:rPr>
        <w:t>Die Ammoniakemissionen (NH</w:t>
      </w:r>
      <w:r w:rsidRPr="003514A5">
        <w:rPr>
          <w:rFonts w:ascii="Calibri" w:hAnsi="Calibri" w:cs="Calibri"/>
          <w:sz w:val="24"/>
          <w:szCs w:val="24"/>
          <w:vertAlign w:val="subscript"/>
          <w:lang w:val="de-DE"/>
        </w:rPr>
        <w:t>3</w:t>
      </w:r>
      <w:r>
        <w:rPr>
          <w:rFonts w:ascii="Calibri" w:hAnsi="Calibri" w:cs="Calibri"/>
          <w:sz w:val="24"/>
          <w:lang w:val="de-DE"/>
        </w:rPr>
        <w:t xml:space="preserve">) sind hauptsächlich landwirtschaftlichen Ursprungs (90 %), der größte Teil davon stammt aus der Viehwirtschaft. Ammoniak entsteht durch die Fermentation, d. h. den unvollständigen Abbau organischer Stoffe durch Mikroorganismen in einer anaeroben Umgebung. </w:t>
      </w:r>
    </w:p>
    <w:p w:rsidR="000B433A" w:rsidRPr="005F5D9D" w:rsidRDefault="000B433A" w:rsidP="00662BE1">
      <w:pPr>
        <w:pStyle w:val="Sansinterligne"/>
        <w:rPr>
          <w:rFonts w:ascii="Calibri" w:hAnsi="Calibri" w:cs="Calibri"/>
          <w:sz w:val="24"/>
          <w:szCs w:val="24"/>
          <w:lang w:val="de-DE"/>
        </w:rPr>
      </w:pPr>
    </w:p>
    <w:p w:rsidR="000B433A" w:rsidRPr="005F5D9D" w:rsidRDefault="000B433A" w:rsidP="00662BE1">
      <w:pPr>
        <w:pStyle w:val="Sansinterligne"/>
        <w:rPr>
          <w:rFonts w:ascii="Calibri" w:hAnsi="Calibri" w:cs="Calibri"/>
          <w:sz w:val="24"/>
          <w:szCs w:val="24"/>
          <w:lang w:val="de-DE"/>
        </w:rPr>
      </w:pPr>
      <w:r>
        <w:rPr>
          <w:rFonts w:ascii="Calibri" w:hAnsi="Calibri" w:cs="Calibri"/>
          <w:sz w:val="24"/>
          <w:lang w:val="de-DE"/>
        </w:rPr>
        <w:t>Dieser Prozess findet sowohl in Stallungen als auch auf der Weide, in Güllelagern und beim Ausbringen auf dem Feld statt. Ammoniak wird auch von Autos mit Katalysator und von „deNOx“-Technologien in einigen großen Industrien freigesetzt.</w:t>
      </w:r>
    </w:p>
    <w:p w:rsidR="000B433A" w:rsidRPr="005F5D9D" w:rsidRDefault="000B433A" w:rsidP="00662BE1">
      <w:pPr>
        <w:pStyle w:val="Sansinterligne"/>
        <w:rPr>
          <w:rFonts w:ascii="Calibri" w:hAnsi="Calibri" w:cs="Calibri"/>
          <w:sz w:val="24"/>
          <w:szCs w:val="24"/>
          <w:lang w:val="de-DE"/>
        </w:rPr>
      </w:pPr>
    </w:p>
    <w:p w:rsidR="000B433A" w:rsidRPr="005F5D9D" w:rsidRDefault="000B433A" w:rsidP="00662BE1">
      <w:pPr>
        <w:pStyle w:val="Sansinterligne"/>
        <w:rPr>
          <w:rFonts w:ascii="Calibri" w:hAnsi="Calibri" w:cs="Calibri"/>
          <w:sz w:val="24"/>
          <w:szCs w:val="24"/>
          <w:lang w:val="de-DE"/>
        </w:rPr>
      </w:pPr>
      <w:r>
        <w:rPr>
          <w:rFonts w:ascii="Calibri" w:hAnsi="Calibri" w:cs="Calibri"/>
          <w:sz w:val="24"/>
          <w:lang w:val="de-DE"/>
        </w:rPr>
        <w:t>NH</w:t>
      </w:r>
      <w:r w:rsidRPr="005F5D9D">
        <w:rPr>
          <w:rFonts w:ascii="Calibri" w:hAnsi="Calibri" w:cs="Calibri"/>
          <w:sz w:val="24"/>
          <w:szCs w:val="24"/>
          <w:vertAlign w:val="subscript"/>
          <w:lang w:val="de-DE"/>
        </w:rPr>
        <w:t>3</w:t>
      </w:r>
      <w:r>
        <w:rPr>
          <w:rFonts w:ascii="Calibri" w:hAnsi="Calibri" w:cs="Calibri"/>
          <w:sz w:val="24"/>
          <w:lang w:val="de-DE"/>
        </w:rPr>
        <w:t xml:space="preserve"> ist ein versauernder Schadstoff, der die Atemwege schädigt, insbesondere für Züchter, die diesen unentwegt einatmen, und trägt zur Versauerung natürlicher Umgebungen und Materialien bei. Durch Stickstoffablagerung trägt er auch zur Eutrophierung von Ökosystemen und zum Verlust der Biodiversität bei.</w:t>
      </w:r>
    </w:p>
    <w:p w:rsidR="000B433A" w:rsidRPr="005F5D9D" w:rsidRDefault="000B433A" w:rsidP="00662BE1">
      <w:pPr>
        <w:pStyle w:val="Sansinterligne"/>
        <w:rPr>
          <w:rFonts w:ascii="Calibri" w:hAnsi="Calibri" w:cs="Calibri"/>
          <w:sz w:val="24"/>
          <w:szCs w:val="24"/>
          <w:lang w:val="de-DE"/>
        </w:rPr>
      </w:pPr>
    </w:p>
    <w:p w:rsidR="000B433A" w:rsidRPr="005F5D9D" w:rsidRDefault="000B433A" w:rsidP="00662BE1">
      <w:pPr>
        <w:pStyle w:val="Sansinterligne"/>
        <w:rPr>
          <w:rFonts w:ascii="Calibri" w:hAnsi="Calibri" w:cs="Calibri"/>
          <w:sz w:val="24"/>
          <w:szCs w:val="24"/>
          <w:lang w:val="de-DE"/>
        </w:rPr>
      </w:pPr>
      <w:r>
        <w:rPr>
          <w:rFonts w:ascii="Calibri" w:hAnsi="Calibri" w:cs="Calibri"/>
          <w:sz w:val="24"/>
          <w:lang w:val="de-DE"/>
        </w:rPr>
        <w:t>Darüber hinaus ist Ammoniak ein wichtiger Vorläufer von Sekundärpartikeln, hauptsächlich durch Reaktion mit Stickoxiden oder Schwefeloxiden zur Bildung von Ammoniumnitrat- oder Ammoniumsulfatpartikeln. Dies verstärkt die negativen Auswirkungen auf die Gesundheit weiter.</w:t>
      </w:r>
    </w:p>
    <w:p w:rsidR="000B433A" w:rsidRPr="005F5D9D" w:rsidRDefault="000B433A" w:rsidP="00662BE1">
      <w:pPr>
        <w:pStyle w:val="Sansinterligne"/>
        <w:rPr>
          <w:rFonts w:ascii="Calibri" w:hAnsi="Calibri" w:cs="Calibri"/>
          <w:sz w:val="24"/>
          <w:szCs w:val="24"/>
          <w:lang w:val="de-DE"/>
        </w:rPr>
      </w:pPr>
    </w:p>
    <w:p w:rsidR="000B433A" w:rsidRDefault="000B433A" w:rsidP="00662BE1">
      <w:pPr>
        <w:pStyle w:val="Sansinterligne"/>
        <w:rPr>
          <w:rFonts w:ascii="Calibri" w:hAnsi="Calibri" w:cs="Calibri"/>
          <w:sz w:val="24"/>
          <w:szCs w:val="24"/>
          <w:lang w:val="de-DE"/>
        </w:rPr>
      </w:pPr>
      <w:r>
        <w:rPr>
          <w:rFonts w:ascii="Calibri" w:hAnsi="Calibri" w:cs="Calibri"/>
          <w:sz w:val="24"/>
          <w:lang w:val="de-DE"/>
        </w:rPr>
        <w:t>Die NH</w:t>
      </w:r>
      <w:r w:rsidRPr="005F5D9D">
        <w:rPr>
          <w:rFonts w:ascii="Calibri" w:hAnsi="Calibri" w:cs="Calibri"/>
          <w:sz w:val="24"/>
          <w:szCs w:val="24"/>
          <w:vertAlign w:val="subscript"/>
          <w:lang w:val="de-DE"/>
        </w:rPr>
        <w:t>3</w:t>
      </w:r>
      <w:r>
        <w:rPr>
          <w:rFonts w:ascii="Calibri" w:hAnsi="Calibri" w:cs="Calibri"/>
          <w:sz w:val="24"/>
          <w:lang w:val="de-DE"/>
        </w:rPr>
        <w:t xml:space="preserve">-Emissionen sanken zwischen 2005 und 2017 um 9,6 %. Sie sind in allen EU-Ländern relativ stabil. </w:t>
      </w:r>
    </w:p>
    <w:p w:rsidR="000B433A" w:rsidRPr="005F5D9D" w:rsidRDefault="000B433A" w:rsidP="00662BE1">
      <w:pPr>
        <w:pStyle w:val="Sansinterligne"/>
        <w:rPr>
          <w:rFonts w:ascii="Calibri" w:hAnsi="Calibri" w:cs="Calibri"/>
          <w:sz w:val="24"/>
          <w:szCs w:val="24"/>
          <w:lang w:val="de-DE"/>
        </w:rPr>
      </w:pPr>
    </w:p>
    <w:p w:rsidR="000B433A" w:rsidRPr="00597F25" w:rsidRDefault="000B433A" w:rsidP="00662BE1">
      <w:pPr>
        <w:pStyle w:val="Sansinterligne"/>
        <w:rPr>
          <w:rFonts w:ascii="Calibri" w:hAnsi="Calibri" w:cs="Calibri"/>
          <w:b/>
          <w:sz w:val="24"/>
          <w:szCs w:val="24"/>
          <w:lang w:val="de-DE"/>
        </w:rPr>
      </w:pPr>
      <w:r>
        <w:rPr>
          <w:rFonts w:ascii="Calibri" w:hAnsi="Calibri" w:cs="Calibri"/>
          <w:b/>
          <w:sz w:val="24"/>
          <w:lang w:val="de-DE"/>
        </w:rPr>
        <w:t>Für Wissenschaftler ist die Reduzierung der Ammoniakemissionen der kostengünstigste und effizienteste Weg, um PM</w:t>
      </w:r>
      <w:r w:rsidRPr="00597F25">
        <w:rPr>
          <w:rFonts w:ascii="Calibri" w:hAnsi="Calibri" w:cs="Calibri"/>
          <w:b/>
          <w:sz w:val="24"/>
          <w:szCs w:val="24"/>
          <w:vertAlign w:val="subscript"/>
          <w:lang w:val="de-DE"/>
        </w:rPr>
        <w:t>2</w:t>
      </w:r>
      <w:proofErr w:type="gramStart"/>
      <w:r w:rsidRPr="00597F25">
        <w:rPr>
          <w:rFonts w:ascii="Calibri" w:hAnsi="Calibri" w:cs="Calibri"/>
          <w:b/>
          <w:sz w:val="24"/>
          <w:szCs w:val="24"/>
          <w:vertAlign w:val="subscript"/>
          <w:lang w:val="de-DE"/>
        </w:rPr>
        <w:t>,5</w:t>
      </w:r>
      <w:proofErr w:type="gramEnd"/>
      <w:r>
        <w:rPr>
          <w:rFonts w:ascii="Calibri" w:hAnsi="Calibri" w:cs="Calibri"/>
          <w:b/>
          <w:sz w:val="24"/>
          <w:lang w:val="de-DE"/>
        </w:rPr>
        <w:t xml:space="preserve"> zu reduzieren und die negativen Auswirkungen auf die Gesundheit zu begrenzen.</w:t>
      </w:r>
    </w:p>
    <w:p w:rsidR="000B433A" w:rsidRPr="005F5D9D" w:rsidRDefault="000B433A" w:rsidP="00662BE1">
      <w:pPr>
        <w:pStyle w:val="Sansinterligne"/>
        <w:rPr>
          <w:rFonts w:ascii="Calibri" w:hAnsi="Calibri" w:cs="Calibri"/>
          <w:sz w:val="24"/>
          <w:szCs w:val="24"/>
          <w:lang w:val="de-DE"/>
        </w:rPr>
      </w:pPr>
    </w:p>
    <w:p w:rsidR="000B433A" w:rsidRDefault="00372180" w:rsidP="00190015">
      <w:r>
        <w:rPr>
          <w:noProof/>
          <w:lang w:eastAsia="fr-BE"/>
        </w:rPr>
        <w:drawing>
          <wp:inline distT="0" distB="0" distL="0" distR="0">
            <wp:extent cx="6078220" cy="2759075"/>
            <wp:effectExtent l="19050" t="0" r="0" b="0"/>
            <wp:docPr id="13" name="Graphiqu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1"/>
                    <pic:cNvPicPr>
                      <a:picLocks noChangeArrowheads="1"/>
                    </pic:cNvPicPr>
                  </pic:nvPicPr>
                  <pic:blipFill>
                    <a:blip r:embed="rId23"/>
                    <a:srcRect/>
                    <a:stretch>
                      <a:fillRect/>
                    </a:stretch>
                  </pic:blipFill>
                  <pic:spPr bwMode="auto">
                    <a:xfrm>
                      <a:off x="0" y="0"/>
                      <a:ext cx="6078220" cy="2759075"/>
                    </a:xfrm>
                    <a:prstGeom prst="rect">
                      <a:avLst/>
                    </a:prstGeom>
                    <a:noFill/>
                    <a:ln w="9525">
                      <a:noFill/>
                      <a:miter lim="800000"/>
                      <a:headEnd/>
                      <a:tailEnd/>
                    </a:ln>
                  </pic:spPr>
                </pic:pic>
              </a:graphicData>
            </a:graphic>
          </wp:inline>
        </w:drawing>
      </w:r>
    </w:p>
    <w:p w:rsidR="000B433A" w:rsidRPr="005F5D9D" w:rsidRDefault="000B433A" w:rsidP="005024AF">
      <w:pPr>
        <w:pStyle w:val="Lgende"/>
        <w:jc w:val="both"/>
        <w:rPr>
          <w:rFonts w:cs="Calibri"/>
          <w:lang w:val="de-DE"/>
        </w:rPr>
      </w:pPr>
      <w:r>
        <w:rPr>
          <w:lang w:val="de-DE"/>
        </w:rPr>
        <w:t>Abbildung 9: Entwicklung der NH3-Emissionen nach Emissionsquelle</w:t>
      </w:r>
    </w:p>
    <w:p w:rsidR="000B433A" w:rsidRPr="00D07F58" w:rsidRDefault="000B433A" w:rsidP="005024AF">
      <w:pPr>
        <w:pStyle w:val="Lgende"/>
        <w:keepNext/>
        <w:rPr>
          <w:lang w:val="de-DE"/>
        </w:rPr>
      </w:pPr>
      <w:r>
        <w:rPr>
          <w:lang w:val="de-DE"/>
        </w:rPr>
        <w:t xml:space="preserve">Tabelle </w:t>
      </w:r>
      <w:r w:rsidR="005A6B21">
        <w:rPr>
          <w:lang w:val="de-DE"/>
        </w:rPr>
        <w:fldChar w:fldCharType="begin"/>
      </w:r>
      <w:r>
        <w:rPr>
          <w:lang w:val="de-DE"/>
        </w:rPr>
        <w:instrText xml:space="preserve"> SEQ Tableau \* ARABIC </w:instrText>
      </w:r>
      <w:r w:rsidR="005A6B21">
        <w:rPr>
          <w:lang w:val="de-DE"/>
        </w:rPr>
        <w:fldChar w:fldCharType="separate"/>
      </w:r>
      <w:r>
        <w:rPr>
          <w:lang w:val="de-DE"/>
        </w:rPr>
        <w:t>5</w:t>
      </w:r>
      <w:r w:rsidR="005A6B21">
        <w:rPr>
          <w:lang w:val="de-DE"/>
        </w:rPr>
        <w:fldChar w:fldCharType="end"/>
      </w:r>
      <w:r>
        <w:rPr>
          <w:lang w:val="de-DE"/>
        </w:rPr>
        <w:t>: Entwicklung der NH3-Emissionen nach Emissionsquelle (in kt)</w:t>
      </w:r>
    </w:p>
    <w:tbl>
      <w:tblPr>
        <w:tblW w:w="9259" w:type="dxa"/>
        <w:tblInd w:w="70" w:type="dxa"/>
        <w:tblCellMar>
          <w:left w:w="70" w:type="dxa"/>
          <w:right w:w="70" w:type="dxa"/>
        </w:tblCellMar>
        <w:tblLook w:val="00A0"/>
      </w:tblPr>
      <w:tblGrid>
        <w:gridCol w:w="1777"/>
        <w:gridCol w:w="691"/>
        <w:gridCol w:w="691"/>
        <w:gridCol w:w="691"/>
        <w:gridCol w:w="691"/>
        <w:gridCol w:w="691"/>
        <w:gridCol w:w="691"/>
        <w:gridCol w:w="691"/>
        <w:gridCol w:w="691"/>
        <w:gridCol w:w="691"/>
        <w:gridCol w:w="691"/>
        <w:gridCol w:w="691"/>
        <w:gridCol w:w="735"/>
      </w:tblGrid>
      <w:tr w:rsidR="000B433A" w:rsidRPr="005759E4" w:rsidTr="00BB673C">
        <w:trPr>
          <w:trHeight w:val="275"/>
        </w:trPr>
        <w:tc>
          <w:tcPr>
            <w:tcW w:w="956" w:type="dxa"/>
            <w:tcBorders>
              <w:top w:val="nil"/>
              <w:left w:val="nil"/>
              <w:bottom w:val="nil"/>
              <w:right w:val="nil"/>
            </w:tcBorders>
            <w:noWrap/>
            <w:vAlign w:val="bottom"/>
          </w:tcPr>
          <w:p w:rsidR="000B433A" w:rsidRPr="009D3BDA" w:rsidRDefault="000B433A" w:rsidP="000A7B30">
            <w:pPr>
              <w:spacing w:after="0" w:line="240" w:lineRule="auto"/>
              <w:rPr>
                <w:lang w:val="de-DE"/>
              </w:rPr>
            </w:pPr>
          </w:p>
        </w:tc>
        <w:tc>
          <w:tcPr>
            <w:tcW w:w="688" w:type="dxa"/>
            <w:tcBorders>
              <w:top w:val="single" w:sz="4" w:space="0" w:color="auto"/>
              <w:left w:val="single" w:sz="4" w:space="0" w:color="auto"/>
              <w:bottom w:val="single" w:sz="4" w:space="0" w:color="auto"/>
              <w:right w:val="single" w:sz="4" w:space="0" w:color="auto"/>
            </w:tcBorders>
            <w:shd w:val="clear" w:color="000000" w:fill="4F81BD"/>
            <w:noWrap/>
            <w:vAlign w:val="bottom"/>
          </w:tcPr>
          <w:p w:rsidR="000B433A" w:rsidRPr="009D3BDA" w:rsidRDefault="000B433A" w:rsidP="000A7B30">
            <w:pPr>
              <w:spacing w:after="0" w:line="240" w:lineRule="auto"/>
              <w:jc w:val="right"/>
              <w:rPr>
                <w:color w:val="FFFFFF"/>
                <w:lang w:val="de-DE"/>
              </w:rPr>
            </w:pPr>
            <w:r>
              <w:rPr>
                <w:color w:val="FFFFFF"/>
                <w:lang w:val="de-DE"/>
              </w:rPr>
              <w:t>1990</w:t>
            </w:r>
          </w:p>
        </w:tc>
        <w:tc>
          <w:tcPr>
            <w:tcW w:w="688" w:type="dxa"/>
            <w:tcBorders>
              <w:top w:val="single" w:sz="4" w:space="0" w:color="auto"/>
              <w:left w:val="nil"/>
              <w:bottom w:val="single" w:sz="4" w:space="0" w:color="auto"/>
              <w:right w:val="single" w:sz="4" w:space="0" w:color="auto"/>
            </w:tcBorders>
            <w:shd w:val="clear" w:color="000000" w:fill="4F81BD"/>
            <w:noWrap/>
            <w:vAlign w:val="bottom"/>
          </w:tcPr>
          <w:p w:rsidR="000B433A" w:rsidRPr="009D3BDA" w:rsidRDefault="000B433A" w:rsidP="000A7B30">
            <w:pPr>
              <w:spacing w:after="0" w:line="240" w:lineRule="auto"/>
              <w:jc w:val="right"/>
              <w:rPr>
                <w:color w:val="FFFFFF"/>
                <w:lang w:val="de-DE"/>
              </w:rPr>
            </w:pPr>
            <w:r>
              <w:rPr>
                <w:color w:val="FFFFFF"/>
                <w:lang w:val="de-DE"/>
              </w:rPr>
              <w:t>1995</w:t>
            </w:r>
          </w:p>
        </w:tc>
        <w:tc>
          <w:tcPr>
            <w:tcW w:w="688" w:type="dxa"/>
            <w:tcBorders>
              <w:top w:val="single" w:sz="4" w:space="0" w:color="auto"/>
              <w:left w:val="nil"/>
              <w:bottom w:val="single" w:sz="4" w:space="0" w:color="auto"/>
              <w:right w:val="single" w:sz="4" w:space="0" w:color="auto"/>
            </w:tcBorders>
            <w:shd w:val="clear" w:color="000000" w:fill="4F81BD"/>
            <w:noWrap/>
            <w:vAlign w:val="bottom"/>
          </w:tcPr>
          <w:p w:rsidR="000B433A" w:rsidRPr="009D3BDA" w:rsidRDefault="000B433A" w:rsidP="000A7B30">
            <w:pPr>
              <w:spacing w:after="0" w:line="240" w:lineRule="auto"/>
              <w:jc w:val="right"/>
              <w:rPr>
                <w:color w:val="FFFFFF"/>
                <w:lang w:val="de-DE"/>
              </w:rPr>
            </w:pPr>
            <w:r>
              <w:rPr>
                <w:color w:val="FFFFFF"/>
                <w:lang w:val="de-DE"/>
              </w:rPr>
              <w:t>2000</w:t>
            </w:r>
          </w:p>
        </w:tc>
        <w:tc>
          <w:tcPr>
            <w:tcW w:w="688" w:type="dxa"/>
            <w:tcBorders>
              <w:top w:val="single" w:sz="4" w:space="0" w:color="auto"/>
              <w:left w:val="nil"/>
              <w:bottom w:val="single" w:sz="4" w:space="0" w:color="auto"/>
              <w:right w:val="single" w:sz="4" w:space="0" w:color="auto"/>
            </w:tcBorders>
            <w:shd w:val="clear" w:color="000000" w:fill="4F81BD"/>
            <w:noWrap/>
            <w:vAlign w:val="bottom"/>
          </w:tcPr>
          <w:p w:rsidR="000B433A" w:rsidRPr="009D3BDA" w:rsidRDefault="000B433A" w:rsidP="000A7B30">
            <w:pPr>
              <w:spacing w:after="0" w:line="240" w:lineRule="auto"/>
              <w:jc w:val="right"/>
              <w:rPr>
                <w:color w:val="FFFFFF"/>
                <w:lang w:val="de-DE"/>
              </w:rPr>
            </w:pPr>
            <w:r>
              <w:rPr>
                <w:color w:val="FFFFFF"/>
                <w:lang w:val="de-DE"/>
              </w:rPr>
              <w:t>2005</w:t>
            </w:r>
          </w:p>
        </w:tc>
        <w:tc>
          <w:tcPr>
            <w:tcW w:w="688" w:type="dxa"/>
            <w:tcBorders>
              <w:top w:val="single" w:sz="4" w:space="0" w:color="auto"/>
              <w:left w:val="nil"/>
              <w:bottom w:val="single" w:sz="4" w:space="0" w:color="auto"/>
              <w:right w:val="single" w:sz="4" w:space="0" w:color="auto"/>
            </w:tcBorders>
            <w:shd w:val="clear" w:color="000000" w:fill="4F81BD"/>
            <w:noWrap/>
            <w:vAlign w:val="bottom"/>
          </w:tcPr>
          <w:p w:rsidR="000B433A" w:rsidRPr="009D3BDA" w:rsidRDefault="000B433A" w:rsidP="000A7B30">
            <w:pPr>
              <w:spacing w:after="0" w:line="240" w:lineRule="auto"/>
              <w:jc w:val="right"/>
              <w:rPr>
                <w:color w:val="FFFFFF"/>
                <w:lang w:val="de-DE"/>
              </w:rPr>
            </w:pPr>
            <w:r>
              <w:rPr>
                <w:color w:val="FFFFFF"/>
                <w:lang w:val="de-DE"/>
              </w:rPr>
              <w:t>2010</w:t>
            </w:r>
          </w:p>
        </w:tc>
        <w:tc>
          <w:tcPr>
            <w:tcW w:w="688" w:type="dxa"/>
            <w:tcBorders>
              <w:top w:val="single" w:sz="4" w:space="0" w:color="auto"/>
              <w:left w:val="nil"/>
              <w:bottom w:val="single" w:sz="4" w:space="0" w:color="auto"/>
              <w:right w:val="single" w:sz="4" w:space="0" w:color="auto"/>
            </w:tcBorders>
            <w:shd w:val="clear" w:color="000000" w:fill="4F81BD"/>
            <w:noWrap/>
            <w:vAlign w:val="bottom"/>
          </w:tcPr>
          <w:p w:rsidR="000B433A" w:rsidRPr="009D3BDA" w:rsidRDefault="000B433A" w:rsidP="000A7B30">
            <w:pPr>
              <w:spacing w:after="0" w:line="240" w:lineRule="auto"/>
              <w:jc w:val="right"/>
              <w:rPr>
                <w:color w:val="FFFFFF"/>
                <w:lang w:val="de-DE"/>
              </w:rPr>
            </w:pPr>
            <w:r>
              <w:rPr>
                <w:color w:val="FFFFFF"/>
                <w:lang w:val="de-DE"/>
              </w:rPr>
              <w:t>2011</w:t>
            </w:r>
          </w:p>
        </w:tc>
        <w:tc>
          <w:tcPr>
            <w:tcW w:w="688" w:type="dxa"/>
            <w:tcBorders>
              <w:top w:val="single" w:sz="4" w:space="0" w:color="auto"/>
              <w:left w:val="nil"/>
              <w:bottom w:val="single" w:sz="4" w:space="0" w:color="auto"/>
              <w:right w:val="single" w:sz="4" w:space="0" w:color="auto"/>
            </w:tcBorders>
            <w:shd w:val="clear" w:color="000000" w:fill="4F81BD"/>
            <w:noWrap/>
            <w:vAlign w:val="bottom"/>
          </w:tcPr>
          <w:p w:rsidR="000B433A" w:rsidRPr="009D3BDA" w:rsidRDefault="000B433A" w:rsidP="000A7B30">
            <w:pPr>
              <w:spacing w:after="0" w:line="240" w:lineRule="auto"/>
              <w:jc w:val="right"/>
              <w:rPr>
                <w:color w:val="FFFFFF"/>
                <w:lang w:val="de-DE"/>
              </w:rPr>
            </w:pPr>
            <w:r>
              <w:rPr>
                <w:color w:val="FFFFFF"/>
                <w:lang w:val="de-DE"/>
              </w:rPr>
              <w:t>2012</w:t>
            </w:r>
          </w:p>
        </w:tc>
        <w:tc>
          <w:tcPr>
            <w:tcW w:w="688" w:type="dxa"/>
            <w:tcBorders>
              <w:top w:val="single" w:sz="4" w:space="0" w:color="auto"/>
              <w:left w:val="nil"/>
              <w:bottom w:val="single" w:sz="4" w:space="0" w:color="auto"/>
              <w:right w:val="single" w:sz="4" w:space="0" w:color="auto"/>
            </w:tcBorders>
            <w:shd w:val="clear" w:color="000000" w:fill="4F81BD"/>
            <w:noWrap/>
            <w:vAlign w:val="bottom"/>
          </w:tcPr>
          <w:p w:rsidR="000B433A" w:rsidRPr="009D3BDA" w:rsidRDefault="000B433A" w:rsidP="000A7B30">
            <w:pPr>
              <w:spacing w:after="0" w:line="240" w:lineRule="auto"/>
              <w:jc w:val="right"/>
              <w:rPr>
                <w:color w:val="FFFFFF"/>
                <w:lang w:val="de-DE"/>
              </w:rPr>
            </w:pPr>
            <w:r>
              <w:rPr>
                <w:color w:val="FFFFFF"/>
                <w:lang w:val="de-DE"/>
              </w:rPr>
              <w:t>2013</w:t>
            </w:r>
          </w:p>
        </w:tc>
        <w:tc>
          <w:tcPr>
            <w:tcW w:w="688" w:type="dxa"/>
            <w:tcBorders>
              <w:top w:val="single" w:sz="4" w:space="0" w:color="auto"/>
              <w:left w:val="nil"/>
              <w:bottom w:val="single" w:sz="4" w:space="0" w:color="auto"/>
              <w:right w:val="single" w:sz="4" w:space="0" w:color="auto"/>
            </w:tcBorders>
            <w:shd w:val="clear" w:color="000000" w:fill="4F81BD"/>
            <w:noWrap/>
            <w:vAlign w:val="bottom"/>
          </w:tcPr>
          <w:p w:rsidR="000B433A" w:rsidRPr="009D3BDA" w:rsidRDefault="000B433A" w:rsidP="000A7B30">
            <w:pPr>
              <w:spacing w:after="0" w:line="240" w:lineRule="auto"/>
              <w:jc w:val="right"/>
              <w:rPr>
                <w:color w:val="FFFFFF"/>
                <w:lang w:val="de-DE"/>
              </w:rPr>
            </w:pPr>
            <w:r>
              <w:rPr>
                <w:color w:val="FFFFFF"/>
                <w:lang w:val="de-DE"/>
              </w:rPr>
              <w:t>2014</w:t>
            </w:r>
          </w:p>
        </w:tc>
        <w:tc>
          <w:tcPr>
            <w:tcW w:w="688" w:type="dxa"/>
            <w:tcBorders>
              <w:top w:val="single" w:sz="4" w:space="0" w:color="auto"/>
              <w:left w:val="nil"/>
              <w:bottom w:val="single" w:sz="4" w:space="0" w:color="auto"/>
              <w:right w:val="single" w:sz="4" w:space="0" w:color="auto"/>
            </w:tcBorders>
            <w:shd w:val="clear" w:color="000000" w:fill="4F81BD"/>
            <w:noWrap/>
            <w:vAlign w:val="bottom"/>
          </w:tcPr>
          <w:p w:rsidR="000B433A" w:rsidRPr="009D3BDA" w:rsidRDefault="000B433A" w:rsidP="000A7B30">
            <w:pPr>
              <w:spacing w:after="0" w:line="240" w:lineRule="auto"/>
              <w:jc w:val="right"/>
              <w:rPr>
                <w:color w:val="FFFFFF"/>
                <w:lang w:val="de-DE"/>
              </w:rPr>
            </w:pPr>
            <w:r>
              <w:rPr>
                <w:color w:val="FFFFFF"/>
                <w:lang w:val="de-DE"/>
              </w:rPr>
              <w:t>2015</w:t>
            </w:r>
          </w:p>
        </w:tc>
        <w:tc>
          <w:tcPr>
            <w:tcW w:w="688" w:type="dxa"/>
            <w:tcBorders>
              <w:top w:val="single" w:sz="4" w:space="0" w:color="auto"/>
              <w:left w:val="nil"/>
              <w:bottom w:val="single" w:sz="4" w:space="0" w:color="auto"/>
              <w:right w:val="single" w:sz="4" w:space="0" w:color="auto"/>
            </w:tcBorders>
            <w:shd w:val="clear" w:color="000000" w:fill="4F81BD"/>
            <w:noWrap/>
            <w:vAlign w:val="bottom"/>
          </w:tcPr>
          <w:p w:rsidR="000B433A" w:rsidRPr="009D3BDA" w:rsidRDefault="000B433A" w:rsidP="000A7B30">
            <w:pPr>
              <w:spacing w:after="0" w:line="240" w:lineRule="auto"/>
              <w:jc w:val="right"/>
              <w:rPr>
                <w:color w:val="FFFFFF"/>
                <w:lang w:val="de-DE"/>
              </w:rPr>
            </w:pPr>
            <w:r>
              <w:rPr>
                <w:color w:val="FFFFFF"/>
                <w:lang w:val="de-DE"/>
              </w:rPr>
              <w:t>2016</w:t>
            </w:r>
          </w:p>
        </w:tc>
        <w:tc>
          <w:tcPr>
            <w:tcW w:w="735" w:type="dxa"/>
            <w:tcBorders>
              <w:top w:val="single" w:sz="4" w:space="0" w:color="auto"/>
              <w:left w:val="nil"/>
              <w:bottom w:val="single" w:sz="4" w:space="0" w:color="auto"/>
              <w:right w:val="single" w:sz="4" w:space="0" w:color="auto"/>
            </w:tcBorders>
            <w:shd w:val="clear" w:color="000000" w:fill="4F81BD"/>
            <w:noWrap/>
            <w:vAlign w:val="bottom"/>
          </w:tcPr>
          <w:p w:rsidR="000B433A" w:rsidRPr="009D3BDA" w:rsidRDefault="000B433A" w:rsidP="000A7B30">
            <w:pPr>
              <w:spacing w:after="0" w:line="240" w:lineRule="auto"/>
              <w:jc w:val="right"/>
              <w:rPr>
                <w:color w:val="FFFFFF"/>
                <w:lang w:val="de-DE"/>
              </w:rPr>
            </w:pPr>
            <w:r>
              <w:rPr>
                <w:color w:val="FFFFFF"/>
                <w:lang w:val="de-DE"/>
              </w:rPr>
              <w:t>2017</w:t>
            </w:r>
          </w:p>
        </w:tc>
      </w:tr>
      <w:tr w:rsidR="000B433A" w:rsidRPr="005759E4" w:rsidTr="00BB673C">
        <w:trPr>
          <w:trHeight w:val="275"/>
        </w:trPr>
        <w:tc>
          <w:tcPr>
            <w:tcW w:w="956" w:type="dxa"/>
            <w:tcBorders>
              <w:top w:val="single" w:sz="4" w:space="0" w:color="auto"/>
              <w:left w:val="single" w:sz="4" w:space="0" w:color="auto"/>
              <w:bottom w:val="single" w:sz="4" w:space="0" w:color="auto"/>
              <w:right w:val="single" w:sz="4" w:space="0" w:color="auto"/>
            </w:tcBorders>
            <w:shd w:val="clear" w:color="000000" w:fill="4F81BD"/>
            <w:noWrap/>
            <w:vAlign w:val="bottom"/>
          </w:tcPr>
          <w:p w:rsidR="000B433A" w:rsidRPr="009D3BDA" w:rsidRDefault="000B433A" w:rsidP="000A7B30">
            <w:pPr>
              <w:spacing w:after="0" w:line="240" w:lineRule="auto"/>
              <w:rPr>
                <w:color w:val="FFFFFF"/>
                <w:lang w:val="de-DE"/>
              </w:rPr>
            </w:pPr>
            <w:r>
              <w:rPr>
                <w:color w:val="FFFFFF"/>
                <w:lang w:val="de-DE"/>
              </w:rPr>
              <w:t>Energie:</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0.45</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0.33</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0.27</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0.26</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0.25</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0.26</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0.23</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0.21</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0.16</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0.15</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0.16</w:t>
            </w:r>
          </w:p>
        </w:tc>
        <w:tc>
          <w:tcPr>
            <w:tcW w:w="735"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0.16</w:t>
            </w:r>
          </w:p>
        </w:tc>
      </w:tr>
      <w:tr w:rsidR="000B433A" w:rsidRPr="005759E4" w:rsidTr="00BB673C">
        <w:trPr>
          <w:trHeight w:val="275"/>
        </w:trPr>
        <w:tc>
          <w:tcPr>
            <w:tcW w:w="956" w:type="dxa"/>
            <w:tcBorders>
              <w:top w:val="nil"/>
              <w:left w:val="single" w:sz="4" w:space="0" w:color="auto"/>
              <w:bottom w:val="single" w:sz="4" w:space="0" w:color="auto"/>
              <w:right w:val="single" w:sz="4" w:space="0" w:color="auto"/>
            </w:tcBorders>
            <w:shd w:val="clear" w:color="000000" w:fill="4F81BD"/>
            <w:noWrap/>
            <w:vAlign w:val="bottom"/>
          </w:tcPr>
          <w:p w:rsidR="000B433A" w:rsidRPr="009D3BDA" w:rsidRDefault="000B433A" w:rsidP="000A7B30">
            <w:pPr>
              <w:spacing w:after="0" w:line="240" w:lineRule="auto"/>
              <w:rPr>
                <w:color w:val="FFFFFF"/>
                <w:lang w:val="de-DE"/>
              </w:rPr>
            </w:pPr>
            <w:r>
              <w:rPr>
                <w:color w:val="FFFFFF"/>
                <w:lang w:val="de-DE"/>
              </w:rPr>
              <w:t>Industrie</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0.58</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0.67</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0.80</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0.99</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0.87</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1.39</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0.94</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1.14</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0.92</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0.86</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0.98</w:t>
            </w:r>
          </w:p>
        </w:tc>
        <w:tc>
          <w:tcPr>
            <w:tcW w:w="735"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0.96</w:t>
            </w:r>
          </w:p>
        </w:tc>
      </w:tr>
      <w:tr w:rsidR="000B433A" w:rsidRPr="005759E4" w:rsidTr="00BB673C">
        <w:trPr>
          <w:trHeight w:val="275"/>
        </w:trPr>
        <w:tc>
          <w:tcPr>
            <w:tcW w:w="956" w:type="dxa"/>
            <w:tcBorders>
              <w:top w:val="nil"/>
              <w:left w:val="single" w:sz="4" w:space="0" w:color="auto"/>
              <w:bottom w:val="single" w:sz="4" w:space="0" w:color="auto"/>
              <w:right w:val="single" w:sz="4" w:space="0" w:color="auto"/>
            </w:tcBorders>
            <w:shd w:val="clear" w:color="000000" w:fill="4F81BD"/>
            <w:noWrap/>
            <w:vAlign w:val="bottom"/>
          </w:tcPr>
          <w:p w:rsidR="000B433A" w:rsidRPr="009D3BDA" w:rsidRDefault="000B433A" w:rsidP="000A7B30">
            <w:pPr>
              <w:spacing w:after="0" w:line="240" w:lineRule="auto"/>
              <w:rPr>
                <w:color w:val="FFFFFF"/>
                <w:lang w:val="de-DE"/>
              </w:rPr>
            </w:pPr>
            <w:r>
              <w:rPr>
                <w:color w:val="FFFFFF"/>
                <w:lang w:val="de-DE"/>
              </w:rPr>
              <w:t>Wohnen</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0.26</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0.40</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0.34</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0.46</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0.73</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0.47</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0.58</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0.72</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0.46</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0.60</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0.71</w:t>
            </w:r>
          </w:p>
        </w:tc>
        <w:tc>
          <w:tcPr>
            <w:tcW w:w="735"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0.65</w:t>
            </w:r>
          </w:p>
        </w:tc>
      </w:tr>
      <w:tr w:rsidR="000B433A" w:rsidRPr="005759E4" w:rsidTr="00BB673C">
        <w:trPr>
          <w:trHeight w:val="275"/>
        </w:trPr>
        <w:tc>
          <w:tcPr>
            <w:tcW w:w="956" w:type="dxa"/>
            <w:tcBorders>
              <w:top w:val="nil"/>
              <w:left w:val="single" w:sz="4" w:space="0" w:color="auto"/>
              <w:bottom w:val="single" w:sz="4" w:space="0" w:color="auto"/>
              <w:right w:val="single" w:sz="4" w:space="0" w:color="auto"/>
            </w:tcBorders>
            <w:shd w:val="clear" w:color="000000" w:fill="4F81BD"/>
            <w:noWrap/>
            <w:vAlign w:val="bottom"/>
          </w:tcPr>
          <w:p w:rsidR="000B433A" w:rsidRPr="009D3BDA" w:rsidRDefault="000B433A" w:rsidP="000A7B30">
            <w:pPr>
              <w:spacing w:after="0" w:line="240" w:lineRule="auto"/>
              <w:rPr>
                <w:color w:val="FFFFFF"/>
                <w:lang w:val="de-DE"/>
              </w:rPr>
            </w:pPr>
            <w:r>
              <w:rPr>
                <w:color w:val="FFFFFF"/>
                <w:lang w:val="de-DE"/>
              </w:rPr>
              <w:t>Dienstleistungen</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0.01</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0.01</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0.01</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0.01</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0.02</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0.02</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0.02</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0.02</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0.03</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0.03</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0.03</w:t>
            </w:r>
          </w:p>
        </w:tc>
        <w:tc>
          <w:tcPr>
            <w:tcW w:w="735"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0.03</w:t>
            </w:r>
          </w:p>
        </w:tc>
      </w:tr>
      <w:tr w:rsidR="000B433A" w:rsidRPr="005759E4" w:rsidTr="00BB673C">
        <w:trPr>
          <w:trHeight w:val="275"/>
        </w:trPr>
        <w:tc>
          <w:tcPr>
            <w:tcW w:w="956" w:type="dxa"/>
            <w:tcBorders>
              <w:top w:val="nil"/>
              <w:left w:val="single" w:sz="4" w:space="0" w:color="auto"/>
              <w:bottom w:val="single" w:sz="4" w:space="0" w:color="auto"/>
              <w:right w:val="single" w:sz="4" w:space="0" w:color="auto"/>
            </w:tcBorders>
            <w:shd w:val="clear" w:color="000000" w:fill="4F81BD"/>
            <w:noWrap/>
            <w:vAlign w:val="bottom"/>
          </w:tcPr>
          <w:p w:rsidR="000B433A" w:rsidRPr="009D3BDA" w:rsidRDefault="000B433A" w:rsidP="000A7B30">
            <w:pPr>
              <w:spacing w:after="0" w:line="240" w:lineRule="auto"/>
              <w:rPr>
                <w:color w:val="FFFFFF"/>
                <w:lang w:val="de-DE"/>
              </w:rPr>
            </w:pPr>
            <w:r>
              <w:rPr>
                <w:color w:val="FFFFFF"/>
                <w:lang w:val="de-DE"/>
              </w:rPr>
              <w:t>Transport</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0.27</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0.94</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1.11</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0.81</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0.46</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0.41</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0.37</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0.35</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0.34</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0.35</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0.35</w:t>
            </w:r>
          </w:p>
        </w:tc>
        <w:tc>
          <w:tcPr>
            <w:tcW w:w="735"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0.35</w:t>
            </w:r>
          </w:p>
        </w:tc>
      </w:tr>
      <w:tr w:rsidR="000B433A" w:rsidRPr="005759E4" w:rsidTr="00BB673C">
        <w:trPr>
          <w:trHeight w:val="275"/>
        </w:trPr>
        <w:tc>
          <w:tcPr>
            <w:tcW w:w="956" w:type="dxa"/>
            <w:tcBorders>
              <w:top w:val="nil"/>
              <w:left w:val="single" w:sz="4" w:space="0" w:color="auto"/>
              <w:bottom w:val="single" w:sz="4" w:space="0" w:color="auto"/>
              <w:right w:val="single" w:sz="4" w:space="0" w:color="auto"/>
            </w:tcBorders>
            <w:shd w:val="clear" w:color="000000" w:fill="4F81BD"/>
            <w:noWrap/>
            <w:vAlign w:val="bottom"/>
          </w:tcPr>
          <w:p w:rsidR="000B433A" w:rsidRPr="009D3BDA" w:rsidRDefault="000B433A" w:rsidP="000A7B30">
            <w:pPr>
              <w:spacing w:after="0" w:line="240" w:lineRule="auto"/>
              <w:rPr>
                <w:color w:val="FFFFFF"/>
                <w:lang w:val="de-DE"/>
              </w:rPr>
            </w:pPr>
            <w:r>
              <w:rPr>
                <w:color w:val="FFFFFF"/>
                <w:lang w:val="de-DE"/>
              </w:rPr>
              <w:t>Landwirtschaft</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33.11</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32.37</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32.06</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28.96</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28.06</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27.26</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27.02</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27.38</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27.71</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27.39</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26.94</w:t>
            </w:r>
          </w:p>
        </w:tc>
        <w:tc>
          <w:tcPr>
            <w:tcW w:w="735"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26.25</w:t>
            </w:r>
          </w:p>
        </w:tc>
      </w:tr>
      <w:tr w:rsidR="000B433A" w:rsidRPr="005759E4" w:rsidTr="00BB673C">
        <w:trPr>
          <w:trHeight w:val="289"/>
        </w:trPr>
        <w:tc>
          <w:tcPr>
            <w:tcW w:w="956" w:type="dxa"/>
            <w:tcBorders>
              <w:top w:val="nil"/>
              <w:left w:val="single" w:sz="4" w:space="0" w:color="auto"/>
              <w:bottom w:val="double" w:sz="6" w:space="0" w:color="auto"/>
              <w:right w:val="single" w:sz="4" w:space="0" w:color="auto"/>
            </w:tcBorders>
            <w:shd w:val="clear" w:color="000000" w:fill="4F81BD"/>
            <w:noWrap/>
            <w:vAlign w:val="bottom"/>
          </w:tcPr>
          <w:p w:rsidR="000B433A" w:rsidRPr="009D3BDA" w:rsidRDefault="000B433A" w:rsidP="000A7B30">
            <w:pPr>
              <w:spacing w:after="0" w:line="240" w:lineRule="auto"/>
              <w:rPr>
                <w:color w:val="FFFFFF"/>
                <w:lang w:val="de-DE"/>
              </w:rPr>
            </w:pPr>
            <w:r>
              <w:rPr>
                <w:color w:val="FFFFFF"/>
                <w:lang w:val="de-DE"/>
              </w:rPr>
              <w:t>Abfälle</w:t>
            </w:r>
          </w:p>
        </w:tc>
        <w:tc>
          <w:tcPr>
            <w:tcW w:w="688" w:type="dxa"/>
            <w:tcBorders>
              <w:top w:val="nil"/>
              <w:left w:val="nil"/>
              <w:bottom w:val="double" w:sz="6"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0.00</w:t>
            </w:r>
          </w:p>
        </w:tc>
        <w:tc>
          <w:tcPr>
            <w:tcW w:w="688" w:type="dxa"/>
            <w:tcBorders>
              <w:top w:val="nil"/>
              <w:left w:val="nil"/>
              <w:bottom w:val="double" w:sz="6"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0.00</w:t>
            </w:r>
          </w:p>
        </w:tc>
        <w:tc>
          <w:tcPr>
            <w:tcW w:w="688" w:type="dxa"/>
            <w:tcBorders>
              <w:top w:val="nil"/>
              <w:left w:val="nil"/>
              <w:bottom w:val="double" w:sz="6"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0.06</w:t>
            </w:r>
          </w:p>
        </w:tc>
        <w:tc>
          <w:tcPr>
            <w:tcW w:w="688" w:type="dxa"/>
            <w:tcBorders>
              <w:top w:val="nil"/>
              <w:left w:val="nil"/>
              <w:bottom w:val="double" w:sz="6"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0.10</w:t>
            </w:r>
          </w:p>
        </w:tc>
        <w:tc>
          <w:tcPr>
            <w:tcW w:w="688" w:type="dxa"/>
            <w:tcBorders>
              <w:top w:val="nil"/>
              <w:left w:val="nil"/>
              <w:bottom w:val="double" w:sz="6"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0.20</w:t>
            </w:r>
          </w:p>
        </w:tc>
        <w:tc>
          <w:tcPr>
            <w:tcW w:w="688" w:type="dxa"/>
            <w:tcBorders>
              <w:top w:val="nil"/>
              <w:left w:val="nil"/>
              <w:bottom w:val="double" w:sz="6"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0.23</w:t>
            </w:r>
          </w:p>
        </w:tc>
        <w:tc>
          <w:tcPr>
            <w:tcW w:w="688" w:type="dxa"/>
            <w:tcBorders>
              <w:top w:val="nil"/>
              <w:left w:val="nil"/>
              <w:bottom w:val="double" w:sz="6"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0.22</w:t>
            </w:r>
          </w:p>
        </w:tc>
        <w:tc>
          <w:tcPr>
            <w:tcW w:w="688" w:type="dxa"/>
            <w:tcBorders>
              <w:top w:val="nil"/>
              <w:left w:val="nil"/>
              <w:bottom w:val="double" w:sz="6"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0.17</w:t>
            </w:r>
          </w:p>
        </w:tc>
        <w:tc>
          <w:tcPr>
            <w:tcW w:w="688" w:type="dxa"/>
            <w:tcBorders>
              <w:top w:val="nil"/>
              <w:left w:val="nil"/>
              <w:bottom w:val="double" w:sz="6"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0.16</w:t>
            </w:r>
          </w:p>
        </w:tc>
        <w:tc>
          <w:tcPr>
            <w:tcW w:w="688" w:type="dxa"/>
            <w:tcBorders>
              <w:top w:val="nil"/>
              <w:left w:val="nil"/>
              <w:bottom w:val="double" w:sz="6"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0.17</w:t>
            </w:r>
          </w:p>
        </w:tc>
        <w:tc>
          <w:tcPr>
            <w:tcW w:w="688" w:type="dxa"/>
            <w:tcBorders>
              <w:top w:val="nil"/>
              <w:left w:val="nil"/>
              <w:bottom w:val="double" w:sz="6"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0.13</w:t>
            </w:r>
          </w:p>
        </w:tc>
        <w:tc>
          <w:tcPr>
            <w:tcW w:w="735" w:type="dxa"/>
            <w:tcBorders>
              <w:top w:val="nil"/>
              <w:left w:val="nil"/>
              <w:bottom w:val="double" w:sz="6" w:space="0" w:color="auto"/>
              <w:right w:val="single" w:sz="4" w:space="0" w:color="auto"/>
            </w:tcBorders>
            <w:noWrap/>
            <w:vAlign w:val="bottom"/>
          </w:tcPr>
          <w:p w:rsidR="000B433A" w:rsidRPr="009D3BDA" w:rsidRDefault="000B433A" w:rsidP="000A7B30">
            <w:pPr>
              <w:spacing w:after="0" w:line="240" w:lineRule="auto"/>
              <w:jc w:val="right"/>
              <w:rPr>
                <w:color w:val="000000"/>
                <w:lang w:val="de-DE"/>
              </w:rPr>
            </w:pPr>
            <w:r>
              <w:rPr>
                <w:color w:val="000000"/>
                <w:lang w:val="de-DE"/>
              </w:rPr>
              <w:t>0.16</w:t>
            </w:r>
          </w:p>
        </w:tc>
      </w:tr>
      <w:tr w:rsidR="000B433A" w:rsidRPr="005759E4" w:rsidTr="00BB673C">
        <w:trPr>
          <w:trHeight w:val="289"/>
        </w:trPr>
        <w:tc>
          <w:tcPr>
            <w:tcW w:w="956" w:type="dxa"/>
            <w:tcBorders>
              <w:top w:val="nil"/>
              <w:left w:val="single" w:sz="4" w:space="0" w:color="auto"/>
              <w:bottom w:val="single" w:sz="4" w:space="0" w:color="auto"/>
              <w:right w:val="single" w:sz="4" w:space="0" w:color="auto"/>
            </w:tcBorders>
            <w:shd w:val="clear" w:color="000000" w:fill="4F81BD"/>
            <w:noWrap/>
            <w:vAlign w:val="bottom"/>
          </w:tcPr>
          <w:p w:rsidR="000B433A" w:rsidRPr="009D3BDA" w:rsidRDefault="000B433A" w:rsidP="000A7B30">
            <w:pPr>
              <w:spacing w:after="0" w:line="240" w:lineRule="auto"/>
              <w:rPr>
                <w:b/>
                <w:bCs/>
                <w:color w:val="FFFFFF"/>
                <w:lang w:val="de-DE"/>
              </w:rPr>
            </w:pPr>
            <w:r>
              <w:rPr>
                <w:b/>
                <w:color w:val="FFFFFF"/>
                <w:lang w:val="de-DE"/>
              </w:rPr>
              <w:t>Gesamt</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b/>
                <w:bCs/>
                <w:color w:val="000000"/>
                <w:lang w:val="de-DE"/>
              </w:rPr>
            </w:pPr>
            <w:r>
              <w:rPr>
                <w:b/>
                <w:color w:val="000000"/>
                <w:lang w:val="de-DE"/>
              </w:rPr>
              <w:t>34.68</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b/>
                <w:bCs/>
                <w:color w:val="000000"/>
                <w:lang w:val="de-DE"/>
              </w:rPr>
            </w:pPr>
            <w:r>
              <w:rPr>
                <w:b/>
                <w:color w:val="000000"/>
                <w:lang w:val="de-DE"/>
              </w:rPr>
              <w:t>34.70</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b/>
                <w:bCs/>
                <w:color w:val="000000"/>
                <w:lang w:val="de-DE"/>
              </w:rPr>
            </w:pPr>
            <w:r>
              <w:rPr>
                <w:b/>
                <w:color w:val="000000"/>
                <w:lang w:val="de-DE"/>
              </w:rPr>
              <w:t>34.65</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b/>
                <w:bCs/>
                <w:color w:val="000000"/>
                <w:lang w:val="de-DE"/>
              </w:rPr>
            </w:pPr>
            <w:r>
              <w:rPr>
                <w:b/>
                <w:color w:val="000000"/>
                <w:lang w:val="de-DE"/>
              </w:rPr>
              <w:t>31.59</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b/>
                <w:bCs/>
                <w:color w:val="000000"/>
                <w:lang w:val="de-DE"/>
              </w:rPr>
            </w:pPr>
            <w:r>
              <w:rPr>
                <w:b/>
                <w:color w:val="000000"/>
                <w:lang w:val="de-DE"/>
              </w:rPr>
              <w:t>30.59</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b/>
                <w:bCs/>
                <w:color w:val="000000"/>
                <w:lang w:val="de-DE"/>
              </w:rPr>
            </w:pPr>
            <w:r>
              <w:rPr>
                <w:b/>
                <w:color w:val="000000"/>
                <w:lang w:val="de-DE"/>
              </w:rPr>
              <w:t>30.03</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b/>
                <w:bCs/>
                <w:color w:val="000000"/>
                <w:lang w:val="de-DE"/>
              </w:rPr>
            </w:pPr>
            <w:r>
              <w:rPr>
                <w:b/>
                <w:color w:val="000000"/>
                <w:lang w:val="de-DE"/>
              </w:rPr>
              <w:t>29.38</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b/>
                <w:bCs/>
                <w:color w:val="000000"/>
                <w:lang w:val="de-DE"/>
              </w:rPr>
            </w:pPr>
            <w:r>
              <w:rPr>
                <w:b/>
                <w:color w:val="000000"/>
                <w:lang w:val="de-DE"/>
              </w:rPr>
              <w:t>29.98</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b/>
                <w:bCs/>
                <w:color w:val="000000"/>
                <w:lang w:val="de-DE"/>
              </w:rPr>
            </w:pPr>
            <w:r>
              <w:rPr>
                <w:b/>
                <w:color w:val="000000"/>
                <w:lang w:val="de-DE"/>
              </w:rPr>
              <w:t>29.76</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b/>
                <w:bCs/>
                <w:color w:val="000000"/>
                <w:lang w:val="de-DE"/>
              </w:rPr>
            </w:pPr>
            <w:r>
              <w:rPr>
                <w:b/>
                <w:color w:val="000000"/>
                <w:lang w:val="de-DE"/>
              </w:rPr>
              <w:t>29.54</w:t>
            </w:r>
          </w:p>
        </w:tc>
        <w:tc>
          <w:tcPr>
            <w:tcW w:w="688"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b/>
                <w:bCs/>
                <w:color w:val="000000"/>
                <w:lang w:val="de-DE"/>
              </w:rPr>
            </w:pPr>
            <w:r>
              <w:rPr>
                <w:b/>
                <w:color w:val="000000"/>
                <w:lang w:val="de-DE"/>
              </w:rPr>
              <w:t>29.30</w:t>
            </w:r>
          </w:p>
        </w:tc>
        <w:tc>
          <w:tcPr>
            <w:tcW w:w="735" w:type="dxa"/>
            <w:tcBorders>
              <w:top w:val="nil"/>
              <w:left w:val="nil"/>
              <w:bottom w:val="single" w:sz="4" w:space="0" w:color="auto"/>
              <w:right w:val="single" w:sz="4" w:space="0" w:color="auto"/>
            </w:tcBorders>
            <w:noWrap/>
            <w:vAlign w:val="bottom"/>
          </w:tcPr>
          <w:p w:rsidR="000B433A" w:rsidRPr="009D3BDA" w:rsidRDefault="000B433A" w:rsidP="000A7B30">
            <w:pPr>
              <w:spacing w:after="0" w:line="240" w:lineRule="auto"/>
              <w:jc w:val="right"/>
              <w:rPr>
                <w:b/>
                <w:bCs/>
                <w:color w:val="000000"/>
                <w:lang w:val="de-DE"/>
              </w:rPr>
            </w:pPr>
            <w:r>
              <w:rPr>
                <w:b/>
                <w:color w:val="000000"/>
                <w:lang w:val="de-DE"/>
              </w:rPr>
              <w:t>28.56</w:t>
            </w:r>
          </w:p>
        </w:tc>
      </w:tr>
    </w:tbl>
    <w:p w:rsidR="000B433A" w:rsidRPr="005F5D9D" w:rsidRDefault="000B433A" w:rsidP="00662BE1">
      <w:pPr>
        <w:pStyle w:val="Sansinterligne"/>
        <w:rPr>
          <w:rFonts w:ascii="Calibri" w:hAnsi="Calibri" w:cs="Calibri"/>
          <w:sz w:val="24"/>
          <w:szCs w:val="24"/>
          <w:lang w:val="de-DE"/>
        </w:rPr>
      </w:pPr>
    </w:p>
    <w:p w:rsidR="000B433A" w:rsidRDefault="000B433A">
      <w:pPr>
        <w:spacing w:after="200"/>
        <w:jc w:val="left"/>
        <w:rPr>
          <w:rFonts w:cs="Calibri"/>
          <w:b/>
          <w:bCs/>
          <w:smallCaps/>
          <w:color w:val="1F497D"/>
          <w:sz w:val="32"/>
          <w:szCs w:val="28"/>
          <w:u w:val="single"/>
          <w:lang w:val="de-DE"/>
        </w:rPr>
      </w:pPr>
      <w:r>
        <w:rPr>
          <w:rFonts w:cs="Calibri"/>
          <w:smallCaps/>
          <w:color w:val="1F497D"/>
          <w:sz w:val="32"/>
          <w:u w:val="single"/>
          <w:lang w:val="de-DE"/>
        </w:rPr>
        <w:br w:type="page"/>
      </w:r>
    </w:p>
    <w:p w:rsidR="000B433A" w:rsidRPr="00093D26" w:rsidRDefault="000B433A" w:rsidP="00BB673C">
      <w:pPr>
        <w:pStyle w:val="Titre1"/>
        <w:numPr>
          <w:ilvl w:val="0"/>
          <w:numId w:val="1"/>
        </w:numPr>
        <w:ind w:left="851" w:hanging="851"/>
        <w:rPr>
          <w:rFonts w:ascii="Calibri" w:hAnsi="Calibri" w:cs="Calibri"/>
          <w:smallCaps/>
          <w:color w:val="1F497D"/>
          <w:sz w:val="32"/>
          <w:szCs w:val="32"/>
          <w:u w:val="single"/>
          <w:lang w:val="de-DE"/>
        </w:rPr>
      </w:pPr>
      <w:bookmarkStart w:id="16" w:name="_Toc7802431"/>
      <w:r>
        <w:rPr>
          <w:rFonts w:ascii="Calibri" w:hAnsi="Calibri" w:cs="Calibri"/>
          <w:smallCaps/>
          <w:color w:val="1F497D"/>
          <w:sz w:val="32"/>
          <w:u w:val="single"/>
          <w:lang w:val="de-DE"/>
        </w:rPr>
        <w:t>Gesamtziele</w:t>
      </w:r>
      <w:bookmarkEnd w:id="16"/>
      <w:r>
        <w:rPr>
          <w:rFonts w:ascii="Calibri" w:hAnsi="Calibri" w:cs="Calibri"/>
          <w:smallCaps/>
          <w:color w:val="1F497D"/>
          <w:sz w:val="32"/>
          <w:u w:val="single"/>
          <w:lang w:val="de-DE"/>
        </w:rPr>
        <w:t xml:space="preserve"> </w:t>
      </w:r>
    </w:p>
    <w:p w:rsidR="000B433A" w:rsidRPr="00C33976" w:rsidRDefault="000B433A" w:rsidP="00BB673C">
      <w:pPr>
        <w:pStyle w:val="Titre2"/>
        <w:numPr>
          <w:ilvl w:val="1"/>
          <w:numId w:val="1"/>
        </w:numPr>
        <w:ind w:left="851" w:hanging="851"/>
        <w:rPr>
          <w:rFonts w:ascii="Calibri" w:hAnsi="Calibri" w:cs="Calibri"/>
          <w:color w:val="1F497D"/>
          <w:lang w:val="de-DE"/>
        </w:rPr>
      </w:pPr>
      <w:bookmarkStart w:id="17" w:name="_Toc7802432"/>
      <w:r>
        <w:rPr>
          <w:rFonts w:ascii="Calibri" w:hAnsi="Calibri" w:cs="Calibri"/>
          <w:color w:val="1F497D"/>
          <w:lang w:val="de-DE"/>
        </w:rPr>
        <w:t>Energie - Klima</w:t>
      </w:r>
      <w:bookmarkEnd w:id="17"/>
    </w:p>
    <w:p w:rsidR="000B433A" w:rsidRPr="005F5D9D" w:rsidRDefault="000B433A" w:rsidP="008F6F57">
      <w:pPr>
        <w:rPr>
          <w:rFonts w:cs="Calibri"/>
          <w:lang w:val="de-DE"/>
        </w:rPr>
      </w:pPr>
      <w:r>
        <w:rPr>
          <w:rFonts w:cs="Calibri"/>
          <w:lang w:val="de-DE"/>
        </w:rPr>
        <w:t>Zusammenfassend führt die folgende Tabelle die Hauptziele des LKEP 2030 auf.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38"/>
        <w:gridCol w:w="2801"/>
        <w:gridCol w:w="4649"/>
      </w:tblGrid>
      <w:tr w:rsidR="000B433A" w:rsidRPr="005759E4" w:rsidTr="005759E4">
        <w:trPr>
          <w:trHeight w:val="383"/>
        </w:trPr>
        <w:tc>
          <w:tcPr>
            <w:tcW w:w="1602" w:type="dxa"/>
          </w:tcPr>
          <w:p w:rsidR="000B433A" w:rsidRPr="005759E4" w:rsidRDefault="000B433A" w:rsidP="005759E4">
            <w:pPr>
              <w:spacing w:line="240" w:lineRule="auto"/>
              <w:rPr>
                <w:rFonts w:cs="Calibri"/>
                <w:b/>
                <w:bCs/>
                <w:color w:val="365F91"/>
                <w:u w:val="single"/>
                <w:lang w:val="de-DE"/>
              </w:rPr>
            </w:pPr>
            <w:r w:rsidRPr="005759E4">
              <w:rPr>
                <w:rFonts w:cs="Calibri"/>
                <w:b/>
                <w:bCs/>
                <w:color w:val="365F91"/>
                <w:sz w:val="22"/>
                <w:u w:val="single"/>
                <w:lang w:val="de-DE"/>
              </w:rPr>
              <w:t>Themen</w:t>
            </w:r>
          </w:p>
        </w:tc>
        <w:tc>
          <w:tcPr>
            <w:tcW w:w="2406" w:type="dxa"/>
          </w:tcPr>
          <w:p w:rsidR="000B433A" w:rsidRPr="005759E4" w:rsidRDefault="000B433A" w:rsidP="005759E4">
            <w:pPr>
              <w:spacing w:line="240" w:lineRule="auto"/>
              <w:rPr>
                <w:rFonts w:cs="Calibri"/>
                <w:b/>
                <w:bCs/>
                <w:color w:val="365F91"/>
                <w:u w:val="single"/>
                <w:lang w:val="de-DE"/>
              </w:rPr>
            </w:pPr>
            <w:r w:rsidRPr="005759E4">
              <w:rPr>
                <w:rFonts w:cs="Calibri"/>
                <w:b/>
                <w:bCs/>
                <w:color w:val="365F91"/>
                <w:sz w:val="22"/>
                <w:u w:val="single"/>
                <w:lang w:val="de-DE"/>
              </w:rPr>
              <w:t>Zielvorgaben</w:t>
            </w:r>
          </w:p>
        </w:tc>
        <w:tc>
          <w:tcPr>
            <w:tcW w:w="5013" w:type="dxa"/>
          </w:tcPr>
          <w:p w:rsidR="000B433A" w:rsidRPr="005759E4" w:rsidRDefault="000B433A" w:rsidP="005759E4">
            <w:pPr>
              <w:spacing w:line="240" w:lineRule="auto"/>
              <w:rPr>
                <w:rFonts w:cs="Calibri"/>
                <w:b/>
                <w:bCs/>
                <w:color w:val="365F91"/>
                <w:u w:val="single"/>
                <w:lang w:val="de-DE"/>
              </w:rPr>
            </w:pPr>
            <w:r w:rsidRPr="005759E4">
              <w:rPr>
                <w:rFonts w:cs="Calibri"/>
                <w:b/>
                <w:bCs/>
                <w:color w:val="365F91"/>
                <w:sz w:val="22"/>
                <w:u w:val="single"/>
                <w:lang w:val="de-DE"/>
              </w:rPr>
              <w:t>Maßnahmen</w:t>
            </w:r>
          </w:p>
        </w:tc>
      </w:tr>
      <w:tr w:rsidR="000B433A" w:rsidRPr="00D07F58" w:rsidTr="005759E4">
        <w:trPr>
          <w:trHeight w:val="1360"/>
        </w:trPr>
        <w:tc>
          <w:tcPr>
            <w:tcW w:w="1602" w:type="dxa"/>
            <w:shd w:val="clear" w:color="auto" w:fill="D3DFEE"/>
          </w:tcPr>
          <w:p w:rsidR="000B433A" w:rsidRPr="005759E4" w:rsidRDefault="000B433A" w:rsidP="005759E4">
            <w:pPr>
              <w:spacing w:after="0" w:line="240" w:lineRule="auto"/>
              <w:rPr>
                <w:rFonts w:cs="Calibri"/>
                <w:b/>
                <w:bCs/>
                <w:color w:val="365F91"/>
                <w:lang w:val="de-DE"/>
              </w:rPr>
            </w:pPr>
            <w:r w:rsidRPr="005759E4">
              <w:rPr>
                <w:rFonts w:cs="Calibri"/>
                <w:b/>
                <w:bCs/>
                <w:color w:val="365F91"/>
                <w:sz w:val="22"/>
                <w:lang w:val="de-DE"/>
              </w:rPr>
              <w:t>Dekarbonisierung</w:t>
            </w:r>
          </w:p>
        </w:tc>
        <w:tc>
          <w:tcPr>
            <w:tcW w:w="2406" w:type="dxa"/>
          </w:tcPr>
          <w:p w:rsidR="000B433A" w:rsidRPr="005759E4" w:rsidRDefault="000B433A" w:rsidP="005759E4">
            <w:pPr>
              <w:spacing w:after="0" w:line="240" w:lineRule="auto"/>
              <w:rPr>
                <w:rFonts w:cs="Calibri"/>
                <w:color w:val="365F91"/>
                <w:lang w:val="de-DE"/>
              </w:rPr>
            </w:pPr>
            <w:r w:rsidRPr="005759E4">
              <w:rPr>
                <w:rFonts w:cs="Calibri"/>
                <w:color w:val="365F91"/>
                <w:sz w:val="22"/>
                <w:lang w:val="de-DE"/>
              </w:rPr>
              <w:t xml:space="preserve">-37 % (*) Nicht-EHS-Treibhausgasemissionen im Vergleich zu 2005 </w:t>
            </w:r>
          </w:p>
        </w:tc>
        <w:tc>
          <w:tcPr>
            <w:tcW w:w="5013" w:type="dxa"/>
          </w:tcPr>
          <w:p w:rsidR="000B433A" w:rsidRPr="005759E4" w:rsidRDefault="000B433A" w:rsidP="005759E4">
            <w:pPr>
              <w:spacing w:after="0" w:line="240" w:lineRule="auto"/>
              <w:rPr>
                <w:rFonts w:cs="Calibri"/>
                <w:color w:val="365F91"/>
                <w:lang w:val="de-DE"/>
              </w:rPr>
            </w:pPr>
            <w:r w:rsidRPr="005759E4">
              <w:rPr>
                <w:rFonts w:cs="Calibri"/>
                <w:color w:val="365F91"/>
                <w:sz w:val="22"/>
                <w:lang w:val="de-DE"/>
              </w:rPr>
              <w:t>Vision FAST und Regionales Mobilitätsschema</w:t>
            </w:r>
          </w:p>
          <w:p w:rsidR="000B433A" w:rsidRPr="005759E4" w:rsidRDefault="000B433A" w:rsidP="005759E4">
            <w:pPr>
              <w:spacing w:after="0" w:line="240" w:lineRule="auto"/>
              <w:rPr>
                <w:rFonts w:cs="Calibri"/>
                <w:color w:val="365F91"/>
                <w:lang w:val="de-DE"/>
              </w:rPr>
            </w:pPr>
            <w:r w:rsidRPr="005759E4">
              <w:rPr>
                <w:rFonts w:cs="Calibri"/>
                <w:color w:val="365F91"/>
                <w:sz w:val="22"/>
                <w:lang w:val="de-DE"/>
              </w:rPr>
              <w:t>Stärkung der Politik im Agrarsektor</w:t>
            </w:r>
          </w:p>
          <w:p w:rsidR="000B433A" w:rsidRPr="005759E4" w:rsidRDefault="000B433A" w:rsidP="005759E4">
            <w:pPr>
              <w:spacing w:after="0" w:line="240" w:lineRule="auto"/>
              <w:rPr>
                <w:rFonts w:cs="Calibri"/>
                <w:color w:val="365F91"/>
                <w:lang w:val="de-DE"/>
              </w:rPr>
            </w:pPr>
            <w:r w:rsidRPr="005759E4">
              <w:rPr>
                <w:rFonts w:cs="Calibri"/>
                <w:color w:val="365F91"/>
                <w:sz w:val="22"/>
                <w:lang w:val="de-DE"/>
              </w:rPr>
              <w:t>Freiwillige Vereinbarungen Fluorierte Gase</w:t>
            </w:r>
          </w:p>
          <w:p w:rsidR="000B433A" w:rsidRPr="005759E4" w:rsidRDefault="000B433A" w:rsidP="005759E4">
            <w:pPr>
              <w:spacing w:after="0" w:line="240" w:lineRule="auto"/>
              <w:rPr>
                <w:rFonts w:cs="Calibri"/>
                <w:color w:val="365F91"/>
                <w:lang w:val="de-DE"/>
              </w:rPr>
            </w:pPr>
            <w:r w:rsidRPr="005759E4">
              <w:rPr>
                <w:rFonts w:cs="Calibri"/>
                <w:color w:val="365F91"/>
                <w:sz w:val="22"/>
                <w:lang w:val="de-DE"/>
              </w:rPr>
              <w:t>Dekarbonisierung Nicht-EHS-Industrie</w:t>
            </w:r>
          </w:p>
        </w:tc>
      </w:tr>
      <w:tr w:rsidR="000B433A" w:rsidRPr="00237701" w:rsidTr="005759E4">
        <w:trPr>
          <w:trHeight w:val="1348"/>
        </w:trPr>
        <w:tc>
          <w:tcPr>
            <w:tcW w:w="1602" w:type="dxa"/>
          </w:tcPr>
          <w:p w:rsidR="000B433A" w:rsidRPr="005759E4" w:rsidRDefault="000B433A" w:rsidP="005759E4">
            <w:pPr>
              <w:spacing w:after="0" w:line="240" w:lineRule="auto"/>
              <w:rPr>
                <w:rFonts w:cs="Calibri"/>
                <w:b/>
                <w:bCs/>
                <w:color w:val="365F91"/>
                <w:lang w:val="de-DE"/>
              </w:rPr>
            </w:pPr>
            <w:r w:rsidRPr="005759E4">
              <w:rPr>
                <w:rFonts w:cs="Calibri"/>
                <w:b/>
                <w:bCs/>
                <w:color w:val="365F91"/>
                <w:sz w:val="22"/>
                <w:lang w:val="de-DE"/>
              </w:rPr>
              <w:t>Erneuerbare Energie</w:t>
            </w:r>
          </w:p>
        </w:tc>
        <w:tc>
          <w:tcPr>
            <w:tcW w:w="2406" w:type="dxa"/>
          </w:tcPr>
          <w:p w:rsidR="000B433A" w:rsidRPr="005759E4" w:rsidRDefault="000B433A" w:rsidP="005759E4">
            <w:pPr>
              <w:spacing w:after="0" w:line="240" w:lineRule="auto"/>
              <w:rPr>
                <w:rFonts w:cs="Calibri"/>
                <w:color w:val="365F91"/>
                <w:lang w:val="de-DE"/>
              </w:rPr>
            </w:pPr>
            <w:r w:rsidRPr="005759E4">
              <w:rPr>
                <w:rFonts w:cs="Calibri"/>
                <w:color w:val="365F91"/>
                <w:sz w:val="22"/>
                <w:lang w:val="de-DE"/>
              </w:rPr>
              <w:t>23,5 % (*) des Bruttoendenergieverbrauchs im Jahr 2030</w:t>
            </w:r>
          </w:p>
        </w:tc>
        <w:tc>
          <w:tcPr>
            <w:tcW w:w="5013" w:type="dxa"/>
          </w:tcPr>
          <w:p w:rsidR="000B433A" w:rsidRPr="005759E4" w:rsidRDefault="000B433A" w:rsidP="005759E4">
            <w:pPr>
              <w:spacing w:after="0" w:line="240" w:lineRule="auto"/>
              <w:rPr>
                <w:rFonts w:cs="Calibri"/>
                <w:color w:val="365F91"/>
                <w:lang w:val="de-DE"/>
              </w:rPr>
            </w:pPr>
            <w:r w:rsidRPr="005759E4">
              <w:rPr>
                <w:rFonts w:cs="Calibri"/>
                <w:color w:val="365F91"/>
                <w:sz w:val="22"/>
                <w:lang w:val="de-DE"/>
              </w:rPr>
              <w:t>Aufrechterhaltung eines Fördersystems für Ökostrom</w:t>
            </w:r>
          </w:p>
          <w:p w:rsidR="000B433A" w:rsidRPr="005759E4" w:rsidRDefault="000B433A" w:rsidP="005759E4">
            <w:pPr>
              <w:spacing w:after="0" w:line="240" w:lineRule="auto"/>
              <w:rPr>
                <w:rFonts w:cs="Calibri"/>
                <w:color w:val="365F91"/>
                <w:lang w:val="de-DE"/>
              </w:rPr>
            </w:pPr>
            <w:r w:rsidRPr="005759E4">
              <w:rPr>
                <w:rFonts w:cs="Calibri"/>
                <w:color w:val="365F91"/>
                <w:sz w:val="22"/>
                <w:lang w:val="de-DE"/>
              </w:rPr>
              <w:t>Förderung der Erzeugung grüner Wärme</w:t>
            </w:r>
          </w:p>
          <w:p w:rsidR="000B433A" w:rsidRPr="005759E4" w:rsidRDefault="000B433A" w:rsidP="005759E4">
            <w:pPr>
              <w:spacing w:after="0" w:line="240" w:lineRule="auto"/>
              <w:rPr>
                <w:rFonts w:cs="Calibri"/>
                <w:color w:val="365F91"/>
                <w:lang w:val="de-DE"/>
              </w:rPr>
            </w:pPr>
            <w:r w:rsidRPr="005759E4">
              <w:rPr>
                <w:rFonts w:cs="Calibri"/>
                <w:color w:val="365F91"/>
                <w:sz w:val="22"/>
                <w:lang w:val="de-DE"/>
              </w:rPr>
              <w:t>Nutzungsplan für den Ersatz fossiler Geräte</w:t>
            </w:r>
          </w:p>
          <w:p w:rsidR="000B433A" w:rsidRPr="005759E4" w:rsidRDefault="000B433A" w:rsidP="005759E4">
            <w:pPr>
              <w:spacing w:after="0" w:line="240" w:lineRule="auto"/>
              <w:rPr>
                <w:rFonts w:cs="Calibri"/>
                <w:color w:val="365F91"/>
                <w:lang w:val="de-DE"/>
              </w:rPr>
            </w:pPr>
            <w:r w:rsidRPr="005759E4">
              <w:rPr>
                <w:rFonts w:cs="Calibri"/>
                <w:color w:val="365F91"/>
                <w:sz w:val="22"/>
                <w:lang w:val="de-DE"/>
              </w:rPr>
              <w:t>Beseitigung administrativer und regulatorischer Hindernisse</w:t>
            </w:r>
          </w:p>
        </w:tc>
      </w:tr>
      <w:tr w:rsidR="000B433A" w:rsidRPr="005759E4" w:rsidTr="005759E4">
        <w:trPr>
          <w:trHeight w:val="2197"/>
        </w:trPr>
        <w:tc>
          <w:tcPr>
            <w:tcW w:w="1602" w:type="dxa"/>
            <w:shd w:val="clear" w:color="auto" w:fill="D3DFEE"/>
          </w:tcPr>
          <w:p w:rsidR="000B433A" w:rsidRPr="005759E4" w:rsidRDefault="000B433A" w:rsidP="005759E4">
            <w:pPr>
              <w:spacing w:after="100" w:afterAutospacing="1" w:line="240" w:lineRule="auto"/>
              <w:rPr>
                <w:rFonts w:cs="Calibri"/>
                <w:b/>
                <w:bCs/>
                <w:color w:val="365F91"/>
                <w:lang w:val="de-DE"/>
              </w:rPr>
            </w:pPr>
            <w:r w:rsidRPr="005759E4">
              <w:rPr>
                <w:rFonts w:cs="Calibri"/>
                <w:b/>
                <w:bCs/>
                <w:color w:val="365F91"/>
                <w:sz w:val="22"/>
                <w:lang w:val="de-DE"/>
              </w:rPr>
              <w:t>Energieeffizienz</w:t>
            </w:r>
          </w:p>
        </w:tc>
        <w:tc>
          <w:tcPr>
            <w:tcW w:w="2406" w:type="dxa"/>
          </w:tcPr>
          <w:p w:rsidR="000B433A" w:rsidRPr="005759E4" w:rsidRDefault="000B433A" w:rsidP="005759E4">
            <w:pPr>
              <w:spacing w:after="100" w:afterAutospacing="1" w:line="240" w:lineRule="auto"/>
              <w:rPr>
                <w:rFonts w:cs="Calibri"/>
                <w:color w:val="365F91"/>
                <w:lang w:val="de-DE"/>
              </w:rPr>
            </w:pPr>
            <w:r w:rsidRPr="005759E4">
              <w:rPr>
                <w:rFonts w:cs="Calibri"/>
                <w:color w:val="365F91"/>
                <w:sz w:val="22"/>
                <w:lang w:val="de-DE"/>
              </w:rPr>
              <w:t>23 % des Endverbrauchs im Vergleich zu 2005</w:t>
            </w:r>
          </w:p>
          <w:p w:rsidR="000B433A" w:rsidRPr="005759E4" w:rsidRDefault="000B433A" w:rsidP="005759E4">
            <w:pPr>
              <w:spacing w:after="100" w:afterAutospacing="1" w:line="240" w:lineRule="auto"/>
              <w:rPr>
                <w:rFonts w:cs="Calibri"/>
                <w:color w:val="365F91"/>
                <w:lang w:val="de-DE"/>
              </w:rPr>
            </w:pPr>
            <w:r w:rsidRPr="005759E4">
              <w:rPr>
                <w:rFonts w:cs="Calibri"/>
                <w:color w:val="365F91"/>
                <w:sz w:val="22"/>
                <w:lang w:val="de-DE"/>
              </w:rPr>
              <w:t>36 % des Primärverbrauchs im Vergleich zu 2005</w:t>
            </w:r>
            <w:r w:rsidRPr="005759E4">
              <w:rPr>
                <w:rStyle w:val="Appelnotedebasdep"/>
                <w:rFonts w:cs="Calibri"/>
                <w:color w:val="365F91"/>
                <w:sz w:val="22"/>
                <w:lang w:val="de-DE"/>
              </w:rPr>
              <w:footnoteReference w:id="8"/>
            </w:r>
          </w:p>
        </w:tc>
        <w:tc>
          <w:tcPr>
            <w:tcW w:w="5013" w:type="dxa"/>
          </w:tcPr>
          <w:p w:rsidR="000B433A" w:rsidRPr="005759E4" w:rsidRDefault="000B433A" w:rsidP="005759E4">
            <w:pPr>
              <w:spacing w:after="0" w:line="240" w:lineRule="auto"/>
              <w:rPr>
                <w:rFonts w:cs="Calibri"/>
                <w:color w:val="365F91"/>
                <w:lang w:val="de-DE"/>
              </w:rPr>
            </w:pPr>
            <w:r w:rsidRPr="005759E4">
              <w:rPr>
                <w:rFonts w:cs="Calibri"/>
                <w:color w:val="365F91"/>
                <w:sz w:val="22"/>
                <w:lang w:val="de-DE"/>
              </w:rPr>
              <w:t>Agentur für die ESCO</w:t>
            </w:r>
          </w:p>
          <w:p w:rsidR="000B433A" w:rsidRPr="005759E4" w:rsidRDefault="000B433A" w:rsidP="005759E4">
            <w:pPr>
              <w:spacing w:after="0" w:line="240" w:lineRule="auto"/>
              <w:rPr>
                <w:rFonts w:cs="Calibri"/>
                <w:color w:val="365F91"/>
                <w:lang w:val="de-DE"/>
              </w:rPr>
            </w:pPr>
            <w:r w:rsidRPr="005759E4">
              <w:rPr>
                <w:rFonts w:cs="Calibri"/>
                <w:color w:val="365F91"/>
                <w:sz w:val="22"/>
                <w:lang w:val="de-DE"/>
              </w:rPr>
              <w:t>Strategie zur Gebäuderenovierung</w:t>
            </w:r>
          </w:p>
          <w:p w:rsidR="000B433A" w:rsidRPr="005759E4" w:rsidRDefault="000B433A" w:rsidP="005759E4">
            <w:pPr>
              <w:spacing w:after="0" w:line="240" w:lineRule="auto"/>
              <w:rPr>
                <w:rFonts w:cs="Calibri"/>
                <w:color w:val="365F91"/>
                <w:lang w:val="de-DE"/>
              </w:rPr>
            </w:pPr>
            <w:r w:rsidRPr="005759E4">
              <w:rPr>
                <w:rFonts w:cs="Calibri"/>
                <w:color w:val="365F91"/>
                <w:sz w:val="22"/>
                <w:lang w:val="de-DE"/>
              </w:rPr>
              <w:t>Verschärfung der Anforderungen bei Neubauten</w:t>
            </w:r>
          </w:p>
          <w:p w:rsidR="000B433A" w:rsidRPr="005759E4" w:rsidRDefault="000B433A" w:rsidP="005759E4">
            <w:pPr>
              <w:spacing w:after="100" w:afterAutospacing="1" w:line="240" w:lineRule="auto"/>
              <w:rPr>
                <w:rFonts w:cs="Calibri"/>
                <w:color w:val="365F91"/>
                <w:u w:val="single"/>
                <w:lang w:val="de-DE"/>
              </w:rPr>
            </w:pPr>
            <w:r w:rsidRPr="005759E4">
              <w:rPr>
                <w:rFonts w:cs="Calibri"/>
                <w:color w:val="365F91"/>
                <w:sz w:val="22"/>
                <w:u w:val="single"/>
                <w:lang w:val="de-DE"/>
              </w:rPr>
              <w:t>Verkehr/Mobilität</w:t>
            </w:r>
          </w:p>
          <w:p w:rsidR="000B433A" w:rsidRPr="005759E4" w:rsidRDefault="000B433A" w:rsidP="005759E4">
            <w:pPr>
              <w:spacing w:after="100" w:afterAutospacing="1" w:line="240" w:lineRule="auto"/>
              <w:rPr>
                <w:rFonts w:cs="Calibri"/>
                <w:color w:val="365F91"/>
                <w:u w:val="single"/>
                <w:lang w:val="de-DE"/>
              </w:rPr>
            </w:pPr>
            <w:r w:rsidRPr="005759E4">
              <w:rPr>
                <w:rFonts w:cs="Calibri"/>
                <w:color w:val="365F91"/>
                <w:sz w:val="22"/>
                <w:u w:val="single"/>
                <w:lang w:val="de-DE"/>
              </w:rPr>
              <w:t>EHS und Nicht-EHS-Industrie</w:t>
            </w:r>
          </w:p>
          <w:p w:rsidR="000B433A" w:rsidRPr="005759E4" w:rsidRDefault="000B433A" w:rsidP="005759E4">
            <w:pPr>
              <w:spacing w:after="100" w:afterAutospacing="1" w:line="240" w:lineRule="auto"/>
              <w:rPr>
                <w:rFonts w:cs="Calibri"/>
                <w:color w:val="365F91"/>
                <w:u w:val="single"/>
                <w:lang w:val="de-DE"/>
              </w:rPr>
            </w:pPr>
          </w:p>
        </w:tc>
      </w:tr>
      <w:tr w:rsidR="000B433A" w:rsidRPr="00237701" w:rsidTr="005759E4">
        <w:trPr>
          <w:trHeight w:val="813"/>
        </w:trPr>
        <w:tc>
          <w:tcPr>
            <w:tcW w:w="1602" w:type="dxa"/>
          </w:tcPr>
          <w:p w:rsidR="000B433A" w:rsidRPr="005759E4" w:rsidRDefault="000B433A" w:rsidP="005759E4">
            <w:pPr>
              <w:spacing w:after="100" w:afterAutospacing="1" w:line="240" w:lineRule="auto"/>
              <w:rPr>
                <w:rFonts w:cs="Calibri"/>
                <w:b/>
                <w:bCs/>
                <w:color w:val="365F91"/>
                <w:lang w:val="de-DE"/>
              </w:rPr>
            </w:pPr>
            <w:r w:rsidRPr="005759E4">
              <w:rPr>
                <w:rFonts w:cs="Calibri"/>
                <w:b/>
                <w:bCs/>
                <w:color w:val="365F91"/>
                <w:sz w:val="22"/>
                <w:lang w:val="de-DE"/>
              </w:rPr>
              <w:t>Marktintegration</w:t>
            </w:r>
          </w:p>
        </w:tc>
        <w:tc>
          <w:tcPr>
            <w:tcW w:w="2406" w:type="dxa"/>
          </w:tcPr>
          <w:p w:rsidR="000B433A" w:rsidRPr="005759E4" w:rsidRDefault="000B433A" w:rsidP="005759E4">
            <w:pPr>
              <w:spacing w:after="100" w:afterAutospacing="1" w:line="240" w:lineRule="auto"/>
              <w:rPr>
                <w:rFonts w:cs="Calibri"/>
                <w:color w:val="365F91"/>
                <w:u w:val="single"/>
                <w:lang w:val="de-DE"/>
              </w:rPr>
            </w:pPr>
          </w:p>
        </w:tc>
        <w:tc>
          <w:tcPr>
            <w:tcW w:w="5013" w:type="dxa"/>
          </w:tcPr>
          <w:p w:rsidR="000B433A" w:rsidRPr="005759E4" w:rsidRDefault="000B433A" w:rsidP="005759E4">
            <w:pPr>
              <w:spacing w:after="0" w:line="240" w:lineRule="auto"/>
              <w:rPr>
                <w:rFonts w:cs="Calibri"/>
                <w:color w:val="365F91"/>
                <w:lang w:val="de-DE"/>
              </w:rPr>
            </w:pPr>
            <w:r w:rsidRPr="005759E4">
              <w:rPr>
                <w:rFonts w:cs="Calibri"/>
                <w:color w:val="365F91"/>
                <w:sz w:val="22"/>
                <w:lang w:val="de-DE"/>
              </w:rPr>
              <w:t>Erhöhte lokale Flexibilität</w:t>
            </w:r>
          </w:p>
          <w:p w:rsidR="000B433A" w:rsidRPr="005759E4" w:rsidRDefault="000B433A" w:rsidP="005759E4">
            <w:pPr>
              <w:spacing w:after="0" w:line="240" w:lineRule="auto"/>
              <w:rPr>
                <w:rFonts w:cs="Calibri"/>
                <w:color w:val="365F91"/>
                <w:lang w:val="de-DE"/>
              </w:rPr>
            </w:pPr>
            <w:r w:rsidRPr="005759E4">
              <w:rPr>
                <w:rFonts w:cs="Calibri"/>
                <w:color w:val="365F91"/>
                <w:sz w:val="22"/>
                <w:lang w:val="de-DE"/>
              </w:rPr>
              <w:t>Aufrechterhaltung der Verbraucherschutzmaßnahmen</w:t>
            </w:r>
          </w:p>
        </w:tc>
      </w:tr>
      <w:tr w:rsidR="000B433A" w:rsidRPr="00D07F58" w:rsidTr="005759E4">
        <w:trPr>
          <w:trHeight w:val="1080"/>
        </w:trPr>
        <w:tc>
          <w:tcPr>
            <w:tcW w:w="1602" w:type="dxa"/>
            <w:shd w:val="clear" w:color="auto" w:fill="D3DFEE"/>
          </w:tcPr>
          <w:p w:rsidR="000B433A" w:rsidRPr="005759E4" w:rsidRDefault="000B433A" w:rsidP="005759E4">
            <w:pPr>
              <w:spacing w:after="100" w:afterAutospacing="1" w:line="240" w:lineRule="auto"/>
              <w:rPr>
                <w:rFonts w:cs="Calibri"/>
                <w:b/>
                <w:bCs/>
                <w:color w:val="365F91"/>
                <w:lang w:val="de-DE"/>
              </w:rPr>
            </w:pPr>
            <w:r w:rsidRPr="005759E4">
              <w:rPr>
                <w:rFonts w:cs="Calibri"/>
                <w:b/>
                <w:bCs/>
                <w:color w:val="365F91"/>
                <w:sz w:val="22"/>
                <w:lang w:val="de-DE"/>
              </w:rPr>
              <w:t>Forschung, Innovation</w:t>
            </w:r>
          </w:p>
        </w:tc>
        <w:tc>
          <w:tcPr>
            <w:tcW w:w="2406" w:type="dxa"/>
          </w:tcPr>
          <w:p w:rsidR="000B433A" w:rsidRPr="005759E4" w:rsidRDefault="000B433A" w:rsidP="005759E4">
            <w:pPr>
              <w:spacing w:after="0" w:line="240" w:lineRule="auto"/>
              <w:rPr>
                <w:rFonts w:cs="Calibri"/>
                <w:color w:val="365F91"/>
                <w:lang w:val="de-DE"/>
              </w:rPr>
            </w:pPr>
            <w:r w:rsidRPr="005759E4">
              <w:rPr>
                <w:rFonts w:cs="Calibri"/>
                <w:color w:val="365F91"/>
                <w:sz w:val="22"/>
                <w:lang w:val="de-DE"/>
              </w:rPr>
              <w:t>% F&amp;E-Budget</w:t>
            </w:r>
          </w:p>
          <w:p w:rsidR="000B433A" w:rsidRPr="005759E4" w:rsidRDefault="000B433A" w:rsidP="005759E4">
            <w:pPr>
              <w:spacing w:after="0" w:line="240" w:lineRule="auto"/>
              <w:rPr>
                <w:rFonts w:cs="Calibri"/>
                <w:color w:val="365F91"/>
                <w:lang w:val="de-DE"/>
              </w:rPr>
            </w:pPr>
            <w:r w:rsidRPr="005759E4">
              <w:rPr>
                <w:rFonts w:cs="Calibri"/>
                <w:color w:val="365F91"/>
                <w:sz w:val="22"/>
                <w:lang w:val="de-DE"/>
              </w:rPr>
              <w:t>Direkt Energie-Klima: 4 %</w:t>
            </w:r>
          </w:p>
          <w:p w:rsidR="000B433A" w:rsidRPr="005759E4" w:rsidRDefault="000B433A" w:rsidP="005759E4">
            <w:pPr>
              <w:spacing w:after="0" w:line="240" w:lineRule="auto"/>
              <w:rPr>
                <w:rFonts w:cs="Calibri"/>
                <w:color w:val="365F91"/>
                <w:lang w:val="de-DE"/>
              </w:rPr>
            </w:pPr>
            <w:r w:rsidRPr="005759E4">
              <w:rPr>
                <w:rFonts w:cs="Calibri"/>
                <w:color w:val="365F91"/>
                <w:sz w:val="22"/>
                <w:lang w:val="de-DE"/>
              </w:rPr>
              <w:t>Integriert: 11 %</w:t>
            </w:r>
          </w:p>
        </w:tc>
        <w:tc>
          <w:tcPr>
            <w:tcW w:w="5013" w:type="dxa"/>
          </w:tcPr>
          <w:p w:rsidR="000B433A" w:rsidRPr="005759E4" w:rsidRDefault="000B433A" w:rsidP="005759E4">
            <w:pPr>
              <w:spacing w:after="100" w:afterAutospacing="1" w:line="240" w:lineRule="auto"/>
              <w:rPr>
                <w:rFonts w:cs="Calibri"/>
                <w:color w:val="365F91"/>
                <w:u w:val="single"/>
                <w:lang w:val="de-DE"/>
              </w:rPr>
            </w:pPr>
          </w:p>
        </w:tc>
      </w:tr>
    </w:tbl>
    <w:p w:rsidR="000B433A" w:rsidRPr="005F5D9D" w:rsidRDefault="000B433A" w:rsidP="008F6F57">
      <w:pPr>
        <w:rPr>
          <w:rFonts w:cs="Calibri"/>
          <w:sz w:val="22"/>
          <w:lang w:val="de-DE"/>
        </w:rPr>
      </w:pPr>
      <w:r>
        <w:rPr>
          <w:rFonts w:cs="Calibri"/>
          <w:sz w:val="22"/>
          <w:lang w:val="de-DE"/>
        </w:rPr>
        <w:t>(*) Die Verringerung der Emissionen und des Anteils erneuerbarer Energien basiert auf einer realen Beimischungsrate von 14 % für Biokraftstoffe (während die Version vom 19. Juli auf einer Quote von 10 % basiert).</w:t>
      </w:r>
    </w:p>
    <w:p w:rsidR="000B433A" w:rsidRPr="005F5D9D" w:rsidRDefault="000B433A" w:rsidP="008F6F57">
      <w:pPr>
        <w:spacing w:after="200"/>
        <w:jc w:val="left"/>
        <w:rPr>
          <w:rFonts w:cs="Calibri"/>
          <w:lang w:val="de-DE"/>
        </w:rPr>
      </w:pPr>
      <w:r w:rsidRPr="005F5D9D">
        <w:rPr>
          <w:rFonts w:cs="Calibri"/>
          <w:lang w:val="de-DE"/>
        </w:rPr>
        <w:br w:type="page"/>
      </w:r>
    </w:p>
    <w:p w:rsidR="000B433A" w:rsidRPr="00C33976" w:rsidRDefault="000B433A" w:rsidP="00183130">
      <w:pPr>
        <w:pStyle w:val="Titre3"/>
        <w:numPr>
          <w:ilvl w:val="2"/>
          <w:numId w:val="1"/>
        </w:numPr>
        <w:ind w:left="851" w:hanging="851"/>
        <w:rPr>
          <w:rFonts w:ascii="Calibri" w:hAnsi="Calibri" w:cs="Calibri"/>
          <w:color w:val="1F497D"/>
          <w:lang w:val="de-DE"/>
        </w:rPr>
      </w:pPr>
      <w:r>
        <w:rPr>
          <w:rFonts w:ascii="Calibri" w:hAnsi="Calibri" w:cs="Calibri"/>
          <w:color w:val="1F497D"/>
          <w:lang w:val="de-DE"/>
        </w:rPr>
        <w:t xml:space="preserve">THG-Zielvorgaben </w:t>
      </w:r>
    </w:p>
    <w:p w:rsidR="000B433A" w:rsidRPr="005F5D9D" w:rsidRDefault="000B433A" w:rsidP="008F6F57">
      <w:pPr>
        <w:rPr>
          <w:rFonts w:cs="Calibri"/>
          <w:lang w:val="de-DE"/>
        </w:rPr>
      </w:pPr>
      <w:r>
        <w:rPr>
          <w:rFonts w:cs="Calibri"/>
          <w:lang w:val="de-DE"/>
        </w:rPr>
        <w:t>Gemäß dem Vorschlag der Kommission beschloss der Europäische Rat, die europäischen Zielvorgaben für die Verringerung der Treibhausgasemissionen bis 2030 wie folgt aufzuteilen:</w:t>
      </w:r>
    </w:p>
    <w:p w:rsidR="000B433A" w:rsidRDefault="000B433A">
      <w:pPr>
        <w:pStyle w:val="Paragraphedeliste"/>
        <w:numPr>
          <w:ilvl w:val="0"/>
          <w:numId w:val="13"/>
        </w:numPr>
        <w:spacing w:before="120" w:line="360" w:lineRule="auto"/>
        <w:rPr>
          <w:rFonts w:cs="Calibri"/>
          <w:lang w:val="de-DE"/>
        </w:rPr>
      </w:pPr>
      <w:r>
        <w:rPr>
          <w:rFonts w:cs="Calibri"/>
          <w:lang w:val="de-DE"/>
        </w:rPr>
        <w:t>Vom EHS abgedeckte Sektoren: -43 % (gegenüber 2005).</w:t>
      </w:r>
    </w:p>
    <w:p w:rsidR="000B433A" w:rsidRDefault="000B433A">
      <w:pPr>
        <w:pStyle w:val="Paragraphedeliste"/>
        <w:numPr>
          <w:ilvl w:val="0"/>
          <w:numId w:val="13"/>
        </w:numPr>
        <w:spacing w:before="120" w:line="360" w:lineRule="auto"/>
        <w:rPr>
          <w:rFonts w:cs="Calibri"/>
          <w:lang w:val="de-DE"/>
        </w:rPr>
      </w:pPr>
      <w:r>
        <w:rPr>
          <w:rFonts w:cs="Calibri"/>
          <w:lang w:val="de-DE"/>
        </w:rPr>
        <w:t>Nicht vom EHS abgedeckte Sektoren: -30 % (gegenüber 2005). Diese Zielvorgabe muss in verbindliche nationale Zielvorgaben für die Mitgliedstaaten umgesetzt werden.</w:t>
      </w:r>
    </w:p>
    <w:p w:rsidR="000B433A" w:rsidRPr="005F5D9D" w:rsidRDefault="000B433A" w:rsidP="008F6F57">
      <w:pPr>
        <w:rPr>
          <w:rFonts w:cs="Calibri"/>
          <w:lang w:val="de-DE"/>
        </w:rPr>
      </w:pPr>
      <w:r>
        <w:rPr>
          <w:rFonts w:cs="Calibri"/>
          <w:lang w:val="de-DE"/>
        </w:rPr>
        <w:t>Im Rahmen des Nicht-EHS muss Belgien seine Treibhausgasemissionen bis 2030 um 35 % gegenüber 2005 reduzieren.</w:t>
      </w:r>
    </w:p>
    <w:p w:rsidR="000B433A" w:rsidRPr="005F5D9D" w:rsidRDefault="000B433A" w:rsidP="008F6F57">
      <w:pPr>
        <w:rPr>
          <w:rFonts w:cs="Calibri"/>
          <w:lang w:val="de-DE"/>
        </w:rPr>
      </w:pPr>
      <w:r>
        <w:rPr>
          <w:rFonts w:cs="Calibri"/>
          <w:lang w:val="de-DE"/>
        </w:rPr>
        <w:t>Die folgende Grafik zeigt den Vergleich zwischen den Treibhausgasemissionsinventaren in den Jahren 2005 und 2015 und den beiden im Kapitel WAM dargestellten Planungsszenarien mit unveränderten Richtlinien (WEM) und deren Umsetzung.</w:t>
      </w:r>
    </w:p>
    <w:p w:rsidR="000B433A" w:rsidRPr="005F5D9D" w:rsidRDefault="000B433A" w:rsidP="008F6F57">
      <w:pPr>
        <w:rPr>
          <w:rFonts w:cs="Calibri"/>
          <w:lang w:val="de-DE"/>
        </w:rPr>
      </w:pPr>
      <w:r>
        <w:rPr>
          <w:rFonts w:cs="Calibri"/>
          <w:lang w:val="de-DE"/>
        </w:rPr>
        <w:t>Es sei darauf hingewiesen, dass die Summe der geplanten Auswirkungen der neuen Politiken und Maßnahmen die Emissionen aus Nicht-EHS-Sektoren gegenüber 2005 um rund -37 % senken würde (gegenüber -18,4 % bei einer unveränderten Politik).</w:t>
      </w:r>
    </w:p>
    <w:p w:rsidR="000B433A" w:rsidRPr="005F5D9D" w:rsidRDefault="000B433A" w:rsidP="008F6F57">
      <w:pPr>
        <w:rPr>
          <w:rFonts w:cs="Calibri"/>
          <w:lang w:val="de-DE"/>
        </w:rPr>
      </w:pPr>
      <w:r>
        <w:rPr>
          <w:rFonts w:cs="Calibri"/>
          <w:lang w:val="de-DE"/>
        </w:rPr>
        <w:t>Dieser Wert von -37 % ist als Grundlage zu betrachten, die eine Biokraftstoffbeimischungsrate von 14 % im Jahr 2030 gemäß einer im Nationalen Energie- und Klimaplan festgelegten Entwicklung vorsieht (die ursprünglich von der Wallonischen Region verwendete Rate betrug 10 % und führte zu einer Verringerung der Emissionen um rund 35,9 %). Im Rahmen nationaler Diskussionen könnte sich diese Zahl ändern. Ebenso wird die Emissionskurve, die im Kooperationsabkommen 2020 „Burden Sharing“ enthalten ist, berechnet, indem eine Reduktion von 14,7 % gegenüber 2005 angewendet wird und die Auswirkungen von Änderungen im EHS-Umfang seit 2005 abgezogen werden. Infolge dieser Anpassung entspricht die in der Vereinbarung enthaltene Emissionskurve im Jahr 2020 einer Reduktion von -18,46 % gegenüber den Emissionen von 2005, d. h. etwas weniger als die aktuellen Prognosen.</w:t>
      </w:r>
    </w:p>
    <w:p w:rsidR="000B433A" w:rsidRPr="005F5D9D" w:rsidRDefault="000B433A" w:rsidP="008F6F57">
      <w:pPr>
        <w:rPr>
          <w:rFonts w:cs="Calibri"/>
          <w:b/>
          <w:sz w:val="22"/>
          <w:lang w:val="de-DE"/>
        </w:rPr>
      </w:pPr>
    </w:p>
    <w:p w:rsidR="000B433A" w:rsidRDefault="005A6B21" w:rsidP="008F6F57">
      <w:pPr>
        <w:pStyle w:val="Corps"/>
        <w:keepNext/>
        <w:pBdr>
          <w:top w:val="none" w:sz="0" w:space="0" w:color="auto"/>
          <w:left w:val="none" w:sz="0" w:space="0" w:color="auto"/>
          <w:bottom w:val="none" w:sz="0" w:space="0" w:color="auto"/>
          <w:right w:val="none" w:sz="0" w:space="0" w:color="auto"/>
          <w:bar w:val="none" w:sz="0" w:color="auto"/>
        </w:pBdr>
      </w:pPr>
      <w:r>
        <w:pict>
          <v:group id="_x0000_s1029" editas="canvas" style="width:448pt;height:304.25pt;mso-position-horizontal-relative:char;mso-position-vertical-relative:line" coordsize="8960,608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8960;height:6085" o:preferrelative="f">
              <v:fill o:detectmouseclick="t"/>
              <v:path o:extrusionok="t" o:connecttype="none"/>
              <o:lock v:ext="edit" text="t"/>
            </v:shape>
            <v:rect id="_x0000_s1031" style="position:absolute;left:5;top:5;width:8950;height:5860" stroked="f"/>
            <v:rect id="_x0000_s1032" style="position:absolute;left:792;top:180;width:6105;height:5421" stroked="f"/>
            <v:shape id="_x0000_s1033" style="position:absolute;left:815;top:124;width:6104;height:4642" coordsize="6104,4642" path="m,4633r6104,l6104,4642,,4642r,-9xm,3864r6104,l6104,3873,,3873r,-9xm,3086r6104,l6104,3095,,3095r,-9xm,2316r6104,l6104,2326,,2326r,-10xm,1547r6104,l6104,1556,,1556r,-9xm,769r6104,l6104,778,,778r,-9xm,l6104,r,9l,9,,xe" fillcolor="#868686" strokecolor="#868686" strokeweight=".45pt">
              <v:stroke joinstyle="bevel"/>
              <v:path arrowok="t"/>
              <o:lock v:ext="edit" verticies="t"/>
            </v:shape>
            <v:shape id="_x0000_s1034" style="position:absolute;left:1277;top:5426;width:5180;height:110" coordsize="5180,110" path="m,46r604,l604,110,,110,,46xm1519,r613,l2132,110r-613,l1519,xm3047,46r614,l3661,110r-614,l3047,46xm4576,46r604,l5180,110r-604,l4576,46xe" fillcolor="#4572a7" stroked="f">
              <v:path arrowok="t"/>
              <o:lock v:ext="edit" verticies="t"/>
            </v:shape>
            <v:shape id="_x0000_s1035" style="position:absolute;left:1277;top:4931;width:5180;height:541" coordsize="5180,541" path="m,l604,r,541l,541,,xm1519,330r613,l2132,495r-613,l1519,330xm3047,394r614,l3661,541r-614,l3047,394xm4576,431r604,l5180,541r-604,l4576,431xe" fillcolor="#aa4643" stroked="f">
              <v:path arrowok="t"/>
              <o:lock v:ext="edit" verticies="t"/>
            </v:shape>
            <v:shape id="_x0000_s1036" style="position:absolute;left:1277;top:3429;width:5180;height:1933" coordsize="5180,1933" path="m,l604,r,1502l,1502,,xm1519,403r613,l2132,1832r-613,l1519,403xm3047,458r614,l3661,1896r-614,l3047,458xm4576,834r604,l5180,1933r-604,l4576,834xe" fillcolor="#89a54e" stroked="f">
              <v:path arrowok="t"/>
              <o:lock v:ext="edit" verticies="t"/>
            </v:shape>
            <v:shape id="_x0000_s1037" style="position:absolute;left:1277;top:2331;width:5180;height:1932" coordsize="5180,1932" path="m,l604,r,1098l,1098,,xm1519,686r613,l2132,1501r-613,l1519,686xm3047,787r614,l3661,1556r-614,l3047,787xm4576,1355r604,l5180,1932r-604,l4576,1355xe" fillcolor="#71588f" stroked="f">
              <v:path arrowok="t"/>
              <o:lock v:ext="edit" verticies="t"/>
            </v:shape>
            <v:shape id="_x0000_s1038" style="position:absolute;left:1277;top:2074;width:5180;height:1612" coordsize="5180,1612" path="m,l604,r,257l,257,,xm1519,705r613,l2132,943r-613,l1519,705xm3047,806r614,l3661,1044r-614,l3047,806xm4576,1493r604,l5180,1612r-604,l4576,1493xe" fillcolor="#4198af" stroked="f">
              <v:path arrowok="t"/>
              <o:lock v:ext="edit" verticies="t"/>
            </v:shape>
            <v:shape id="_x0000_s1039" style="position:absolute;left:1277;top:1250;width:5180;height:2317" coordsize="5180,2317" path="m,l604,r,824l,824,,xm1519,769r613,l2132,1529r-613,l1519,769xm3047,962r614,l3661,1630r-614,l3047,962xm4576,1639r604,l5180,2317r-604,l4576,1639xe" fillcolor="#db843d" stroked="f">
              <v:path arrowok="t"/>
              <o:lock v:ext="edit" verticies="t"/>
            </v:shape>
            <v:shape id="_x0000_s1040" style="position:absolute;left:1277;top:1094;width:5180;height:1795" coordsize="5180,1795" path="m,l604,r,156l,156,,xm1519,852r613,l2132,925r-613,l1519,852xm3047,1072r614,l3661,1118r-614,l3047,1072xm4576,1749r604,l5180,1795r-604,l4576,1749xe" fillcolor="#93a9cf" stroked="f">
              <v:path arrowok="t"/>
              <o:lock v:ext="edit" verticies="t"/>
            </v:shape>
            <v:shape id="_x0000_s1041" style="position:absolute;left:1277;top:957;width:5180;height:1886" coordsize="5180,1886" path="m,l604,r,137l,137,,xm1519,806r613,l2132,989r-613,l1519,806xm3047,1126r614,l3661,1209r-614,l3047,1126xm4576,1813r604,l5180,1886r-604,l4576,1813xe" fillcolor="#d19392" stroked="f">
              <v:path arrowok="t"/>
              <o:lock v:ext="edit" verticies="t"/>
            </v:shape>
            <v:rect id="_x0000_s1042" style="position:absolute;left:810;top:128;width:9;height:5403" fillcolor="#868686" strokecolor="#868686" strokeweight=".45pt">
              <v:stroke joinstyle="bevel"/>
            </v:rect>
            <v:shape id="_x0000_s1043" style="position:absolute;left:778;top:124;width:37;height:5412" coordsize="37,5412" path="m,5402r37,l37,5412r-37,l,5402xm,4633r37,l37,4642r-37,l,4633xm,3864r37,l37,3873r-37,l,3864xm,3086r37,l37,3095r-37,l,3086xm,2316r37,l37,2326r-37,l,2316xm,1547r37,l37,1556r-37,l,1547xm,769r37,l37,778,,778r,-9xm,l37,r,9l,9,,xe" fillcolor="#868686" strokecolor="#868686" strokeweight=".45pt">
              <v:stroke joinstyle="bevel"/>
              <v:path arrowok="t"/>
              <o:lock v:ext="edit" verticies="t"/>
            </v:shape>
            <v:rect id="_x0000_s1044" style="position:absolute;left:815;top:5526;width:6104;height:10" fillcolor="#868686" strokecolor="#868686" strokeweight=".45pt">
              <v:stroke joinstyle="bevel"/>
            </v:rect>
            <v:shape id="_x0000_s1045" style="position:absolute;left:810;top:5531;width:6114;height:46" coordsize="6114,46" path="m9,r,46l,46,,,9,xm1538,r,46l1528,46r,-46l1538,xm3066,r,46l3057,46r,-46l3066,xm4585,r,46l4576,46r,-46l4585,xm6114,r,46l6104,46r,-46l6114,xe" fillcolor="#868686" strokecolor="#868686" strokeweight=".45pt">
              <v:stroke joinstyle="bevel"/>
              <v:path arrowok="t"/>
              <o:lock v:ext="edit" verticies="t"/>
            </v:shape>
            <v:rect id="_x0000_s1046" style="position:absolute;left:647;top:5468;width:61;height:288;mso-wrap-style:none" filled="f" stroked="f">
              <v:textbox style="mso-fit-shape-to-text:t" inset="0,0,0,0">
                <w:txbxContent>
                  <w:p w:rsidR="000B433A" w:rsidRDefault="000B433A">
                    <w:r>
                      <w:rPr>
                        <w:sz w:val="12"/>
                        <w:szCs w:val="12"/>
                        <w:lang w:val="en-US"/>
                      </w:rPr>
                      <w:t>0</w:t>
                    </w:r>
                  </w:p>
                </w:txbxContent>
              </v:textbox>
            </v:rect>
            <v:rect id="_x0000_s1047" style="position:absolute;left:431;top:4695;width:271;height:288;mso-wrap-style:none" filled="f" stroked="f">
              <v:textbox style="mso-fit-shape-to-text:t" inset="0,0,0,0">
                <w:txbxContent>
                  <w:p w:rsidR="000B433A" w:rsidRDefault="000B433A">
                    <w:r>
                      <w:rPr>
                        <w:sz w:val="12"/>
                        <w:szCs w:val="12"/>
                        <w:lang w:val="en-US"/>
                      </w:rPr>
                      <w:t>5 000</w:t>
                    </w:r>
                  </w:p>
                </w:txbxContent>
              </v:textbox>
            </v:rect>
            <v:rect id="_x0000_s1048" style="position:absolute;left:373;top:3923;width:332;height:288;mso-wrap-style:none" filled="f" stroked="f">
              <v:textbox style="mso-fit-shape-to-text:t" inset="0,0,0,0">
                <w:txbxContent>
                  <w:p w:rsidR="000B433A" w:rsidRDefault="000B433A">
                    <w:r>
                      <w:rPr>
                        <w:sz w:val="12"/>
                        <w:szCs w:val="12"/>
                        <w:lang w:val="en-US"/>
                      </w:rPr>
                      <w:t>10 000</w:t>
                    </w:r>
                  </w:p>
                </w:txbxContent>
              </v:textbox>
            </v:rect>
            <v:rect id="_x0000_s1049" style="position:absolute;left:373;top:3150;width:332;height:288;mso-wrap-style:none" filled="f" stroked="f">
              <v:textbox style="mso-fit-shape-to-text:t" inset="0,0,0,0">
                <w:txbxContent>
                  <w:p w:rsidR="000B433A" w:rsidRDefault="000B433A">
                    <w:r>
                      <w:rPr>
                        <w:sz w:val="12"/>
                        <w:szCs w:val="12"/>
                        <w:lang w:val="en-US"/>
                      </w:rPr>
                      <w:t>15 000</w:t>
                    </w:r>
                  </w:p>
                </w:txbxContent>
              </v:textbox>
            </v:rect>
            <v:rect id="_x0000_s1050" style="position:absolute;left:373;top:2378;width:332;height:288;mso-wrap-style:none" filled="f" stroked="f">
              <v:textbox style="mso-fit-shape-to-text:t" inset="0,0,0,0">
                <w:txbxContent>
                  <w:p w:rsidR="000B433A" w:rsidRDefault="000B433A">
                    <w:r>
                      <w:rPr>
                        <w:sz w:val="12"/>
                        <w:szCs w:val="12"/>
                        <w:lang w:val="en-US"/>
                      </w:rPr>
                      <w:t>20 000</w:t>
                    </w:r>
                  </w:p>
                </w:txbxContent>
              </v:textbox>
            </v:rect>
            <v:rect id="_x0000_s1051" style="position:absolute;left:373;top:1605;width:332;height:288;mso-wrap-style:none" filled="f" stroked="f">
              <v:textbox style="mso-fit-shape-to-text:t" inset="0,0,0,0">
                <w:txbxContent>
                  <w:p w:rsidR="000B433A" w:rsidRDefault="000B433A">
                    <w:r>
                      <w:rPr>
                        <w:sz w:val="12"/>
                        <w:szCs w:val="12"/>
                        <w:lang w:val="en-US"/>
                      </w:rPr>
                      <w:t>25 000</w:t>
                    </w:r>
                  </w:p>
                </w:txbxContent>
              </v:textbox>
            </v:rect>
            <v:rect id="_x0000_s1052" style="position:absolute;left:373;top:833;width:332;height:288;mso-wrap-style:none" filled="f" stroked="f">
              <v:textbox style="mso-fit-shape-to-text:t" inset="0,0,0,0">
                <w:txbxContent>
                  <w:p w:rsidR="000B433A" w:rsidRDefault="000B433A">
                    <w:r>
                      <w:rPr>
                        <w:sz w:val="12"/>
                        <w:szCs w:val="12"/>
                        <w:lang w:val="en-US"/>
                      </w:rPr>
                      <w:t>30 000</w:t>
                    </w:r>
                  </w:p>
                </w:txbxContent>
              </v:textbox>
            </v:rect>
            <v:rect id="_x0000_s1053" style="position:absolute;left:373;top:60;width:332;height:288;mso-wrap-style:none" filled="f" stroked="f">
              <v:textbox style="mso-fit-shape-to-text:t" inset="0,0,0,0">
                <w:txbxContent>
                  <w:p w:rsidR="000B433A" w:rsidRDefault="000B433A">
                    <w:r>
                      <w:rPr>
                        <w:sz w:val="12"/>
                        <w:szCs w:val="12"/>
                        <w:lang w:val="en-US"/>
                      </w:rPr>
                      <w:t>35 000</w:t>
                    </w:r>
                  </w:p>
                </w:txbxContent>
              </v:textbox>
            </v:rect>
            <v:rect id="_x0000_s1054" style="position:absolute;left:1334;top:5628;width:488;height:288;mso-wrap-style:none" filled="f" stroked="f">
              <v:textbox style="mso-fit-shape-to-text:t" inset="0,0,0,0">
                <w:txbxContent>
                  <w:p w:rsidR="000B433A" w:rsidRDefault="000B433A">
                    <w:r>
                      <w:rPr>
                        <w:sz w:val="12"/>
                        <w:szCs w:val="12"/>
                        <w:lang w:val="en-US"/>
                      </w:rPr>
                      <w:t>2005 (inv)</w:t>
                    </w:r>
                  </w:p>
                </w:txbxContent>
              </v:textbox>
            </v:rect>
            <v:rect id="_x0000_s1055" style="position:absolute;left:2978;top:5628;width:244;height:288;mso-wrap-style:none" filled="f" stroked="f">
              <v:textbox style="mso-fit-shape-to-text:t" inset="0,0,0,0">
                <w:txbxContent>
                  <w:p w:rsidR="000B433A" w:rsidRDefault="000B433A">
                    <w:r>
                      <w:rPr>
                        <w:sz w:val="12"/>
                        <w:szCs w:val="12"/>
                        <w:lang w:val="en-US"/>
                      </w:rPr>
                      <w:t>2015</w:t>
                    </w:r>
                  </w:p>
                </w:txbxContent>
              </v:textbox>
            </v:rect>
            <v:rect id="_x0000_s1056" style="position:absolute;left:4357;top:5628;width:539;height:288;mso-wrap-style:none" filled="f" stroked="f">
              <v:textbox style="mso-fit-shape-to-text:t" inset="0,0,0,0">
                <w:txbxContent>
                  <w:p w:rsidR="000B433A" w:rsidRDefault="000B433A">
                    <w:r>
                      <w:rPr>
                        <w:sz w:val="12"/>
                        <w:szCs w:val="12"/>
                        <w:lang w:val="en-US"/>
                      </w:rPr>
                      <w:t>WEM 2030</w:t>
                    </w:r>
                  </w:p>
                </w:txbxContent>
              </v:textbox>
            </v:rect>
            <v:rect id="_x0000_s1057" style="position:absolute;left:5882;top:5628;width:550;height:288;mso-wrap-style:none" filled="f" stroked="f">
              <v:textbox style="mso-fit-shape-to-text:t" inset="0,0,0,0">
                <w:txbxContent>
                  <w:p w:rsidR="000B433A" w:rsidRDefault="000B433A">
                    <w:r>
                      <w:rPr>
                        <w:sz w:val="12"/>
                        <w:szCs w:val="12"/>
                        <w:lang w:val="en-US"/>
                      </w:rPr>
                      <w:t>WAM 2030</w:t>
                    </w:r>
                  </w:p>
                </w:txbxContent>
              </v:textbox>
            </v:rect>
            <v:rect id="_x0000_s1058" style="position:absolute;left:305;top:3024;width:61;height:148;mso-wrap-style:none" filled="f" stroked="f">
              <v:textbox style="mso-fit-shape-to-text:t" inset="0,0,0,0">
                <w:txbxContent>
                  <w:p w:rsidR="000B433A" w:rsidRDefault="000B433A">
                    <w:r>
                      <w:rPr>
                        <w:b/>
                        <w:bCs/>
                        <w:sz w:val="2"/>
                        <w:szCs w:val="2"/>
                        <w:lang w:val="en-US"/>
                      </w:rPr>
                      <w:t>ktCO2e</w:t>
                    </w:r>
                  </w:p>
                </w:txbxContent>
              </v:textbox>
            </v:rect>
            <v:rect id="_x0000_s1059" style="position:absolute;left:1864;top:101;width:4448;height:738" filled="f" stroked="f">
              <v:textbox style="mso-fit-shape-to-text:t" inset="0,0,0,0">
                <w:txbxContent>
                  <w:p w:rsidR="000B433A" w:rsidRPr="007F6640" w:rsidRDefault="000B433A">
                    <w:pPr>
                      <w:rPr>
                        <w:lang w:val="de-DE"/>
                      </w:rPr>
                    </w:pPr>
                    <w:r w:rsidRPr="007F6640">
                      <w:rPr>
                        <w:b/>
                        <w:bCs/>
                        <w:sz w:val="22"/>
                        <w:lang w:val="de-DE"/>
                      </w:rPr>
                      <w:t>E</w:t>
                    </w:r>
                    <w:r w:rsidRPr="007F6640">
                      <w:rPr>
                        <w:rFonts w:cs="Calibri"/>
                        <w:b/>
                        <w:bCs/>
                        <w:color w:val="000000"/>
                        <w:sz w:val="22"/>
                        <w:lang w:val="de-DE"/>
                      </w:rPr>
                      <w:t>ntwicklung der THG-Emissionen für die</w:t>
                    </w:r>
                    <w:r>
                      <w:rPr>
                        <w:rFonts w:cs="Calibri"/>
                        <w:b/>
                        <w:bCs/>
                        <w:color w:val="000000"/>
                        <w:sz w:val="22"/>
                        <w:lang w:val="de-DE"/>
                      </w:rPr>
                      <w:t xml:space="preserve"> Nicht-ETS-Sektoren</w:t>
                    </w:r>
                  </w:p>
                </w:txbxContent>
              </v:textbox>
            </v:rect>
            <v:rect id="_x0000_s1060" style="position:absolute;left:7436;top:462;width:73;height:83" fillcolor="#d19392" stroked="f"/>
            <v:rect id="_x0000_s1061" style="position:absolute;left:7532;top:433;width:413;height:288;mso-wrap-style:none" filled="f" stroked="f">
              <v:textbox style="mso-fit-shape-to-text:t" inset="0,0,0,0">
                <w:txbxContent>
                  <w:p w:rsidR="000B433A" w:rsidRDefault="000B433A">
                    <w:r>
                      <w:rPr>
                        <w:sz w:val="12"/>
                        <w:szCs w:val="12"/>
                        <w:lang w:val="en-US"/>
                      </w:rPr>
                      <w:t>Sonstige</w:t>
                    </w:r>
                  </w:p>
                </w:txbxContent>
              </v:textbox>
            </v:rect>
            <v:rect id="_x0000_s1062" style="position:absolute;left:7436;top:765;width:73;height:82" fillcolor="#93a9cf" stroked="f"/>
            <v:rect id="_x0000_s1063" style="position:absolute;left:7532;top:734;width:342;height:288;mso-wrap-style:none" filled="f" stroked="f">
              <v:textbox style="mso-fit-shape-to-text:t" inset="0,0,0,0">
                <w:txbxContent>
                  <w:p w:rsidR="000B433A" w:rsidRDefault="000B433A">
                    <w:r>
                      <w:rPr>
                        <w:sz w:val="12"/>
                        <w:szCs w:val="12"/>
                        <w:lang w:val="en-US"/>
                      </w:rPr>
                      <w:t>Abfälle</w:t>
                    </w:r>
                  </w:p>
                </w:txbxContent>
              </v:textbox>
            </v:rect>
            <v:rect id="_x0000_s1064" style="position:absolute;left:7436;top:1067;width:73;height:73" fillcolor="#db843d" stroked="f"/>
            <v:rect id="_x0000_s1065" style="position:absolute;left:7532;top:1032;width:725;height:288;mso-wrap-style:none" filled="f" stroked="f">
              <v:textbox style="mso-fit-shape-to-text:t" inset="0,0,0,0">
                <w:txbxContent>
                  <w:p w:rsidR="000B433A" w:rsidRDefault="000B433A">
                    <w:r>
                      <w:rPr>
                        <w:sz w:val="12"/>
                        <w:szCs w:val="12"/>
                        <w:lang w:val="en-US"/>
                      </w:rPr>
                      <w:t>Landwirtschaft</w:t>
                    </w:r>
                  </w:p>
                </w:txbxContent>
              </v:textbox>
            </v:rect>
            <v:rect id="_x0000_s1066" style="position:absolute;left:7436;top:1369;width:73;height:73" fillcolor="#4198af" stroked="f"/>
            <v:rect id="_x0000_s1067" style="position:absolute;left:7532;top:1332;width:819;height:288;mso-wrap-style:none" filled="f" stroked="f">
              <v:textbox style="mso-fit-shape-to-text:t" inset="0,0,0,0">
                <w:txbxContent>
                  <w:p w:rsidR="000B433A" w:rsidRDefault="000B433A">
                    <w:r>
                      <w:rPr>
                        <w:sz w:val="12"/>
                        <w:szCs w:val="12"/>
                        <w:lang w:val="en-US"/>
                      </w:rPr>
                      <w:t>Dienstleistungen</w:t>
                    </w:r>
                  </w:p>
                </w:txbxContent>
              </v:textbox>
            </v:rect>
            <v:rect id="_x0000_s1068" style="position:absolute;left:7436;top:1662;width:73;height:82" fillcolor="#71588f" stroked="f"/>
            <v:rect id="_x0000_s1069" style="position:absolute;left:7532;top:1632;width:833;height:288;mso-wrap-style:none" filled="f" stroked="f">
              <v:textbox style="mso-fit-shape-to-text:t" inset="0,0,0,0">
                <w:txbxContent>
                  <w:p w:rsidR="000B433A" w:rsidRDefault="000B433A">
                    <w:r>
                      <w:rPr>
                        <w:sz w:val="12"/>
                        <w:szCs w:val="12"/>
                        <w:lang w:val="en-US"/>
                      </w:rPr>
                      <w:t>Wohnungssektor</w:t>
                    </w:r>
                  </w:p>
                </w:txbxContent>
              </v:textbox>
            </v:rect>
            <v:rect id="_x0000_s1070" style="position:absolute;left:7436;top:1964;width:73;height:74" fillcolor="#89a54e" stroked="f"/>
            <v:rect id="_x0000_s1071" style="position:absolute;left:7532;top:1933;width:477;height:288;mso-wrap-style:none" filled="f" stroked="f">
              <v:textbox style="mso-fit-shape-to-text:t" inset="0,0,0,0">
                <w:txbxContent>
                  <w:p w:rsidR="000B433A" w:rsidRDefault="000B433A">
                    <w:r>
                      <w:rPr>
                        <w:sz w:val="12"/>
                        <w:szCs w:val="12"/>
                        <w:lang w:val="en-US"/>
                      </w:rPr>
                      <w:t>Transport</w:t>
                    </w:r>
                  </w:p>
                </w:txbxContent>
              </v:textbox>
            </v:rect>
            <v:rect id="_x0000_s1072" style="position:absolute;left:7436;top:2266;width:73;height:74" fillcolor="#aa4643" stroked="f"/>
            <v:rect id="_x0000_s1073" style="position:absolute;left:7532;top:2231;width:436;height:288;mso-wrap-style:none" filled="f" stroked="f">
              <v:textbox style="mso-fit-shape-to-text:t" inset="0,0,0,0">
                <w:txbxContent>
                  <w:p w:rsidR="000B433A" w:rsidRDefault="000B433A">
                    <w:r>
                      <w:rPr>
                        <w:sz w:val="12"/>
                        <w:szCs w:val="12"/>
                        <w:lang w:val="en-US"/>
                      </w:rPr>
                      <w:t xml:space="preserve">Industrie </w:t>
                    </w:r>
                  </w:p>
                </w:txbxContent>
              </v:textbox>
            </v:rect>
            <v:rect id="_x0000_s1074" style="position:absolute;left:7436;top:2569;width:73;height:73" fillcolor="#4572a7" stroked="f"/>
            <v:rect id="_x0000_s1075" style="position:absolute;left:7532;top:2531;width:764;height:288;mso-wrap-style:none" filled="f" stroked="f">
              <v:textbox style="mso-fit-shape-to-text:t" inset="0,0,0,0">
                <w:txbxContent>
                  <w:p w:rsidR="000B433A" w:rsidRDefault="000B433A">
                    <w:r>
                      <w:rPr>
                        <w:sz w:val="12"/>
                        <w:szCs w:val="12"/>
                        <w:lang w:val="en-US"/>
                      </w:rPr>
                      <w:t xml:space="preserve">Energie (Strom- </w:t>
                    </w:r>
                  </w:p>
                </w:txbxContent>
              </v:textbox>
            </v:rect>
            <v:rect id="_x0000_s1076" style="position:absolute;left:7532;top:2679;width:548;height:288;mso-wrap-style:none" filled="f" stroked="f">
              <v:textbox style="mso-fit-shape-to-text:t" inset="0,0,0,0">
                <w:txbxContent>
                  <w:p w:rsidR="000B433A" w:rsidRDefault="000B433A">
                    <w:proofErr w:type="gramStart"/>
                    <w:r>
                      <w:rPr>
                        <w:sz w:val="12"/>
                        <w:szCs w:val="12"/>
                        <w:lang w:val="en-US"/>
                      </w:rPr>
                      <w:t>erzeugung</w:t>
                    </w:r>
                    <w:proofErr w:type="gramEnd"/>
                    <w:r>
                      <w:rPr>
                        <w:sz w:val="12"/>
                        <w:szCs w:val="12"/>
                        <w:lang w:val="en-US"/>
                      </w:rPr>
                      <w:t>)</w:t>
                    </w:r>
                  </w:p>
                </w:txbxContent>
              </v:textbox>
            </v:rect>
            <v:shape id="_x0000_s1077" style="position:absolute;left:5;top:5;width:8950;height:5860" coordsize="15648,10240" path="m,8hdc,4,4,,8,hal15640,hdc15645,,15648,4,15648,8hal15648,10232hdc15648,10237,15645,10240,15640,10240hal8,10240hdc4,10240,,10237,,10232hal,8hdxm16,10232hal8,10224r15632,l15632,10232,15632,8r8,8l8,16,16,8r,10224hdxe" fillcolor="#868686" strokecolor="#868686" strokeweight=".05pt">
              <v:path arrowok="t"/>
              <o:lock v:ext="edit" verticies="t"/>
            </v:shape>
            <v:rect id="_x0000_s1078" style="position:absolute;left:1547;top:975;width:4576;height:9" fillcolor="#46aac5" strokecolor="#46aac5" strokeweight=".05pt">
              <v:stroke joinstyle="round"/>
            </v:rect>
            <v:shape id="_x0000_s1079" style="position:absolute;left:6118;top:980;width:18;height:1795" coordsize="18,1795" path="m9,r9,1795l9,1795,,,9,xe" fillcolor="#46aac5" strokecolor="#46aac5" strokeweight=".05pt">
              <v:path arrowok="t"/>
            </v:shape>
            <v:rect id="_x0000_s1080" style="position:absolute;left:4599;top:980;width:9;height:1108" fillcolor="#4bacc6" strokecolor="#4bacc6" strokeweight=".05pt">
              <v:stroke joinstyle="round"/>
            </v:rect>
            <v:shape id="_x0000_s1081" style="position:absolute;left:3071;top:971;width:18;height:815" coordsize="18,815" path="m18,l9,815r-9,l9,r9,xe" fillcolor="#4bacc6" strokecolor="#4bacc6" strokeweight=".05pt">
              <v:path arrowok="t"/>
            </v:shape>
            <v:shape id="_x0000_s1082" style="position:absolute;left:3125;top:1259;width:650;height:266" coordsize="1136,464" path="m,8hdc,4,4,,8,hal1128,hdc1133,,1136,4,1136,8hal1136,456hdc1136,461,1133,464,1128,464hal8,464hdc4,464,,461,,456hal,8hdxm16,456hal8,448r1120,l1120,456r,-448l1128,16,8,16,16,8r,448hdxe" fillcolor="#4bacc6" strokecolor="#4bacc6" strokeweight=".05pt">
              <v:path arrowok="t"/>
              <o:lock v:ext="edit" verticies="t"/>
            </v:shape>
            <v:rect id="_x0000_s1083" style="position:absolute;left:3219;top:1309;width:43;height:317;mso-wrap-style:none" filled="f" stroked="f">
              <v:textbox style="mso-fit-shape-to-text:t" inset="0,0,0,0">
                <w:txbxContent>
                  <w:p w:rsidR="000B433A" w:rsidRDefault="000B433A">
                    <w:r>
                      <w:rPr>
                        <w:sz w:val="14"/>
                        <w:szCs w:val="14"/>
                        <w:lang w:val="en-US"/>
                      </w:rPr>
                      <w:t>-</w:t>
                    </w:r>
                  </w:p>
                </w:txbxContent>
              </v:textbox>
            </v:rect>
            <v:rect id="_x0000_s1084" style="position:absolute;left:3283;top:1309;width:348;height:317;mso-wrap-style:none" filled="f" stroked="f">
              <v:textbox style="mso-fit-shape-to-text:t" inset="0,0,0,0">
                <w:txbxContent>
                  <w:p w:rsidR="000B433A" w:rsidRDefault="000B433A">
                    <w:r>
                      <w:rPr>
                        <w:sz w:val="14"/>
                        <w:szCs w:val="14"/>
                        <w:lang w:val="en-US"/>
                      </w:rPr>
                      <w:t>17</w:t>
                    </w:r>
                    <w:proofErr w:type="gramStart"/>
                    <w:r>
                      <w:rPr>
                        <w:sz w:val="14"/>
                        <w:szCs w:val="14"/>
                        <w:lang w:val="en-US"/>
                      </w:rPr>
                      <w:t>,6</w:t>
                    </w:r>
                    <w:proofErr w:type="gramEnd"/>
                    <w:r>
                      <w:rPr>
                        <w:sz w:val="14"/>
                        <w:szCs w:val="14"/>
                        <w:lang w:val="en-US"/>
                      </w:rPr>
                      <w:t>%</w:t>
                    </w:r>
                  </w:p>
                </w:txbxContent>
              </v:textbox>
            </v:rect>
            <v:shape id="_x0000_s1085" style="position:absolute;left:4663;top:1277;width:595;height:257" coordsize="1040,448" path="m,8hdc,4,4,,8,hal1032,hdc1037,,1040,4,1040,8hal1040,440hdc1040,445,1037,448,1032,448hal8,448hdc4,448,,445,,440hal,8hdxm16,440hal8,432r1024,l1024,440r,-432l1032,16,8,16,16,8r,432hdxe" fillcolor="#4bacc6" strokecolor="#4bacc6" strokeweight=".05pt">
              <v:path arrowok="t"/>
              <o:lock v:ext="edit" verticies="t"/>
            </v:shape>
            <v:rect id="_x0000_s1086" style="position:absolute;left:4754;top:1323;width:43;height:317;mso-wrap-style:none" filled="f" stroked="f">
              <v:textbox style="mso-fit-shape-to-text:t" inset="0,0,0,0">
                <w:txbxContent>
                  <w:p w:rsidR="000B433A" w:rsidRDefault="000B433A">
                    <w:r>
                      <w:rPr>
                        <w:sz w:val="14"/>
                        <w:szCs w:val="14"/>
                        <w:lang w:val="en-US"/>
                      </w:rPr>
                      <w:t>-</w:t>
                    </w:r>
                  </w:p>
                </w:txbxContent>
              </v:textbox>
            </v:rect>
            <v:rect id="_x0000_s1087" style="position:absolute;left:4818;top:1323;width:348;height:317;mso-wrap-style:none" filled="f" stroked="f">
              <v:textbox style="mso-fit-shape-to-text:t" inset="0,0,0,0">
                <w:txbxContent>
                  <w:p w:rsidR="000B433A" w:rsidRDefault="000B433A">
                    <w:r>
                      <w:rPr>
                        <w:sz w:val="14"/>
                        <w:szCs w:val="14"/>
                        <w:lang w:val="en-US"/>
                      </w:rPr>
                      <w:t>24</w:t>
                    </w:r>
                    <w:proofErr w:type="gramStart"/>
                    <w:r>
                      <w:rPr>
                        <w:sz w:val="14"/>
                        <w:szCs w:val="14"/>
                        <w:lang w:val="en-US"/>
                      </w:rPr>
                      <w:t>,5</w:t>
                    </w:r>
                    <w:proofErr w:type="gramEnd"/>
                    <w:r>
                      <w:rPr>
                        <w:sz w:val="14"/>
                        <w:szCs w:val="14"/>
                        <w:lang w:val="en-US"/>
                      </w:rPr>
                      <w:t>%</w:t>
                    </w:r>
                  </w:p>
                </w:txbxContent>
              </v:textbox>
            </v:rect>
            <v:shape id="_x0000_s1088" style="position:absolute;left:6201;top:1864;width:604;height:265" coordsize="1056,464" path="m,8hdc,4,4,,8,hal1048,hdc1053,,1056,4,1056,8hal1056,456hdc1056,461,1053,464,1048,464hal8,464hdc4,464,,461,,456hal,8hdxm16,456hal8,448r1040,l1040,456r,-448l1048,16,8,16,16,8r,448hdxe" fillcolor="#4bacc6" strokecolor="#4bacc6" strokeweight=".05pt">
              <v:path arrowok="t"/>
              <o:lock v:ext="edit" verticies="t"/>
            </v:shape>
            <v:rect id="_x0000_s1089" style="position:absolute;left:6289;top:1914;width:43;height:317;mso-wrap-style:none" filled="f" stroked="f">
              <v:textbox style="mso-fit-shape-to-text:t" inset="0,0,0,0">
                <w:txbxContent>
                  <w:p w:rsidR="000B433A" w:rsidRDefault="000B433A">
                    <w:r>
                      <w:rPr>
                        <w:sz w:val="14"/>
                        <w:szCs w:val="14"/>
                        <w:lang w:val="en-US"/>
                      </w:rPr>
                      <w:t>-</w:t>
                    </w:r>
                  </w:p>
                </w:txbxContent>
              </v:textbox>
            </v:rect>
            <v:rect id="_x0000_s1090" style="position:absolute;left:6354;top:1914;width:242;height:317;mso-wrap-style:none" filled="f" stroked="f">
              <v:textbox style="mso-fit-shape-to-text:t" inset="0,0,0,0">
                <w:txbxContent>
                  <w:p w:rsidR="000B433A" w:rsidRDefault="000B433A">
                    <w:r>
                      <w:rPr>
                        <w:sz w:val="14"/>
                        <w:szCs w:val="14"/>
                        <w:lang w:val="en-US"/>
                      </w:rPr>
                      <w:t>37%</w:t>
                    </w:r>
                  </w:p>
                </w:txbxContent>
              </v:textbox>
            </v:rect>
            <w10:wrap type="none"/>
            <w10:anchorlock/>
          </v:group>
        </w:pict>
      </w:r>
    </w:p>
    <w:p w:rsidR="000B433A" w:rsidRPr="00D07F58" w:rsidRDefault="000B433A" w:rsidP="008F6F57">
      <w:pPr>
        <w:pStyle w:val="Lgende"/>
        <w:rPr>
          <w:lang w:val="de-DE"/>
        </w:rPr>
      </w:pPr>
      <w:r>
        <w:rPr>
          <w:lang w:val="de-DE"/>
        </w:rPr>
        <w:t xml:space="preserve">Abbildung </w:t>
      </w:r>
      <w:r w:rsidR="005A6B21" w:rsidRPr="00C33976">
        <w:rPr>
          <w:lang w:val="de-DE"/>
        </w:rPr>
        <w:fldChar w:fldCharType="begin"/>
      </w:r>
      <w:r w:rsidRPr="00C33976">
        <w:rPr>
          <w:lang w:val="de-DE"/>
        </w:rPr>
        <w:instrText xml:space="preserve"> SEQ Figure \* ARABIC </w:instrText>
      </w:r>
      <w:r w:rsidR="005A6B21" w:rsidRPr="00C33976">
        <w:rPr>
          <w:lang w:val="de-DE"/>
        </w:rPr>
        <w:fldChar w:fldCharType="separate"/>
      </w:r>
      <w:r>
        <w:rPr>
          <w:lang w:val="de-DE"/>
        </w:rPr>
        <w:t>6</w:t>
      </w:r>
      <w:r w:rsidR="005A6B21" w:rsidRPr="00C33976">
        <w:rPr>
          <w:lang w:val="de-DE"/>
        </w:rPr>
        <w:fldChar w:fldCharType="end"/>
      </w:r>
      <w:r>
        <w:rPr>
          <w:lang w:val="de-DE"/>
        </w:rPr>
        <w:t>: Entwicklung der Treibhausgasemissionen für Nicht-EHS-Sektoren</w:t>
      </w:r>
    </w:p>
    <w:p w:rsidR="000B433A" w:rsidRPr="00C33976" w:rsidRDefault="000B433A" w:rsidP="00183130">
      <w:pPr>
        <w:pStyle w:val="Titre3"/>
        <w:numPr>
          <w:ilvl w:val="2"/>
          <w:numId w:val="1"/>
        </w:numPr>
        <w:ind w:left="851" w:hanging="851"/>
        <w:rPr>
          <w:rFonts w:ascii="Calibri" w:hAnsi="Calibri" w:cs="Calibri"/>
          <w:color w:val="1F497D"/>
          <w:lang w:val="de-DE"/>
        </w:rPr>
      </w:pPr>
      <w:r w:rsidRPr="00B370EA">
        <w:rPr>
          <w:rFonts w:ascii="Calibri" w:hAnsi="Calibri" w:cs="Calibri"/>
          <w:color w:val="1F497D"/>
          <w:lang w:val="de-DE"/>
        </w:rPr>
        <w:t>Erneuerbare</w:t>
      </w:r>
      <w:r>
        <w:rPr>
          <w:rFonts w:ascii="Calibri" w:hAnsi="Calibri" w:cs="Calibri"/>
          <w:color w:val="1F497D"/>
          <w:lang w:val="de-DE"/>
        </w:rPr>
        <w:t xml:space="preserve"> Energie</w:t>
      </w:r>
    </w:p>
    <w:p w:rsidR="000B433A" w:rsidRPr="00C33976" w:rsidRDefault="000B433A" w:rsidP="008F6F57">
      <w:pPr>
        <w:rPr>
          <w:rFonts w:cs="Calibri"/>
          <w:szCs w:val="24"/>
          <w:lang w:val="de-DE"/>
        </w:rPr>
      </w:pPr>
      <w:r>
        <w:rPr>
          <w:rFonts w:cs="Calibri"/>
          <w:lang w:val="de-DE"/>
        </w:rPr>
        <w:t>In seinem Entschluss vom 28. September 2017 forderte das wallonische Parlament die Regierung auf, sich bis 2050 das Ziel von 100 % erneuerbaren Energien im wallonischen Endenergieverbrauch zu setzen.</w:t>
      </w:r>
    </w:p>
    <w:p w:rsidR="000B433A" w:rsidRPr="00C33976" w:rsidRDefault="000B433A" w:rsidP="008F6F57">
      <w:pPr>
        <w:rPr>
          <w:rFonts w:cs="Calibri"/>
          <w:szCs w:val="24"/>
          <w:lang w:val="de-DE"/>
        </w:rPr>
      </w:pPr>
      <w:r>
        <w:rPr>
          <w:rFonts w:cs="Calibri"/>
          <w:lang w:val="de-DE"/>
        </w:rPr>
        <w:t xml:space="preserve">Der von den vier belgischen Energieministern im Dezember 2017 ausgearbeitete Energiepakt setzt ein Ziel von 40 % erneuerbarer Elektrizität bis 2030. </w:t>
      </w:r>
    </w:p>
    <w:p w:rsidR="000B433A" w:rsidRDefault="000B433A" w:rsidP="008F6F57">
      <w:pPr>
        <w:rPr>
          <w:rFonts w:cs="Calibri"/>
          <w:szCs w:val="24"/>
          <w:lang w:val="de-DE"/>
        </w:rPr>
      </w:pPr>
      <w:r>
        <w:rPr>
          <w:rFonts w:cs="Calibri"/>
          <w:lang w:val="de-DE"/>
        </w:rPr>
        <w:t>Die geplanten Politiken und Maßnahmen (WAM) führen zu einem Gesamtanteil der erneuerbaren Energien von 23,5 % im Jahr 2030, d. h. 10,5 Prozentpunkte mehr als im Szenario mit bestehenden Maßnahmen (WEM). Der höhere Anteil an WAM im Vergleich zu WEM resultiert aus einem Anstieg der erneuerbaren Erzeugung, aber auch aus einem Rückgang des Bruttoendstromverbrauchs.</w:t>
      </w:r>
    </w:p>
    <w:p w:rsidR="000B433A" w:rsidRDefault="000B433A" w:rsidP="008F6F57">
      <w:pPr>
        <w:rPr>
          <w:rFonts w:cs="Calibri"/>
          <w:szCs w:val="24"/>
          <w:lang w:val="de-DE"/>
        </w:rPr>
      </w:pPr>
    </w:p>
    <w:p w:rsidR="000B433A" w:rsidRDefault="000B433A" w:rsidP="008F6F57">
      <w:pPr>
        <w:rPr>
          <w:rFonts w:cs="Calibri"/>
          <w:szCs w:val="24"/>
          <w:lang w:val="de-DE"/>
        </w:rPr>
      </w:pPr>
    </w:p>
    <w:p w:rsidR="000B433A" w:rsidRDefault="000B433A" w:rsidP="008F6F57">
      <w:pPr>
        <w:rPr>
          <w:rFonts w:cs="Calibri"/>
          <w:szCs w:val="24"/>
          <w:lang w:val="de-DE"/>
        </w:rPr>
      </w:pPr>
    </w:p>
    <w:p w:rsidR="000B433A" w:rsidRPr="00C33976" w:rsidRDefault="000B433A" w:rsidP="008F6F57">
      <w:pPr>
        <w:rPr>
          <w:rFonts w:cs="Calibri"/>
          <w:szCs w:val="24"/>
          <w:lang w:val="de-DE"/>
        </w:rPr>
      </w:pPr>
    </w:p>
    <w:tbl>
      <w:tblPr>
        <w:tblW w:w="891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982"/>
        <w:gridCol w:w="984"/>
        <w:gridCol w:w="1143"/>
        <w:gridCol w:w="1418"/>
        <w:gridCol w:w="1110"/>
        <w:gridCol w:w="1282"/>
      </w:tblGrid>
      <w:tr w:rsidR="000B433A" w:rsidRPr="005759E4" w:rsidTr="00183130">
        <w:trPr>
          <w:trHeight w:val="300"/>
          <w:tblHeader/>
        </w:trPr>
        <w:tc>
          <w:tcPr>
            <w:tcW w:w="2982" w:type="dxa"/>
            <w:shd w:val="clear" w:color="000000" w:fill="F2DDDC"/>
            <w:noWrap/>
            <w:vAlign w:val="bottom"/>
          </w:tcPr>
          <w:p w:rsidR="000B433A" w:rsidRPr="005759E4" w:rsidRDefault="000B433A" w:rsidP="008F6F57">
            <w:pPr>
              <w:spacing w:after="0" w:line="240" w:lineRule="auto"/>
              <w:jc w:val="center"/>
              <w:rPr>
                <w:rFonts w:cs="Calibri"/>
                <w:i/>
                <w:iCs/>
                <w:color w:val="000000"/>
                <w:lang w:val="de-DE"/>
              </w:rPr>
            </w:pPr>
            <w:r w:rsidRPr="005759E4">
              <w:rPr>
                <w:rFonts w:cs="Calibri"/>
                <w:i/>
                <w:color w:val="000000"/>
                <w:sz w:val="22"/>
                <w:lang w:val="de-DE"/>
              </w:rPr>
              <w:t>GWh</w:t>
            </w:r>
          </w:p>
        </w:tc>
        <w:tc>
          <w:tcPr>
            <w:tcW w:w="984" w:type="dxa"/>
            <w:shd w:val="clear" w:color="000000" w:fill="F2DDDC"/>
            <w:vAlign w:val="center"/>
          </w:tcPr>
          <w:p w:rsidR="000B433A" w:rsidRPr="005759E4" w:rsidRDefault="000B433A" w:rsidP="008F6F57">
            <w:pPr>
              <w:spacing w:after="0" w:line="240" w:lineRule="auto"/>
              <w:rPr>
                <w:rFonts w:cs="Calibri"/>
                <w:b/>
                <w:color w:val="000000"/>
                <w:lang w:val="de-DE"/>
              </w:rPr>
            </w:pPr>
            <w:r w:rsidRPr="005759E4">
              <w:rPr>
                <w:rFonts w:cs="Calibri"/>
                <w:b/>
                <w:color w:val="000000"/>
                <w:sz w:val="22"/>
                <w:lang w:val="de-DE"/>
              </w:rPr>
              <w:t>Erreicht 2015</w:t>
            </w:r>
          </w:p>
        </w:tc>
        <w:tc>
          <w:tcPr>
            <w:tcW w:w="1143" w:type="dxa"/>
            <w:shd w:val="clear" w:color="000000" w:fill="F2DDDC"/>
            <w:noWrap/>
            <w:vAlign w:val="center"/>
          </w:tcPr>
          <w:p w:rsidR="000B433A" w:rsidRPr="005759E4" w:rsidRDefault="000B433A" w:rsidP="008F6F57">
            <w:pPr>
              <w:spacing w:after="0" w:line="240" w:lineRule="auto"/>
              <w:rPr>
                <w:b/>
                <w:color w:val="000000"/>
                <w:lang w:val="de-DE"/>
              </w:rPr>
            </w:pPr>
            <w:r w:rsidRPr="005759E4">
              <w:rPr>
                <w:b/>
                <w:color w:val="000000"/>
                <w:sz w:val="22"/>
                <w:lang w:val="de-DE"/>
              </w:rPr>
              <w:t>Erreicht 2016</w:t>
            </w:r>
          </w:p>
        </w:tc>
        <w:tc>
          <w:tcPr>
            <w:tcW w:w="1418" w:type="dxa"/>
            <w:shd w:val="clear" w:color="000000" w:fill="F2DDDC"/>
            <w:noWrap/>
            <w:vAlign w:val="center"/>
          </w:tcPr>
          <w:p w:rsidR="000B433A" w:rsidRPr="005759E4" w:rsidRDefault="000B433A" w:rsidP="008F6F57">
            <w:pPr>
              <w:spacing w:after="0" w:line="240" w:lineRule="auto"/>
              <w:rPr>
                <w:rFonts w:cs="Calibri"/>
                <w:b/>
                <w:color w:val="000000"/>
                <w:lang w:val="de-DE"/>
              </w:rPr>
            </w:pPr>
            <w:r w:rsidRPr="005759E4">
              <w:rPr>
                <w:rFonts w:cs="Calibri"/>
                <w:b/>
                <w:color w:val="000000"/>
                <w:sz w:val="22"/>
                <w:lang w:val="de-DE"/>
              </w:rPr>
              <w:t>Ziel bis 2020</w:t>
            </w:r>
          </w:p>
        </w:tc>
        <w:tc>
          <w:tcPr>
            <w:tcW w:w="1110" w:type="dxa"/>
            <w:shd w:val="clear" w:color="000000" w:fill="F2DDDC"/>
            <w:vAlign w:val="center"/>
          </w:tcPr>
          <w:p w:rsidR="000B433A" w:rsidRPr="005759E4" w:rsidRDefault="000B433A" w:rsidP="008F6F57">
            <w:pPr>
              <w:spacing w:after="0" w:line="240" w:lineRule="auto"/>
              <w:rPr>
                <w:rFonts w:cs="Calibri"/>
                <w:b/>
                <w:color w:val="000000"/>
                <w:lang w:val="de-DE"/>
              </w:rPr>
            </w:pPr>
            <w:r w:rsidRPr="005759E4">
              <w:rPr>
                <w:rFonts w:cs="Calibri"/>
                <w:b/>
                <w:color w:val="000000"/>
                <w:sz w:val="22"/>
                <w:lang w:val="de-DE"/>
              </w:rPr>
              <w:t>Ziel 2030 WEM</w:t>
            </w:r>
            <w:r w:rsidRPr="005759E4">
              <w:rPr>
                <w:rStyle w:val="Appelnotedebasdep"/>
                <w:rFonts w:cs="Calibri"/>
                <w:color w:val="000000"/>
                <w:lang w:val="de-DE"/>
              </w:rPr>
              <w:footnoteReference w:id="9"/>
            </w:r>
          </w:p>
        </w:tc>
        <w:tc>
          <w:tcPr>
            <w:tcW w:w="1282" w:type="dxa"/>
            <w:shd w:val="clear" w:color="000000" w:fill="F2DDDC"/>
            <w:vAlign w:val="center"/>
          </w:tcPr>
          <w:p w:rsidR="000B433A" w:rsidRPr="005759E4" w:rsidRDefault="000B433A" w:rsidP="008F6F57">
            <w:pPr>
              <w:spacing w:after="0" w:line="240" w:lineRule="auto"/>
              <w:rPr>
                <w:rFonts w:cs="Calibri"/>
                <w:b/>
                <w:color w:val="000000"/>
                <w:lang w:val="de-DE"/>
              </w:rPr>
            </w:pPr>
            <w:r w:rsidRPr="005759E4">
              <w:rPr>
                <w:rFonts w:cs="Calibri"/>
                <w:b/>
                <w:color w:val="000000"/>
                <w:sz w:val="22"/>
                <w:lang w:val="de-DE"/>
              </w:rPr>
              <w:t>Ziel 2030 WAM</w:t>
            </w:r>
            <w:r w:rsidRPr="005759E4">
              <w:rPr>
                <w:rStyle w:val="Appelnotedebasdep"/>
                <w:rFonts w:cs="Calibri"/>
                <w:color w:val="000000"/>
                <w:lang w:val="de-DE"/>
              </w:rPr>
              <w:footnoteReference w:id="10"/>
            </w:r>
          </w:p>
        </w:tc>
      </w:tr>
      <w:tr w:rsidR="000B433A" w:rsidRPr="005759E4" w:rsidTr="00183130">
        <w:trPr>
          <w:trHeight w:val="300"/>
        </w:trPr>
        <w:tc>
          <w:tcPr>
            <w:tcW w:w="2982" w:type="dxa"/>
            <w:noWrap/>
            <w:vAlign w:val="bottom"/>
          </w:tcPr>
          <w:p w:rsidR="000B433A" w:rsidRPr="005759E4" w:rsidRDefault="000B433A" w:rsidP="008F6F57">
            <w:pPr>
              <w:spacing w:after="0" w:line="240" w:lineRule="auto"/>
              <w:rPr>
                <w:rFonts w:cs="Calibri"/>
                <w:color w:val="000000"/>
                <w:lang w:val="de-DE"/>
              </w:rPr>
            </w:pPr>
            <w:r w:rsidRPr="005759E4">
              <w:rPr>
                <w:rFonts w:cs="Calibri"/>
                <w:color w:val="000000"/>
                <w:sz w:val="22"/>
                <w:lang w:val="de-DE"/>
              </w:rPr>
              <w:t xml:space="preserve">Strom </w:t>
            </w:r>
          </w:p>
        </w:tc>
        <w:tc>
          <w:tcPr>
            <w:tcW w:w="984" w:type="dxa"/>
          </w:tcPr>
          <w:p w:rsidR="000B433A" w:rsidRPr="005759E4" w:rsidRDefault="000B433A" w:rsidP="008F6F57">
            <w:pPr>
              <w:spacing w:after="0" w:line="240" w:lineRule="auto"/>
              <w:jc w:val="center"/>
              <w:rPr>
                <w:rFonts w:cs="Calibri"/>
                <w:color w:val="000000"/>
                <w:lang w:val="de-DE"/>
              </w:rPr>
            </w:pPr>
            <w:r w:rsidRPr="005759E4">
              <w:rPr>
                <w:rFonts w:cs="Calibri"/>
                <w:color w:val="000000"/>
                <w:sz w:val="22"/>
                <w:lang w:val="de-DE"/>
              </w:rPr>
              <w:t>4 060</w:t>
            </w:r>
          </w:p>
        </w:tc>
        <w:tc>
          <w:tcPr>
            <w:tcW w:w="1143" w:type="dxa"/>
            <w:noWrap/>
            <w:vAlign w:val="bottom"/>
          </w:tcPr>
          <w:p w:rsidR="000B433A" w:rsidRPr="005759E4" w:rsidRDefault="000B433A" w:rsidP="008F6F57">
            <w:pPr>
              <w:spacing w:after="0" w:line="240" w:lineRule="auto"/>
              <w:jc w:val="center"/>
              <w:rPr>
                <w:color w:val="000000"/>
                <w:lang w:val="de-DE"/>
              </w:rPr>
            </w:pPr>
            <w:r w:rsidRPr="005759E4">
              <w:rPr>
                <w:color w:val="000000"/>
                <w:sz w:val="22"/>
                <w:lang w:val="de-DE"/>
              </w:rPr>
              <w:t>4 463</w:t>
            </w:r>
          </w:p>
        </w:tc>
        <w:tc>
          <w:tcPr>
            <w:tcW w:w="1418" w:type="dxa"/>
            <w:noWrap/>
            <w:vAlign w:val="bottom"/>
          </w:tcPr>
          <w:p w:rsidR="000B433A" w:rsidRPr="005759E4" w:rsidRDefault="000B433A" w:rsidP="008F6F57">
            <w:pPr>
              <w:spacing w:after="0" w:line="240" w:lineRule="auto"/>
              <w:jc w:val="center"/>
              <w:rPr>
                <w:rFonts w:cs="Calibri"/>
                <w:color w:val="000000"/>
                <w:lang w:val="de-DE"/>
              </w:rPr>
            </w:pPr>
            <w:r w:rsidRPr="005759E4">
              <w:rPr>
                <w:rFonts w:cs="Calibri"/>
                <w:color w:val="000000"/>
                <w:sz w:val="22"/>
                <w:lang w:val="de-DE"/>
              </w:rPr>
              <w:t>5 555</w:t>
            </w:r>
          </w:p>
        </w:tc>
        <w:tc>
          <w:tcPr>
            <w:tcW w:w="1110" w:type="dxa"/>
          </w:tcPr>
          <w:p w:rsidR="000B433A" w:rsidRPr="005759E4" w:rsidRDefault="000B433A" w:rsidP="008F6F57">
            <w:pPr>
              <w:spacing w:after="0" w:line="240" w:lineRule="auto"/>
              <w:jc w:val="center"/>
              <w:rPr>
                <w:rFonts w:cs="Calibri"/>
                <w:color w:val="000000"/>
                <w:lang w:val="de-DE"/>
              </w:rPr>
            </w:pPr>
            <w:r w:rsidRPr="005759E4">
              <w:rPr>
                <w:rFonts w:cs="Calibri"/>
                <w:color w:val="000000"/>
                <w:sz w:val="22"/>
                <w:lang w:val="de-DE"/>
              </w:rPr>
              <w:t>5691</w:t>
            </w:r>
          </w:p>
        </w:tc>
        <w:tc>
          <w:tcPr>
            <w:tcW w:w="1282" w:type="dxa"/>
            <w:vAlign w:val="bottom"/>
          </w:tcPr>
          <w:p w:rsidR="000B433A" w:rsidRPr="005759E4" w:rsidRDefault="000B433A" w:rsidP="008F6F57">
            <w:pPr>
              <w:spacing w:after="0" w:line="240" w:lineRule="auto"/>
              <w:jc w:val="center"/>
              <w:rPr>
                <w:rFonts w:cs="Calibri"/>
                <w:color w:val="000000"/>
                <w:lang w:val="de-DE"/>
              </w:rPr>
            </w:pPr>
            <w:r w:rsidRPr="005759E4">
              <w:rPr>
                <w:rFonts w:cs="Calibri"/>
                <w:color w:val="000000"/>
                <w:sz w:val="22"/>
                <w:lang w:val="de-DE"/>
              </w:rPr>
              <w:t>10 081</w:t>
            </w:r>
          </w:p>
        </w:tc>
      </w:tr>
      <w:tr w:rsidR="000B433A" w:rsidRPr="005759E4" w:rsidTr="00183130">
        <w:trPr>
          <w:trHeight w:val="300"/>
        </w:trPr>
        <w:tc>
          <w:tcPr>
            <w:tcW w:w="2982" w:type="dxa"/>
            <w:noWrap/>
            <w:vAlign w:val="bottom"/>
          </w:tcPr>
          <w:p w:rsidR="000B433A" w:rsidRPr="005759E4" w:rsidRDefault="000B433A" w:rsidP="008F6F57">
            <w:pPr>
              <w:spacing w:after="0" w:line="240" w:lineRule="auto"/>
              <w:rPr>
                <w:rFonts w:cs="Calibri"/>
                <w:color w:val="000000"/>
                <w:lang w:val="de-DE"/>
              </w:rPr>
            </w:pPr>
            <w:r w:rsidRPr="005759E4">
              <w:rPr>
                <w:rFonts w:cs="Calibri"/>
                <w:color w:val="000000"/>
                <w:sz w:val="22"/>
                <w:lang w:val="de-DE"/>
              </w:rPr>
              <w:t>Wärme</w:t>
            </w:r>
          </w:p>
        </w:tc>
        <w:tc>
          <w:tcPr>
            <w:tcW w:w="984" w:type="dxa"/>
          </w:tcPr>
          <w:p w:rsidR="000B433A" w:rsidRPr="005759E4" w:rsidRDefault="000B433A" w:rsidP="008F6F57">
            <w:pPr>
              <w:spacing w:after="0" w:line="240" w:lineRule="auto"/>
              <w:jc w:val="center"/>
              <w:rPr>
                <w:rFonts w:cs="Calibri"/>
                <w:color w:val="000000"/>
                <w:lang w:val="de-DE"/>
              </w:rPr>
            </w:pPr>
            <w:r w:rsidRPr="005759E4">
              <w:rPr>
                <w:rFonts w:cs="Calibri"/>
                <w:color w:val="000000"/>
                <w:sz w:val="22"/>
                <w:lang w:val="de-DE"/>
              </w:rPr>
              <w:t>8 108</w:t>
            </w:r>
          </w:p>
        </w:tc>
        <w:tc>
          <w:tcPr>
            <w:tcW w:w="1143" w:type="dxa"/>
            <w:noWrap/>
            <w:vAlign w:val="bottom"/>
          </w:tcPr>
          <w:p w:rsidR="000B433A" w:rsidRPr="005759E4" w:rsidRDefault="000B433A" w:rsidP="008F6F57">
            <w:pPr>
              <w:spacing w:after="0" w:line="240" w:lineRule="auto"/>
              <w:jc w:val="center"/>
              <w:rPr>
                <w:color w:val="000000"/>
                <w:lang w:val="de-DE"/>
              </w:rPr>
            </w:pPr>
            <w:r w:rsidRPr="005759E4">
              <w:rPr>
                <w:color w:val="000000"/>
                <w:sz w:val="22"/>
                <w:lang w:val="de-DE"/>
              </w:rPr>
              <w:t>8 706</w:t>
            </w:r>
          </w:p>
        </w:tc>
        <w:tc>
          <w:tcPr>
            <w:tcW w:w="1418" w:type="dxa"/>
            <w:noWrap/>
            <w:vAlign w:val="bottom"/>
          </w:tcPr>
          <w:p w:rsidR="000B433A" w:rsidRPr="005759E4" w:rsidRDefault="000B433A" w:rsidP="008F6F57">
            <w:pPr>
              <w:spacing w:after="0" w:line="240" w:lineRule="auto"/>
              <w:jc w:val="center"/>
              <w:rPr>
                <w:rFonts w:cs="Calibri"/>
                <w:color w:val="000000"/>
                <w:lang w:val="de-DE"/>
              </w:rPr>
            </w:pPr>
            <w:r w:rsidRPr="005759E4">
              <w:rPr>
                <w:rFonts w:cs="Calibri"/>
                <w:color w:val="000000"/>
                <w:sz w:val="22"/>
                <w:lang w:val="de-DE"/>
              </w:rPr>
              <w:t>8 900</w:t>
            </w:r>
          </w:p>
        </w:tc>
        <w:tc>
          <w:tcPr>
            <w:tcW w:w="1110" w:type="dxa"/>
          </w:tcPr>
          <w:p w:rsidR="000B433A" w:rsidRPr="005759E4" w:rsidRDefault="000B433A" w:rsidP="008F6F57">
            <w:pPr>
              <w:spacing w:after="0" w:line="240" w:lineRule="auto"/>
              <w:jc w:val="center"/>
              <w:rPr>
                <w:rFonts w:cs="Calibri"/>
                <w:color w:val="000000"/>
                <w:lang w:val="de-DE"/>
              </w:rPr>
            </w:pPr>
            <w:r w:rsidRPr="005759E4">
              <w:rPr>
                <w:rFonts w:cs="Calibri"/>
                <w:color w:val="000000"/>
                <w:sz w:val="22"/>
                <w:lang w:val="de-DE"/>
              </w:rPr>
              <w:t>9 170</w:t>
            </w:r>
          </w:p>
        </w:tc>
        <w:tc>
          <w:tcPr>
            <w:tcW w:w="1282" w:type="dxa"/>
            <w:vAlign w:val="bottom"/>
          </w:tcPr>
          <w:p w:rsidR="000B433A" w:rsidRPr="005759E4" w:rsidRDefault="000B433A" w:rsidP="008F6F57">
            <w:pPr>
              <w:spacing w:after="0" w:line="240" w:lineRule="auto"/>
              <w:jc w:val="center"/>
              <w:rPr>
                <w:rFonts w:cs="Calibri"/>
                <w:color w:val="000000"/>
                <w:lang w:val="de-DE"/>
              </w:rPr>
            </w:pPr>
            <w:r w:rsidRPr="005759E4">
              <w:rPr>
                <w:rFonts w:cs="Calibri"/>
                <w:color w:val="000000"/>
                <w:sz w:val="22"/>
                <w:lang w:val="de-DE"/>
              </w:rPr>
              <w:t>14233</w:t>
            </w:r>
          </w:p>
        </w:tc>
      </w:tr>
      <w:tr w:rsidR="000B433A" w:rsidRPr="005759E4" w:rsidTr="00183130">
        <w:trPr>
          <w:trHeight w:val="300"/>
        </w:trPr>
        <w:tc>
          <w:tcPr>
            <w:tcW w:w="2982" w:type="dxa"/>
            <w:noWrap/>
            <w:vAlign w:val="bottom"/>
          </w:tcPr>
          <w:p w:rsidR="000B433A" w:rsidRPr="005759E4" w:rsidRDefault="000B433A" w:rsidP="008F6F57">
            <w:pPr>
              <w:spacing w:after="0" w:line="240" w:lineRule="auto"/>
              <w:rPr>
                <w:rFonts w:cs="Calibri"/>
                <w:color w:val="000000"/>
                <w:lang w:val="de-DE"/>
              </w:rPr>
            </w:pPr>
            <w:r w:rsidRPr="005759E4">
              <w:rPr>
                <w:rFonts w:cs="Calibri"/>
                <w:color w:val="000000"/>
                <w:sz w:val="22"/>
                <w:lang w:val="de-DE"/>
              </w:rPr>
              <w:t>Transport*</w:t>
            </w:r>
          </w:p>
        </w:tc>
        <w:tc>
          <w:tcPr>
            <w:tcW w:w="984" w:type="dxa"/>
          </w:tcPr>
          <w:p w:rsidR="000B433A" w:rsidRPr="005759E4" w:rsidRDefault="000B433A" w:rsidP="008F6F57">
            <w:pPr>
              <w:spacing w:after="0" w:line="240" w:lineRule="auto"/>
              <w:jc w:val="center"/>
              <w:rPr>
                <w:rFonts w:cs="Calibri"/>
                <w:color w:val="000000"/>
                <w:lang w:val="de-DE"/>
              </w:rPr>
            </w:pPr>
            <w:r w:rsidRPr="005759E4">
              <w:rPr>
                <w:rFonts w:cs="Calibri"/>
                <w:color w:val="000000"/>
                <w:sz w:val="22"/>
                <w:lang w:val="de-DE"/>
              </w:rPr>
              <w:t>906</w:t>
            </w:r>
          </w:p>
        </w:tc>
        <w:tc>
          <w:tcPr>
            <w:tcW w:w="1143" w:type="dxa"/>
            <w:noWrap/>
            <w:vAlign w:val="bottom"/>
          </w:tcPr>
          <w:p w:rsidR="000B433A" w:rsidRPr="005759E4" w:rsidRDefault="000B433A" w:rsidP="008F6F57">
            <w:pPr>
              <w:spacing w:after="0" w:line="240" w:lineRule="auto"/>
              <w:jc w:val="center"/>
              <w:rPr>
                <w:color w:val="000000"/>
                <w:lang w:val="de-DE"/>
              </w:rPr>
            </w:pPr>
            <w:r w:rsidRPr="005759E4">
              <w:rPr>
                <w:color w:val="000000"/>
                <w:sz w:val="22"/>
                <w:lang w:val="de-DE"/>
              </w:rPr>
              <w:t>1 596</w:t>
            </w:r>
          </w:p>
        </w:tc>
        <w:tc>
          <w:tcPr>
            <w:tcW w:w="1418" w:type="dxa"/>
            <w:noWrap/>
            <w:vAlign w:val="bottom"/>
          </w:tcPr>
          <w:p w:rsidR="000B433A" w:rsidRPr="005759E4" w:rsidRDefault="000B433A" w:rsidP="008F6F57">
            <w:pPr>
              <w:spacing w:after="0" w:line="240" w:lineRule="auto"/>
              <w:jc w:val="center"/>
              <w:rPr>
                <w:rFonts w:cs="Calibri"/>
                <w:color w:val="000000"/>
                <w:lang w:val="de-DE"/>
              </w:rPr>
            </w:pPr>
            <w:r w:rsidRPr="005759E4">
              <w:rPr>
                <w:rFonts w:cs="Calibri"/>
                <w:color w:val="000000"/>
                <w:sz w:val="22"/>
                <w:lang w:val="de-DE"/>
              </w:rPr>
              <w:t>2 382</w:t>
            </w:r>
          </w:p>
        </w:tc>
        <w:tc>
          <w:tcPr>
            <w:tcW w:w="1110" w:type="dxa"/>
          </w:tcPr>
          <w:p w:rsidR="000B433A" w:rsidRPr="005759E4" w:rsidRDefault="000B433A" w:rsidP="008F6F57">
            <w:pPr>
              <w:spacing w:after="0" w:line="240" w:lineRule="auto"/>
              <w:jc w:val="center"/>
              <w:rPr>
                <w:rFonts w:cs="Calibri"/>
                <w:color w:val="000000"/>
                <w:lang w:val="de-DE"/>
              </w:rPr>
            </w:pPr>
            <w:r w:rsidRPr="005759E4">
              <w:rPr>
                <w:rFonts w:cs="Calibri"/>
                <w:color w:val="000000"/>
                <w:sz w:val="22"/>
                <w:lang w:val="de-DE"/>
              </w:rPr>
              <w:t>2 263</w:t>
            </w:r>
          </w:p>
        </w:tc>
        <w:tc>
          <w:tcPr>
            <w:tcW w:w="1282" w:type="dxa"/>
            <w:vAlign w:val="bottom"/>
          </w:tcPr>
          <w:p w:rsidR="000B433A" w:rsidRPr="005759E4" w:rsidRDefault="000B433A" w:rsidP="008F6F57">
            <w:pPr>
              <w:spacing w:after="0" w:line="240" w:lineRule="auto"/>
              <w:jc w:val="center"/>
              <w:rPr>
                <w:rFonts w:cs="Calibri"/>
                <w:color w:val="000000"/>
                <w:lang w:val="de-DE"/>
              </w:rPr>
            </w:pPr>
            <w:r w:rsidRPr="005759E4">
              <w:rPr>
                <w:rFonts w:cs="Calibri"/>
                <w:color w:val="000000"/>
                <w:sz w:val="22"/>
                <w:lang w:val="de-DE"/>
              </w:rPr>
              <w:t>3 187</w:t>
            </w:r>
          </w:p>
        </w:tc>
      </w:tr>
      <w:tr w:rsidR="000B433A" w:rsidRPr="005759E4" w:rsidTr="00183130">
        <w:trPr>
          <w:trHeight w:val="300"/>
        </w:trPr>
        <w:tc>
          <w:tcPr>
            <w:tcW w:w="2982" w:type="dxa"/>
            <w:shd w:val="clear" w:color="000000" w:fill="E6B9B8"/>
            <w:noWrap/>
            <w:vAlign w:val="bottom"/>
          </w:tcPr>
          <w:p w:rsidR="000B433A" w:rsidRPr="005759E4" w:rsidRDefault="000B433A" w:rsidP="008F6F57">
            <w:pPr>
              <w:spacing w:after="0" w:line="240" w:lineRule="auto"/>
              <w:rPr>
                <w:rFonts w:cs="Calibri"/>
                <w:color w:val="000000"/>
                <w:lang w:val="de-DE"/>
              </w:rPr>
            </w:pPr>
            <w:r w:rsidRPr="005759E4">
              <w:rPr>
                <w:rFonts w:cs="Calibri"/>
                <w:color w:val="000000"/>
                <w:sz w:val="22"/>
                <w:lang w:val="de-DE"/>
              </w:rPr>
              <w:t xml:space="preserve">Endverbrauch an erneuerbarer Energie </w:t>
            </w:r>
          </w:p>
        </w:tc>
        <w:tc>
          <w:tcPr>
            <w:tcW w:w="984" w:type="dxa"/>
            <w:shd w:val="clear" w:color="000000" w:fill="E6B9B8"/>
          </w:tcPr>
          <w:p w:rsidR="000B433A" w:rsidRPr="005759E4" w:rsidRDefault="000B433A" w:rsidP="008F6F57">
            <w:pPr>
              <w:spacing w:after="0" w:line="240" w:lineRule="auto"/>
              <w:jc w:val="center"/>
              <w:rPr>
                <w:rFonts w:cs="Calibri"/>
                <w:color w:val="000000"/>
                <w:lang w:val="de-DE"/>
              </w:rPr>
            </w:pPr>
            <w:r w:rsidRPr="005759E4">
              <w:rPr>
                <w:rFonts w:cs="Calibri"/>
                <w:color w:val="000000"/>
                <w:sz w:val="22"/>
                <w:lang w:val="de-DE"/>
              </w:rPr>
              <w:t>13 073</w:t>
            </w:r>
          </w:p>
        </w:tc>
        <w:tc>
          <w:tcPr>
            <w:tcW w:w="1143" w:type="dxa"/>
            <w:shd w:val="clear" w:color="000000" w:fill="E6B9B8"/>
            <w:noWrap/>
            <w:vAlign w:val="bottom"/>
          </w:tcPr>
          <w:p w:rsidR="000B433A" w:rsidRPr="005759E4" w:rsidRDefault="000B433A" w:rsidP="008F6F57">
            <w:pPr>
              <w:spacing w:after="0" w:line="240" w:lineRule="auto"/>
              <w:jc w:val="center"/>
              <w:rPr>
                <w:color w:val="000000"/>
                <w:lang w:val="de-DE"/>
              </w:rPr>
            </w:pPr>
            <w:r w:rsidRPr="005759E4">
              <w:rPr>
                <w:color w:val="000000"/>
                <w:sz w:val="22"/>
                <w:lang w:val="de-DE"/>
              </w:rPr>
              <w:t>14 765</w:t>
            </w:r>
          </w:p>
        </w:tc>
        <w:tc>
          <w:tcPr>
            <w:tcW w:w="1418" w:type="dxa"/>
            <w:shd w:val="clear" w:color="000000" w:fill="E6B9B8"/>
            <w:noWrap/>
            <w:vAlign w:val="bottom"/>
          </w:tcPr>
          <w:p w:rsidR="000B433A" w:rsidRPr="005759E4" w:rsidRDefault="000B433A" w:rsidP="008F6F57">
            <w:pPr>
              <w:spacing w:after="0" w:line="240" w:lineRule="auto"/>
              <w:jc w:val="center"/>
              <w:rPr>
                <w:rFonts w:cs="Calibri"/>
                <w:color w:val="000000"/>
                <w:lang w:val="de-DE"/>
              </w:rPr>
            </w:pPr>
            <w:r w:rsidRPr="005759E4">
              <w:rPr>
                <w:rFonts w:cs="Calibri"/>
                <w:color w:val="000000"/>
                <w:sz w:val="22"/>
                <w:lang w:val="de-DE"/>
              </w:rPr>
              <w:t>16 837</w:t>
            </w:r>
          </w:p>
        </w:tc>
        <w:tc>
          <w:tcPr>
            <w:tcW w:w="1110" w:type="dxa"/>
            <w:shd w:val="clear" w:color="000000" w:fill="E6B9B8"/>
          </w:tcPr>
          <w:p w:rsidR="000B433A" w:rsidRPr="005759E4" w:rsidRDefault="000B433A" w:rsidP="008F6F57">
            <w:pPr>
              <w:spacing w:after="0" w:line="240" w:lineRule="auto"/>
              <w:jc w:val="center"/>
              <w:rPr>
                <w:rFonts w:cs="Calibri"/>
                <w:color w:val="000000"/>
                <w:lang w:val="de-DE"/>
              </w:rPr>
            </w:pPr>
          </w:p>
          <w:p w:rsidR="000B433A" w:rsidRPr="005759E4" w:rsidRDefault="000B433A" w:rsidP="008F6F57">
            <w:pPr>
              <w:spacing w:after="0" w:line="240" w:lineRule="auto"/>
              <w:jc w:val="center"/>
              <w:rPr>
                <w:rFonts w:cs="Calibri"/>
                <w:color w:val="000000"/>
                <w:lang w:val="de-DE"/>
              </w:rPr>
            </w:pPr>
            <w:r w:rsidRPr="005759E4">
              <w:rPr>
                <w:rFonts w:cs="Calibri"/>
                <w:color w:val="000000"/>
                <w:sz w:val="22"/>
                <w:lang w:val="de-DE"/>
              </w:rPr>
              <w:t>17124</w:t>
            </w:r>
          </w:p>
        </w:tc>
        <w:tc>
          <w:tcPr>
            <w:tcW w:w="1282" w:type="dxa"/>
            <w:shd w:val="clear" w:color="000000" w:fill="E6B9B8"/>
            <w:vAlign w:val="bottom"/>
          </w:tcPr>
          <w:p w:rsidR="000B433A" w:rsidRPr="005759E4" w:rsidRDefault="000B433A" w:rsidP="008F6F57">
            <w:pPr>
              <w:spacing w:after="0" w:line="240" w:lineRule="auto"/>
              <w:jc w:val="center"/>
              <w:rPr>
                <w:rFonts w:cs="Calibri"/>
                <w:color w:val="000000"/>
                <w:lang w:val="de-DE"/>
              </w:rPr>
            </w:pPr>
            <w:r w:rsidRPr="005759E4">
              <w:rPr>
                <w:rFonts w:cs="Calibri"/>
                <w:color w:val="000000"/>
                <w:sz w:val="22"/>
                <w:lang w:val="de-DE"/>
              </w:rPr>
              <w:t>27 501</w:t>
            </w:r>
          </w:p>
        </w:tc>
      </w:tr>
      <w:tr w:rsidR="000B433A" w:rsidRPr="005759E4" w:rsidTr="00183130">
        <w:trPr>
          <w:trHeight w:val="300"/>
        </w:trPr>
        <w:tc>
          <w:tcPr>
            <w:tcW w:w="2982" w:type="dxa"/>
            <w:noWrap/>
            <w:vAlign w:val="bottom"/>
          </w:tcPr>
          <w:p w:rsidR="000B433A" w:rsidRPr="005759E4" w:rsidRDefault="000B433A" w:rsidP="008F6F57">
            <w:pPr>
              <w:spacing w:after="0" w:line="240" w:lineRule="auto"/>
              <w:rPr>
                <w:rFonts w:cs="Calibri"/>
                <w:color w:val="000000"/>
                <w:lang w:val="de-DE"/>
              </w:rPr>
            </w:pPr>
            <w:r w:rsidRPr="005759E4">
              <w:rPr>
                <w:rFonts w:cs="Calibri"/>
                <w:color w:val="000000"/>
                <w:sz w:val="22"/>
                <w:lang w:val="de-DE"/>
              </w:rPr>
              <w:t>Bruttoendverbrauch</w:t>
            </w:r>
          </w:p>
        </w:tc>
        <w:tc>
          <w:tcPr>
            <w:tcW w:w="984" w:type="dxa"/>
            <w:vAlign w:val="center"/>
          </w:tcPr>
          <w:p w:rsidR="000B433A" w:rsidRPr="005759E4" w:rsidRDefault="000B433A" w:rsidP="008F6F57">
            <w:pPr>
              <w:spacing w:after="0" w:line="240" w:lineRule="auto"/>
              <w:jc w:val="center"/>
              <w:rPr>
                <w:rFonts w:cs="Calibri"/>
                <w:color w:val="000000"/>
                <w:lang w:val="de-DE"/>
              </w:rPr>
            </w:pPr>
            <w:r w:rsidRPr="005759E4">
              <w:rPr>
                <w:rFonts w:cs="Calibri"/>
                <w:color w:val="000000"/>
                <w:sz w:val="22"/>
                <w:lang w:val="de-DE"/>
              </w:rPr>
              <w:t>121 700</w:t>
            </w:r>
          </w:p>
        </w:tc>
        <w:tc>
          <w:tcPr>
            <w:tcW w:w="1143" w:type="dxa"/>
            <w:noWrap/>
            <w:vAlign w:val="center"/>
          </w:tcPr>
          <w:p w:rsidR="000B433A" w:rsidRPr="005759E4" w:rsidRDefault="000B433A" w:rsidP="008F6F57">
            <w:pPr>
              <w:spacing w:after="0" w:line="240" w:lineRule="auto"/>
              <w:jc w:val="center"/>
              <w:rPr>
                <w:color w:val="000000"/>
                <w:lang w:val="de-DE"/>
              </w:rPr>
            </w:pPr>
            <w:r w:rsidRPr="005759E4">
              <w:rPr>
                <w:color w:val="000000"/>
                <w:sz w:val="22"/>
                <w:lang w:val="de-DE"/>
              </w:rPr>
              <w:t>124 194</w:t>
            </w:r>
          </w:p>
        </w:tc>
        <w:tc>
          <w:tcPr>
            <w:tcW w:w="1418" w:type="dxa"/>
            <w:noWrap/>
            <w:vAlign w:val="center"/>
          </w:tcPr>
          <w:p w:rsidR="000B433A" w:rsidRPr="005759E4" w:rsidRDefault="000B433A" w:rsidP="008F6F57">
            <w:pPr>
              <w:spacing w:after="0" w:line="240" w:lineRule="auto"/>
              <w:jc w:val="center"/>
              <w:rPr>
                <w:rFonts w:cs="Calibri"/>
                <w:color w:val="000000"/>
                <w:lang w:val="de-DE"/>
              </w:rPr>
            </w:pPr>
            <w:r w:rsidRPr="005759E4">
              <w:rPr>
                <w:rFonts w:cs="Calibri"/>
                <w:color w:val="000000"/>
                <w:sz w:val="22"/>
                <w:lang w:val="de-DE"/>
              </w:rPr>
              <w:t>120 770</w:t>
            </w:r>
          </w:p>
        </w:tc>
        <w:tc>
          <w:tcPr>
            <w:tcW w:w="1110" w:type="dxa"/>
            <w:vAlign w:val="center"/>
          </w:tcPr>
          <w:p w:rsidR="000B433A" w:rsidRPr="005759E4" w:rsidRDefault="000B433A" w:rsidP="008F6F57">
            <w:pPr>
              <w:spacing w:after="0" w:line="240" w:lineRule="auto"/>
              <w:jc w:val="center"/>
              <w:rPr>
                <w:rFonts w:cs="Calibri"/>
                <w:color w:val="000000"/>
                <w:lang w:val="de-DE"/>
              </w:rPr>
            </w:pPr>
            <w:r w:rsidRPr="005759E4">
              <w:rPr>
                <w:rFonts w:cs="Calibri"/>
                <w:color w:val="000000"/>
                <w:sz w:val="22"/>
                <w:lang w:val="de-DE"/>
              </w:rPr>
              <w:t>131 955</w:t>
            </w:r>
          </w:p>
        </w:tc>
        <w:tc>
          <w:tcPr>
            <w:tcW w:w="1282" w:type="dxa"/>
            <w:vAlign w:val="center"/>
          </w:tcPr>
          <w:p w:rsidR="000B433A" w:rsidRPr="005759E4" w:rsidRDefault="000B433A" w:rsidP="008F6F57">
            <w:pPr>
              <w:spacing w:after="0" w:line="240" w:lineRule="auto"/>
              <w:jc w:val="center"/>
              <w:rPr>
                <w:rFonts w:cs="Calibri"/>
                <w:color w:val="000000"/>
                <w:lang w:val="de-DE"/>
              </w:rPr>
            </w:pPr>
            <w:r w:rsidRPr="005759E4">
              <w:rPr>
                <w:rFonts w:cs="Calibri"/>
                <w:color w:val="000000"/>
                <w:sz w:val="22"/>
                <w:lang w:val="de-DE"/>
              </w:rPr>
              <w:t>117 032</w:t>
            </w:r>
          </w:p>
        </w:tc>
      </w:tr>
      <w:tr w:rsidR="000B433A" w:rsidRPr="005759E4" w:rsidTr="00183130">
        <w:trPr>
          <w:trHeight w:val="300"/>
        </w:trPr>
        <w:tc>
          <w:tcPr>
            <w:tcW w:w="2982" w:type="dxa"/>
            <w:shd w:val="clear" w:color="000000" w:fill="E6B9B8"/>
            <w:noWrap/>
            <w:vAlign w:val="bottom"/>
          </w:tcPr>
          <w:p w:rsidR="000B433A" w:rsidRPr="005759E4" w:rsidRDefault="000B433A" w:rsidP="008F6F57">
            <w:pPr>
              <w:spacing w:after="0" w:line="240" w:lineRule="auto"/>
              <w:rPr>
                <w:rFonts w:cs="Calibri"/>
                <w:color w:val="000000"/>
                <w:lang w:val="de-DE"/>
              </w:rPr>
            </w:pPr>
            <w:r w:rsidRPr="005759E4">
              <w:rPr>
                <w:rFonts w:cs="Calibri"/>
                <w:color w:val="000000"/>
                <w:sz w:val="22"/>
                <w:lang w:val="de-DE"/>
              </w:rPr>
              <w:t>Anteil der EE am Endverbrauch</w:t>
            </w:r>
          </w:p>
        </w:tc>
        <w:tc>
          <w:tcPr>
            <w:tcW w:w="984" w:type="dxa"/>
            <w:shd w:val="clear" w:color="000000" w:fill="E6B9B8"/>
            <w:vAlign w:val="center"/>
          </w:tcPr>
          <w:p w:rsidR="000B433A" w:rsidRPr="005759E4" w:rsidRDefault="000B433A" w:rsidP="008F6F57">
            <w:pPr>
              <w:spacing w:after="0" w:line="240" w:lineRule="auto"/>
              <w:jc w:val="center"/>
              <w:rPr>
                <w:rFonts w:cs="Calibri"/>
                <w:color w:val="000000"/>
                <w:lang w:val="de-DE"/>
              </w:rPr>
            </w:pPr>
            <w:r w:rsidRPr="005759E4">
              <w:rPr>
                <w:rFonts w:cs="Calibri"/>
                <w:color w:val="000000"/>
                <w:sz w:val="22"/>
                <w:lang w:val="de-DE"/>
              </w:rPr>
              <w:t>10,74 %</w:t>
            </w:r>
          </w:p>
        </w:tc>
        <w:tc>
          <w:tcPr>
            <w:tcW w:w="1143" w:type="dxa"/>
            <w:shd w:val="clear" w:color="000000" w:fill="E6B9B8"/>
            <w:noWrap/>
            <w:vAlign w:val="center"/>
          </w:tcPr>
          <w:p w:rsidR="000B433A" w:rsidRPr="005759E4" w:rsidRDefault="000B433A" w:rsidP="008F6F57">
            <w:pPr>
              <w:spacing w:after="0" w:line="240" w:lineRule="auto"/>
              <w:jc w:val="center"/>
              <w:rPr>
                <w:color w:val="000000"/>
                <w:lang w:val="de-DE"/>
              </w:rPr>
            </w:pPr>
            <w:r w:rsidRPr="005759E4">
              <w:rPr>
                <w:color w:val="000000"/>
                <w:sz w:val="22"/>
                <w:lang w:val="de-DE"/>
              </w:rPr>
              <w:t>11,89 %</w:t>
            </w:r>
          </w:p>
        </w:tc>
        <w:tc>
          <w:tcPr>
            <w:tcW w:w="1418" w:type="dxa"/>
            <w:shd w:val="clear" w:color="000000" w:fill="E6B9B8"/>
            <w:noWrap/>
            <w:vAlign w:val="center"/>
          </w:tcPr>
          <w:p w:rsidR="000B433A" w:rsidRPr="005759E4" w:rsidRDefault="000B433A" w:rsidP="008F6F57">
            <w:pPr>
              <w:spacing w:after="0" w:line="240" w:lineRule="auto"/>
              <w:jc w:val="center"/>
              <w:rPr>
                <w:rFonts w:cs="Calibri"/>
                <w:color w:val="000000"/>
                <w:lang w:val="de-DE"/>
              </w:rPr>
            </w:pPr>
            <w:r w:rsidRPr="005759E4">
              <w:rPr>
                <w:rFonts w:cs="Calibri"/>
                <w:color w:val="000000"/>
                <w:sz w:val="22"/>
                <w:lang w:val="de-DE"/>
              </w:rPr>
              <w:t>13,94 %</w:t>
            </w:r>
          </w:p>
        </w:tc>
        <w:tc>
          <w:tcPr>
            <w:tcW w:w="1110" w:type="dxa"/>
            <w:shd w:val="clear" w:color="000000" w:fill="E6B9B8"/>
            <w:vAlign w:val="center"/>
          </w:tcPr>
          <w:p w:rsidR="000B433A" w:rsidRPr="005759E4" w:rsidRDefault="000B433A" w:rsidP="008F6F57">
            <w:pPr>
              <w:spacing w:after="0" w:line="240" w:lineRule="auto"/>
              <w:jc w:val="center"/>
              <w:rPr>
                <w:rFonts w:cs="Calibri"/>
                <w:color w:val="000000"/>
                <w:lang w:val="de-DE"/>
              </w:rPr>
            </w:pPr>
            <w:r w:rsidRPr="005759E4">
              <w:rPr>
                <w:rFonts w:cs="Calibri"/>
                <w:color w:val="000000"/>
                <w:sz w:val="22"/>
                <w:lang w:val="de-DE"/>
              </w:rPr>
              <w:t>12,98 %</w:t>
            </w:r>
          </w:p>
        </w:tc>
        <w:tc>
          <w:tcPr>
            <w:tcW w:w="1282" w:type="dxa"/>
            <w:shd w:val="clear" w:color="000000" w:fill="E6B9B8"/>
            <w:vAlign w:val="center"/>
          </w:tcPr>
          <w:p w:rsidR="000B433A" w:rsidRPr="005759E4" w:rsidRDefault="000B433A" w:rsidP="008F6F57">
            <w:pPr>
              <w:spacing w:after="0" w:line="240" w:lineRule="auto"/>
              <w:jc w:val="center"/>
              <w:rPr>
                <w:rFonts w:cs="Calibri"/>
                <w:color w:val="000000"/>
                <w:lang w:val="de-DE"/>
              </w:rPr>
            </w:pPr>
            <w:r w:rsidRPr="005759E4">
              <w:rPr>
                <w:rFonts w:cs="Calibri"/>
                <w:color w:val="000000"/>
                <w:sz w:val="22"/>
                <w:lang w:val="de-DE"/>
              </w:rPr>
              <w:t>23,50 %</w:t>
            </w:r>
          </w:p>
        </w:tc>
      </w:tr>
    </w:tbl>
    <w:p w:rsidR="000B433A" w:rsidRPr="005F5D9D" w:rsidRDefault="000B433A" w:rsidP="008F6F57">
      <w:pPr>
        <w:pStyle w:val="Lgende"/>
        <w:jc w:val="both"/>
        <w:rPr>
          <w:rFonts w:cs="Calibri"/>
          <w:lang w:val="de-DE"/>
        </w:rPr>
      </w:pPr>
      <w:r>
        <w:rPr>
          <w:rFonts w:cs="Calibri"/>
          <w:lang w:val="de-DE"/>
        </w:rPr>
        <w:t xml:space="preserve">Tabelle </w:t>
      </w:r>
      <w:r w:rsidR="005A6B21" w:rsidRPr="005F5D9D">
        <w:rPr>
          <w:rFonts w:cs="Calibri"/>
          <w:lang w:val="de-DE"/>
        </w:rPr>
        <w:fldChar w:fldCharType="begin"/>
      </w:r>
      <w:r w:rsidRPr="005F5D9D">
        <w:rPr>
          <w:rFonts w:cs="Calibri"/>
          <w:lang w:val="de-DE"/>
        </w:rPr>
        <w:instrText xml:space="preserve"> SEQ Tableau \* ARABIC </w:instrText>
      </w:r>
      <w:r w:rsidR="005A6B21" w:rsidRPr="005F5D9D">
        <w:rPr>
          <w:rFonts w:cs="Calibri"/>
          <w:lang w:val="de-DE"/>
        </w:rPr>
        <w:fldChar w:fldCharType="separate"/>
      </w:r>
      <w:r>
        <w:rPr>
          <w:rFonts w:cs="Calibri"/>
          <w:lang w:val="de-DE"/>
        </w:rPr>
        <w:t>6</w:t>
      </w:r>
      <w:r w:rsidR="005A6B21" w:rsidRPr="005F5D9D">
        <w:rPr>
          <w:rFonts w:cs="Calibri"/>
          <w:lang w:val="de-DE"/>
        </w:rPr>
        <w:fldChar w:fldCharType="end"/>
      </w:r>
      <w:r>
        <w:rPr>
          <w:rFonts w:cs="Calibri"/>
          <w:lang w:val="de-DE"/>
        </w:rPr>
        <w:t xml:space="preserve"> Ziele für erneuerbare Energien</w:t>
      </w:r>
    </w:p>
    <w:p w:rsidR="000B433A" w:rsidRPr="005F5D9D" w:rsidRDefault="000B433A" w:rsidP="008F6F57">
      <w:pPr>
        <w:rPr>
          <w:rFonts w:cs="Calibri"/>
          <w:sz w:val="18"/>
          <w:lang w:val="de-DE"/>
        </w:rPr>
      </w:pPr>
      <w:r>
        <w:rPr>
          <w:rFonts w:cs="Calibri"/>
          <w:sz w:val="18"/>
          <w:lang w:val="de-DE"/>
        </w:rPr>
        <w:t>*Nur Biokraftstoffe und Biogas (Elektrizität EE Transport im Abschnitt „Elektrizität“ enthalten).</w:t>
      </w:r>
    </w:p>
    <w:p w:rsidR="000B433A" w:rsidRPr="00D07F58" w:rsidRDefault="000B433A" w:rsidP="008F6F57">
      <w:pPr>
        <w:pStyle w:val="Corps"/>
        <w:pBdr>
          <w:top w:val="none" w:sz="0" w:space="0" w:color="auto"/>
          <w:left w:val="none" w:sz="0" w:space="0" w:color="auto"/>
          <w:bottom w:val="none" w:sz="0" w:space="0" w:color="auto"/>
          <w:right w:val="none" w:sz="0" w:space="0" w:color="auto"/>
          <w:bar w:val="none" w:sz="0" w:color="auto"/>
        </w:pBdr>
        <w:rPr>
          <w:lang w:val="de-DE"/>
        </w:rPr>
      </w:pPr>
    </w:p>
    <w:p w:rsidR="000B433A" w:rsidRDefault="00372180" w:rsidP="008F6F57">
      <w:pPr>
        <w:pStyle w:val="Corps"/>
        <w:keepNext/>
        <w:pBdr>
          <w:top w:val="none" w:sz="0" w:space="0" w:color="auto"/>
          <w:left w:val="none" w:sz="0" w:space="0" w:color="auto"/>
          <w:bottom w:val="none" w:sz="0" w:space="0" w:color="auto"/>
          <w:right w:val="none" w:sz="0" w:space="0" w:color="auto"/>
          <w:bar w:val="none" w:sz="0" w:color="auto"/>
        </w:pBdr>
        <w:jc w:val="center"/>
      </w:pPr>
      <w:r>
        <w:rPr>
          <w:noProof/>
          <w:lang w:val="fr-BE"/>
        </w:rPr>
        <w:drawing>
          <wp:inline distT="0" distB="0" distL="0" distR="0">
            <wp:extent cx="5591810" cy="3028315"/>
            <wp:effectExtent l="19050" t="0" r="8890" b="0"/>
            <wp:docPr id="15" name="Graphiqu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28"/>
                    <pic:cNvPicPr>
                      <a:picLocks noChangeArrowheads="1"/>
                    </pic:cNvPicPr>
                  </pic:nvPicPr>
                  <pic:blipFill>
                    <a:blip r:embed="rId24"/>
                    <a:srcRect b="-63"/>
                    <a:stretch>
                      <a:fillRect/>
                    </a:stretch>
                  </pic:blipFill>
                  <pic:spPr bwMode="auto">
                    <a:xfrm>
                      <a:off x="0" y="0"/>
                      <a:ext cx="5591810" cy="3028315"/>
                    </a:xfrm>
                    <a:prstGeom prst="rect">
                      <a:avLst/>
                    </a:prstGeom>
                    <a:noFill/>
                    <a:ln w="9525">
                      <a:noFill/>
                      <a:miter lim="800000"/>
                      <a:headEnd/>
                      <a:tailEnd/>
                    </a:ln>
                  </pic:spPr>
                </pic:pic>
              </a:graphicData>
            </a:graphic>
          </wp:inline>
        </w:drawing>
      </w:r>
    </w:p>
    <w:p w:rsidR="000B433A" w:rsidRPr="00D07F58" w:rsidRDefault="000B433A" w:rsidP="008F6F57">
      <w:pPr>
        <w:pStyle w:val="Lgende"/>
        <w:jc w:val="center"/>
        <w:rPr>
          <w:lang w:val="de-DE"/>
        </w:rPr>
      </w:pPr>
      <w:r>
        <w:rPr>
          <w:lang w:val="de-DE"/>
        </w:rPr>
        <w:t>Abbildung 3: Entwicklung der erneuerbaren Energien in der Wallonie</w:t>
      </w:r>
    </w:p>
    <w:p w:rsidR="000B433A" w:rsidRDefault="00372180" w:rsidP="008F6F57">
      <w:pPr>
        <w:pStyle w:val="Corps"/>
        <w:pBdr>
          <w:top w:val="none" w:sz="0" w:space="0" w:color="auto"/>
          <w:left w:val="none" w:sz="0" w:space="0" w:color="auto"/>
          <w:bottom w:val="none" w:sz="0" w:space="0" w:color="auto"/>
          <w:right w:val="none" w:sz="0" w:space="0" w:color="auto"/>
          <w:bar w:val="none" w:sz="0" w:color="auto"/>
        </w:pBdr>
      </w:pPr>
      <w:r>
        <w:rPr>
          <w:noProof/>
          <w:color w:val="auto"/>
          <w:lang w:val="fr-BE"/>
        </w:rPr>
        <w:drawing>
          <wp:inline distT="0" distB="0" distL="0" distR="0">
            <wp:extent cx="5401945" cy="2907030"/>
            <wp:effectExtent l="19050" t="0" r="8255" b="0"/>
            <wp:docPr id="16" name="Graphique 17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7025"/>
                    <pic:cNvPicPr>
                      <a:picLocks noChangeArrowheads="1"/>
                    </pic:cNvPicPr>
                  </pic:nvPicPr>
                  <pic:blipFill>
                    <a:blip r:embed="rId25"/>
                    <a:srcRect/>
                    <a:stretch>
                      <a:fillRect/>
                    </a:stretch>
                  </pic:blipFill>
                  <pic:spPr bwMode="auto">
                    <a:xfrm>
                      <a:off x="0" y="0"/>
                      <a:ext cx="5401945" cy="2907030"/>
                    </a:xfrm>
                    <a:prstGeom prst="rect">
                      <a:avLst/>
                    </a:prstGeom>
                    <a:noFill/>
                    <a:ln w="9525">
                      <a:noFill/>
                      <a:miter lim="800000"/>
                      <a:headEnd/>
                      <a:tailEnd/>
                    </a:ln>
                  </pic:spPr>
                </pic:pic>
              </a:graphicData>
            </a:graphic>
          </wp:inline>
        </w:drawing>
      </w:r>
    </w:p>
    <w:p w:rsidR="000B433A" w:rsidRPr="00C77A45" w:rsidRDefault="000B433A" w:rsidP="008F6F57">
      <w:pPr>
        <w:pStyle w:val="Lgende"/>
        <w:jc w:val="center"/>
        <w:rPr>
          <w:lang w:val="de-DE"/>
        </w:rPr>
      </w:pPr>
      <w:r>
        <w:rPr>
          <w:lang w:val="de-DE"/>
        </w:rPr>
        <w:t xml:space="preserve">Abbildung </w:t>
      </w:r>
      <w:r w:rsidR="005A6B21">
        <w:rPr>
          <w:lang w:val="de-DE"/>
        </w:rPr>
        <w:fldChar w:fldCharType="begin"/>
      </w:r>
      <w:r>
        <w:rPr>
          <w:lang w:val="de-DE"/>
        </w:rPr>
        <w:instrText xml:space="preserve"> SEQ Figure \* ARABIC </w:instrText>
      </w:r>
      <w:r w:rsidR="005A6B21">
        <w:rPr>
          <w:lang w:val="de-DE"/>
        </w:rPr>
        <w:fldChar w:fldCharType="separate"/>
      </w:r>
      <w:r>
        <w:rPr>
          <w:lang w:val="de-DE"/>
        </w:rPr>
        <w:t>7</w:t>
      </w:r>
      <w:r w:rsidR="005A6B21">
        <w:rPr>
          <w:lang w:val="de-DE"/>
        </w:rPr>
        <w:fldChar w:fldCharType="end"/>
      </w:r>
      <w:r>
        <w:rPr>
          <w:lang w:val="de-DE"/>
        </w:rPr>
        <w:t>: Anteil der erneuerbaren Energiequellen</w:t>
      </w:r>
    </w:p>
    <w:p w:rsidR="000B433A" w:rsidRDefault="000B433A">
      <w:pPr>
        <w:pStyle w:val="Titre4"/>
        <w:numPr>
          <w:ilvl w:val="0"/>
          <w:numId w:val="41"/>
        </w:numPr>
        <w:spacing w:after="0" w:line="360" w:lineRule="auto"/>
        <w:ind w:left="851" w:hanging="851"/>
        <w:jc w:val="left"/>
        <w:rPr>
          <w:rFonts w:ascii="Calibri" w:hAnsi="Calibri" w:cs="Calibri"/>
          <w:lang w:val="de-DE"/>
        </w:rPr>
      </w:pPr>
      <w:r>
        <w:rPr>
          <w:rFonts w:ascii="Calibri" w:hAnsi="Calibri" w:cs="Calibri"/>
          <w:lang w:val="de-DE"/>
        </w:rPr>
        <w:t>Ziele für erneuerbare Energien</w:t>
      </w:r>
    </w:p>
    <w:p w:rsidR="000B433A" w:rsidRPr="00C33976" w:rsidRDefault="000B433A" w:rsidP="008F6F57">
      <w:pPr>
        <w:rPr>
          <w:rFonts w:cs="Calibri"/>
          <w:szCs w:val="24"/>
          <w:lang w:val="de-DE"/>
        </w:rPr>
      </w:pPr>
      <w:r>
        <w:rPr>
          <w:rFonts w:cs="Calibri"/>
          <w:lang w:val="de-DE"/>
        </w:rPr>
        <w:t xml:space="preserve">Die Stromerzeugung aus erneuerbaren Energien bis 2030 wird auf 10 TWh geschätzt, was einem Anstieg von rund 4,5 TWh gegenüber der Schätzung für 2020 entspricht. </w:t>
      </w:r>
    </w:p>
    <w:p w:rsidR="000B433A" w:rsidRDefault="00372180" w:rsidP="008F6F57">
      <w:pPr>
        <w:pStyle w:val="Corps"/>
        <w:keepNext/>
        <w:pBdr>
          <w:top w:val="none" w:sz="0" w:space="0" w:color="auto"/>
          <w:left w:val="none" w:sz="0" w:space="0" w:color="auto"/>
          <w:bottom w:val="none" w:sz="0" w:space="0" w:color="auto"/>
          <w:right w:val="none" w:sz="0" w:space="0" w:color="auto"/>
          <w:bar w:val="none" w:sz="0" w:color="auto"/>
        </w:pBdr>
      </w:pPr>
      <w:r>
        <w:rPr>
          <w:noProof/>
          <w:lang w:val="fr-BE"/>
        </w:rPr>
        <w:drawing>
          <wp:inline distT="0" distB="0" distL="0" distR="0">
            <wp:extent cx="5782310" cy="3314065"/>
            <wp:effectExtent l="19050" t="0" r="8890" b="0"/>
            <wp:docPr id="17" name="Graphique 17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7027"/>
                    <pic:cNvPicPr>
                      <a:picLocks noChangeArrowheads="1"/>
                    </pic:cNvPicPr>
                  </pic:nvPicPr>
                  <pic:blipFill>
                    <a:blip r:embed="rId26"/>
                    <a:srcRect b="-58"/>
                    <a:stretch>
                      <a:fillRect/>
                    </a:stretch>
                  </pic:blipFill>
                  <pic:spPr bwMode="auto">
                    <a:xfrm>
                      <a:off x="0" y="0"/>
                      <a:ext cx="5782310" cy="3314065"/>
                    </a:xfrm>
                    <a:prstGeom prst="rect">
                      <a:avLst/>
                    </a:prstGeom>
                    <a:noFill/>
                    <a:ln w="9525">
                      <a:noFill/>
                      <a:miter lim="800000"/>
                      <a:headEnd/>
                      <a:tailEnd/>
                    </a:ln>
                  </pic:spPr>
                </pic:pic>
              </a:graphicData>
            </a:graphic>
          </wp:inline>
        </w:drawing>
      </w:r>
    </w:p>
    <w:p w:rsidR="000B433A" w:rsidRPr="00D07F58" w:rsidRDefault="000B433A" w:rsidP="008F6F57">
      <w:pPr>
        <w:pStyle w:val="Lgende"/>
        <w:rPr>
          <w:lang w:val="de-DE"/>
        </w:rPr>
      </w:pPr>
      <w:r>
        <w:rPr>
          <w:lang w:val="de-DE"/>
        </w:rPr>
        <w:t xml:space="preserve">Abbildung </w:t>
      </w:r>
      <w:r w:rsidR="005A6B21">
        <w:rPr>
          <w:lang w:val="de-DE"/>
        </w:rPr>
        <w:fldChar w:fldCharType="begin"/>
      </w:r>
      <w:r>
        <w:rPr>
          <w:lang w:val="de-DE"/>
        </w:rPr>
        <w:instrText xml:space="preserve"> SEQ Figure \* ARABIC </w:instrText>
      </w:r>
      <w:r w:rsidR="005A6B21">
        <w:rPr>
          <w:lang w:val="de-DE"/>
        </w:rPr>
        <w:fldChar w:fldCharType="separate"/>
      </w:r>
      <w:r>
        <w:rPr>
          <w:lang w:val="de-DE"/>
        </w:rPr>
        <w:t>8</w:t>
      </w:r>
      <w:r w:rsidR="005A6B21">
        <w:rPr>
          <w:lang w:val="de-DE"/>
        </w:rPr>
        <w:fldChar w:fldCharType="end"/>
      </w:r>
      <w:r>
        <w:rPr>
          <w:lang w:val="de-DE"/>
        </w:rPr>
        <w:t>: Entwicklung der erneuerbaren elektrischen Energie nach Sektoren</w:t>
      </w:r>
    </w:p>
    <w:p w:rsidR="000B433A" w:rsidRPr="00C33976" w:rsidRDefault="000B433A" w:rsidP="008F6F57">
      <w:pPr>
        <w:rPr>
          <w:rFonts w:cs="Calibri"/>
          <w:szCs w:val="24"/>
          <w:lang w:val="de-DE"/>
        </w:rPr>
      </w:pPr>
      <w:r>
        <w:rPr>
          <w:rFonts w:cs="Calibri"/>
          <w:lang w:val="de-DE"/>
        </w:rPr>
        <w:t xml:space="preserve">Im Vergleich zum Referenzszenario ist ein stärkerer Anstieg im Wind- und Photovoltaiksektor (+58 % bzw. +195 %) vorgesehen. </w:t>
      </w:r>
    </w:p>
    <w:p w:rsidR="000B433A" w:rsidRPr="00C33976" w:rsidRDefault="000B433A" w:rsidP="008F6F57">
      <w:pPr>
        <w:rPr>
          <w:rFonts w:cs="Calibri"/>
          <w:szCs w:val="24"/>
          <w:lang w:val="de-DE"/>
        </w:rPr>
      </w:pPr>
      <w:r>
        <w:rPr>
          <w:rFonts w:cs="Calibri"/>
          <w:lang w:val="de-DE"/>
        </w:rPr>
        <w:t>Diese Schätzungen ermöglichen es, im Jahr 2030 rund 37 % der Stromerzeugung aus erneuerbaren Energien im Endstromverbrauch zu erreichen.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60"/>
        <w:gridCol w:w="1701"/>
        <w:gridCol w:w="1559"/>
        <w:gridCol w:w="1418"/>
        <w:gridCol w:w="1950"/>
      </w:tblGrid>
      <w:tr w:rsidR="000B433A" w:rsidRPr="005759E4" w:rsidTr="00183130">
        <w:trPr>
          <w:trHeight w:val="340"/>
          <w:tblHeader/>
        </w:trPr>
        <w:tc>
          <w:tcPr>
            <w:tcW w:w="2660" w:type="dxa"/>
            <w:shd w:val="pct10" w:color="auto" w:fill="FBD4B4"/>
          </w:tcPr>
          <w:p w:rsidR="000B433A" w:rsidRPr="005759E4" w:rsidRDefault="000B433A" w:rsidP="008F6F57">
            <w:pPr>
              <w:keepNext/>
              <w:keepLines/>
              <w:outlineLvl w:val="3"/>
              <w:rPr>
                <w:rFonts w:cs="Calibri"/>
                <w:b/>
                <w:i/>
                <w:sz w:val="20"/>
                <w:szCs w:val="20"/>
                <w:lang w:val="de-DE"/>
              </w:rPr>
            </w:pPr>
            <w:r w:rsidRPr="005759E4">
              <w:rPr>
                <w:rFonts w:cs="Calibri"/>
                <w:b/>
                <w:i/>
                <w:sz w:val="20"/>
                <w:lang w:val="de-DE"/>
              </w:rPr>
              <w:t>In GWh</w:t>
            </w:r>
          </w:p>
        </w:tc>
        <w:tc>
          <w:tcPr>
            <w:tcW w:w="1701" w:type="dxa"/>
            <w:shd w:val="pct10" w:color="auto" w:fill="FBD4B4"/>
          </w:tcPr>
          <w:p w:rsidR="000B433A" w:rsidRPr="005759E4" w:rsidRDefault="000B433A" w:rsidP="008F6F57">
            <w:pPr>
              <w:keepNext/>
              <w:keepLines/>
              <w:outlineLvl w:val="3"/>
              <w:rPr>
                <w:rFonts w:cs="Calibri"/>
                <w:b/>
                <w:sz w:val="20"/>
                <w:szCs w:val="20"/>
                <w:lang w:val="de-DE"/>
              </w:rPr>
            </w:pPr>
            <w:r w:rsidRPr="005759E4">
              <w:rPr>
                <w:rFonts w:cs="Calibri"/>
                <w:b/>
                <w:sz w:val="20"/>
                <w:lang w:val="de-DE"/>
              </w:rPr>
              <w:t>2015</w:t>
            </w:r>
          </w:p>
        </w:tc>
        <w:tc>
          <w:tcPr>
            <w:tcW w:w="1559" w:type="dxa"/>
            <w:shd w:val="pct10" w:color="auto" w:fill="FBD4B4"/>
          </w:tcPr>
          <w:p w:rsidR="000B433A" w:rsidRPr="005759E4" w:rsidRDefault="000B433A" w:rsidP="008F6F57">
            <w:pPr>
              <w:keepNext/>
              <w:keepLines/>
              <w:outlineLvl w:val="3"/>
              <w:rPr>
                <w:b/>
                <w:sz w:val="20"/>
                <w:lang w:val="de-DE"/>
              </w:rPr>
            </w:pPr>
            <w:r w:rsidRPr="005759E4">
              <w:rPr>
                <w:b/>
                <w:sz w:val="20"/>
                <w:lang w:val="de-DE"/>
              </w:rPr>
              <w:t>2016</w:t>
            </w:r>
          </w:p>
        </w:tc>
        <w:tc>
          <w:tcPr>
            <w:tcW w:w="1418" w:type="dxa"/>
            <w:shd w:val="pct10" w:color="auto" w:fill="FBD4B4"/>
          </w:tcPr>
          <w:p w:rsidR="000B433A" w:rsidRPr="005759E4" w:rsidRDefault="000B433A" w:rsidP="008F6F57">
            <w:pPr>
              <w:keepNext/>
              <w:keepLines/>
              <w:outlineLvl w:val="3"/>
              <w:rPr>
                <w:rFonts w:cs="Calibri"/>
                <w:b/>
                <w:sz w:val="20"/>
                <w:szCs w:val="20"/>
                <w:lang w:val="de-DE"/>
              </w:rPr>
            </w:pPr>
            <w:r w:rsidRPr="005759E4">
              <w:rPr>
                <w:rFonts w:cs="Calibri"/>
                <w:b/>
                <w:sz w:val="20"/>
                <w:lang w:val="de-DE"/>
              </w:rPr>
              <w:t>2030 WEM</w:t>
            </w:r>
          </w:p>
        </w:tc>
        <w:tc>
          <w:tcPr>
            <w:tcW w:w="1950" w:type="dxa"/>
            <w:shd w:val="pct10" w:color="auto" w:fill="FBD4B4"/>
          </w:tcPr>
          <w:p w:rsidR="000B433A" w:rsidRPr="005759E4" w:rsidRDefault="000B433A" w:rsidP="008F6F57">
            <w:pPr>
              <w:keepNext/>
              <w:keepLines/>
              <w:outlineLvl w:val="3"/>
              <w:rPr>
                <w:rFonts w:cs="Calibri"/>
                <w:b/>
                <w:sz w:val="20"/>
                <w:szCs w:val="20"/>
                <w:lang w:val="de-DE"/>
              </w:rPr>
            </w:pPr>
            <w:r w:rsidRPr="005759E4">
              <w:rPr>
                <w:rFonts w:cs="Calibri"/>
                <w:b/>
                <w:sz w:val="20"/>
                <w:lang w:val="de-DE"/>
              </w:rPr>
              <w:t>2030 WAM</w:t>
            </w:r>
          </w:p>
        </w:tc>
      </w:tr>
      <w:tr w:rsidR="000B433A" w:rsidRPr="005759E4" w:rsidTr="00183130">
        <w:trPr>
          <w:trHeight w:val="340"/>
        </w:trPr>
        <w:tc>
          <w:tcPr>
            <w:tcW w:w="2660" w:type="dxa"/>
          </w:tcPr>
          <w:p w:rsidR="000B433A" w:rsidRPr="005759E4" w:rsidRDefault="000B433A" w:rsidP="008F6F57">
            <w:pPr>
              <w:rPr>
                <w:rFonts w:cs="Calibri"/>
                <w:sz w:val="20"/>
                <w:szCs w:val="20"/>
                <w:lang w:val="de-DE"/>
              </w:rPr>
            </w:pPr>
            <w:r w:rsidRPr="005759E4">
              <w:rPr>
                <w:rFonts w:cs="Calibri"/>
                <w:sz w:val="20"/>
                <w:lang w:val="de-DE"/>
              </w:rPr>
              <w:t>Windkraft on shore</w:t>
            </w:r>
          </w:p>
        </w:tc>
        <w:tc>
          <w:tcPr>
            <w:tcW w:w="1701" w:type="dxa"/>
          </w:tcPr>
          <w:p w:rsidR="000B433A" w:rsidRPr="005759E4" w:rsidRDefault="000B433A" w:rsidP="008F6F57">
            <w:pPr>
              <w:rPr>
                <w:rFonts w:cs="Calibri"/>
                <w:sz w:val="20"/>
                <w:szCs w:val="20"/>
                <w:lang w:val="de-DE"/>
              </w:rPr>
            </w:pPr>
            <w:r w:rsidRPr="005759E4">
              <w:rPr>
                <w:rFonts w:cs="Calibri"/>
                <w:sz w:val="20"/>
                <w:lang w:val="de-DE"/>
              </w:rPr>
              <w:t>1437</w:t>
            </w:r>
          </w:p>
        </w:tc>
        <w:tc>
          <w:tcPr>
            <w:tcW w:w="1559" w:type="dxa"/>
          </w:tcPr>
          <w:p w:rsidR="000B433A" w:rsidRPr="005759E4" w:rsidRDefault="000B433A" w:rsidP="008F6F57">
            <w:pPr>
              <w:rPr>
                <w:sz w:val="20"/>
                <w:lang w:val="de-DE"/>
              </w:rPr>
            </w:pPr>
            <w:r w:rsidRPr="005759E4">
              <w:rPr>
                <w:sz w:val="20"/>
                <w:lang w:val="de-DE"/>
              </w:rPr>
              <w:t>1518</w:t>
            </w:r>
          </w:p>
        </w:tc>
        <w:tc>
          <w:tcPr>
            <w:tcW w:w="1418" w:type="dxa"/>
          </w:tcPr>
          <w:p w:rsidR="000B433A" w:rsidRPr="005759E4" w:rsidRDefault="000B433A" w:rsidP="008F6F57">
            <w:pPr>
              <w:rPr>
                <w:rFonts w:cs="Calibri"/>
                <w:sz w:val="20"/>
                <w:szCs w:val="20"/>
                <w:lang w:val="de-DE"/>
              </w:rPr>
            </w:pPr>
            <w:r w:rsidRPr="005759E4">
              <w:rPr>
                <w:rFonts w:cs="Calibri"/>
                <w:sz w:val="20"/>
                <w:lang w:val="de-DE"/>
              </w:rPr>
              <w:t>2907</w:t>
            </w:r>
          </w:p>
        </w:tc>
        <w:tc>
          <w:tcPr>
            <w:tcW w:w="1950" w:type="dxa"/>
          </w:tcPr>
          <w:p w:rsidR="000B433A" w:rsidRPr="005759E4" w:rsidRDefault="000B433A" w:rsidP="008F6F57">
            <w:pPr>
              <w:rPr>
                <w:rFonts w:cs="Calibri"/>
                <w:sz w:val="20"/>
                <w:szCs w:val="20"/>
                <w:lang w:val="de-DE"/>
              </w:rPr>
            </w:pPr>
            <w:r w:rsidRPr="005759E4">
              <w:rPr>
                <w:rFonts w:cs="Calibri"/>
                <w:sz w:val="20"/>
                <w:lang w:val="de-DE"/>
              </w:rPr>
              <w:t>4600</w:t>
            </w:r>
          </w:p>
        </w:tc>
      </w:tr>
      <w:tr w:rsidR="000B433A" w:rsidRPr="005759E4" w:rsidTr="00183130">
        <w:trPr>
          <w:trHeight w:val="340"/>
        </w:trPr>
        <w:tc>
          <w:tcPr>
            <w:tcW w:w="2660" w:type="dxa"/>
          </w:tcPr>
          <w:p w:rsidR="000B433A" w:rsidRPr="005759E4" w:rsidRDefault="000B433A" w:rsidP="008F6F57">
            <w:pPr>
              <w:rPr>
                <w:rFonts w:cs="Calibri"/>
                <w:sz w:val="20"/>
                <w:szCs w:val="20"/>
                <w:lang w:val="de-DE"/>
              </w:rPr>
            </w:pPr>
            <w:r w:rsidRPr="005759E4">
              <w:rPr>
                <w:rFonts w:cs="Calibri"/>
                <w:sz w:val="20"/>
                <w:lang w:val="de-DE"/>
              </w:rPr>
              <w:t>Photovoltaik</w:t>
            </w:r>
          </w:p>
        </w:tc>
        <w:tc>
          <w:tcPr>
            <w:tcW w:w="1701" w:type="dxa"/>
          </w:tcPr>
          <w:p w:rsidR="000B433A" w:rsidRPr="005759E4" w:rsidRDefault="000B433A" w:rsidP="008F6F57">
            <w:pPr>
              <w:rPr>
                <w:rFonts w:cs="Calibri"/>
                <w:sz w:val="20"/>
                <w:szCs w:val="20"/>
                <w:lang w:val="de-DE"/>
              </w:rPr>
            </w:pPr>
            <w:r w:rsidRPr="005759E4">
              <w:rPr>
                <w:rFonts w:cs="Calibri"/>
                <w:sz w:val="20"/>
                <w:lang w:val="de-DE"/>
              </w:rPr>
              <w:t>792</w:t>
            </w:r>
          </w:p>
        </w:tc>
        <w:tc>
          <w:tcPr>
            <w:tcW w:w="1559" w:type="dxa"/>
          </w:tcPr>
          <w:p w:rsidR="000B433A" w:rsidRPr="005759E4" w:rsidRDefault="000B433A" w:rsidP="008F6F57">
            <w:pPr>
              <w:rPr>
                <w:sz w:val="20"/>
                <w:lang w:val="de-DE"/>
              </w:rPr>
            </w:pPr>
            <w:r w:rsidRPr="005759E4">
              <w:rPr>
                <w:sz w:val="20"/>
                <w:lang w:val="de-DE"/>
              </w:rPr>
              <w:t>798</w:t>
            </w:r>
          </w:p>
        </w:tc>
        <w:tc>
          <w:tcPr>
            <w:tcW w:w="1418" w:type="dxa"/>
          </w:tcPr>
          <w:p w:rsidR="000B433A" w:rsidRPr="005759E4" w:rsidRDefault="000B433A" w:rsidP="008F6F57">
            <w:pPr>
              <w:rPr>
                <w:rFonts w:cs="Calibri"/>
                <w:sz w:val="20"/>
                <w:szCs w:val="20"/>
                <w:lang w:val="de-DE"/>
              </w:rPr>
            </w:pPr>
            <w:r w:rsidRPr="005759E4">
              <w:rPr>
                <w:rFonts w:cs="Calibri"/>
                <w:sz w:val="20"/>
                <w:lang w:val="de-DE"/>
              </w:rPr>
              <w:t>1120</w:t>
            </w:r>
          </w:p>
        </w:tc>
        <w:tc>
          <w:tcPr>
            <w:tcW w:w="1950" w:type="dxa"/>
          </w:tcPr>
          <w:p w:rsidR="000B433A" w:rsidRPr="005759E4" w:rsidRDefault="000B433A" w:rsidP="008F6F57">
            <w:pPr>
              <w:rPr>
                <w:rFonts w:cs="Calibri"/>
                <w:sz w:val="20"/>
                <w:szCs w:val="20"/>
                <w:lang w:val="de-DE"/>
              </w:rPr>
            </w:pPr>
            <w:r w:rsidRPr="005759E4">
              <w:rPr>
                <w:rFonts w:cs="Calibri"/>
                <w:sz w:val="20"/>
                <w:lang w:val="de-DE"/>
              </w:rPr>
              <w:t>3300</w:t>
            </w:r>
          </w:p>
        </w:tc>
      </w:tr>
      <w:tr w:rsidR="000B433A" w:rsidRPr="005759E4" w:rsidTr="00183130">
        <w:trPr>
          <w:trHeight w:val="340"/>
        </w:trPr>
        <w:tc>
          <w:tcPr>
            <w:tcW w:w="2660" w:type="dxa"/>
          </w:tcPr>
          <w:p w:rsidR="000B433A" w:rsidRPr="005759E4" w:rsidRDefault="000B433A" w:rsidP="008F6F57">
            <w:pPr>
              <w:rPr>
                <w:rFonts w:cs="Calibri"/>
                <w:sz w:val="20"/>
                <w:szCs w:val="20"/>
                <w:lang w:val="de-DE"/>
              </w:rPr>
            </w:pPr>
            <w:r w:rsidRPr="005759E4">
              <w:rPr>
                <w:rFonts w:cs="Calibri"/>
                <w:sz w:val="20"/>
                <w:lang w:val="de-DE"/>
              </w:rPr>
              <w:t>Wasserkraft</w:t>
            </w:r>
          </w:p>
        </w:tc>
        <w:tc>
          <w:tcPr>
            <w:tcW w:w="1701" w:type="dxa"/>
          </w:tcPr>
          <w:p w:rsidR="000B433A" w:rsidRPr="005759E4" w:rsidRDefault="000B433A" w:rsidP="008F6F57">
            <w:pPr>
              <w:rPr>
                <w:rFonts w:cs="Calibri"/>
                <w:sz w:val="20"/>
                <w:szCs w:val="20"/>
                <w:lang w:val="de-DE"/>
              </w:rPr>
            </w:pPr>
            <w:r w:rsidRPr="005759E4">
              <w:rPr>
                <w:rFonts w:cs="Calibri"/>
                <w:sz w:val="20"/>
                <w:lang w:val="de-DE"/>
              </w:rPr>
              <w:t>314</w:t>
            </w:r>
          </w:p>
        </w:tc>
        <w:tc>
          <w:tcPr>
            <w:tcW w:w="1559" w:type="dxa"/>
          </w:tcPr>
          <w:p w:rsidR="000B433A" w:rsidRPr="005759E4" w:rsidRDefault="000B433A" w:rsidP="008F6F57">
            <w:pPr>
              <w:rPr>
                <w:sz w:val="20"/>
                <w:lang w:val="de-DE"/>
              </w:rPr>
            </w:pPr>
            <w:r w:rsidRPr="005759E4">
              <w:rPr>
                <w:sz w:val="20"/>
                <w:lang w:val="de-DE"/>
              </w:rPr>
              <w:t>318</w:t>
            </w:r>
          </w:p>
        </w:tc>
        <w:tc>
          <w:tcPr>
            <w:tcW w:w="1418" w:type="dxa"/>
          </w:tcPr>
          <w:p w:rsidR="000B433A" w:rsidRPr="005759E4" w:rsidRDefault="000B433A" w:rsidP="008F6F57">
            <w:pPr>
              <w:rPr>
                <w:rFonts w:cs="Calibri"/>
                <w:sz w:val="20"/>
                <w:szCs w:val="20"/>
                <w:lang w:val="de-DE"/>
              </w:rPr>
            </w:pPr>
            <w:r w:rsidRPr="005759E4">
              <w:rPr>
                <w:rFonts w:cs="Calibri"/>
                <w:sz w:val="20"/>
                <w:lang w:val="de-DE"/>
              </w:rPr>
              <w:t>342</w:t>
            </w:r>
          </w:p>
        </w:tc>
        <w:tc>
          <w:tcPr>
            <w:tcW w:w="1950" w:type="dxa"/>
          </w:tcPr>
          <w:p w:rsidR="000B433A" w:rsidRPr="005759E4" w:rsidRDefault="000B433A" w:rsidP="008F6F57">
            <w:pPr>
              <w:rPr>
                <w:rFonts w:cs="Calibri"/>
                <w:sz w:val="20"/>
                <w:szCs w:val="20"/>
                <w:lang w:val="de-DE"/>
              </w:rPr>
            </w:pPr>
            <w:r w:rsidRPr="005759E4">
              <w:rPr>
                <w:rFonts w:cs="Calibri"/>
                <w:sz w:val="20"/>
                <w:lang w:val="de-DE"/>
              </w:rPr>
              <w:t>440</w:t>
            </w:r>
          </w:p>
        </w:tc>
      </w:tr>
      <w:tr w:rsidR="000B433A" w:rsidRPr="005759E4" w:rsidTr="00183130">
        <w:trPr>
          <w:trHeight w:val="340"/>
        </w:trPr>
        <w:tc>
          <w:tcPr>
            <w:tcW w:w="2660" w:type="dxa"/>
          </w:tcPr>
          <w:p w:rsidR="000B433A" w:rsidRPr="005759E4" w:rsidRDefault="000B433A" w:rsidP="008F6F57">
            <w:pPr>
              <w:rPr>
                <w:rFonts w:cs="Calibri"/>
                <w:sz w:val="20"/>
                <w:szCs w:val="20"/>
                <w:lang w:val="de-DE"/>
              </w:rPr>
            </w:pPr>
            <w:r w:rsidRPr="005759E4">
              <w:rPr>
                <w:rFonts w:cs="Calibri"/>
                <w:sz w:val="20"/>
                <w:lang w:val="de-DE"/>
              </w:rPr>
              <w:t>Geothermie</w:t>
            </w:r>
          </w:p>
        </w:tc>
        <w:tc>
          <w:tcPr>
            <w:tcW w:w="1701" w:type="dxa"/>
          </w:tcPr>
          <w:p w:rsidR="000B433A" w:rsidRPr="005759E4" w:rsidRDefault="000B433A" w:rsidP="008F6F57">
            <w:pPr>
              <w:rPr>
                <w:rFonts w:cs="Calibri"/>
                <w:sz w:val="20"/>
                <w:szCs w:val="20"/>
                <w:lang w:val="de-DE"/>
              </w:rPr>
            </w:pPr>
            <w:r w:rsidRPr="005759E4">
              <w:rPr>
                <w:rFonts w:cs="Calibri"/>
                <w:sz w:val="20"/>
                <w:lang w:val="de-DE"/>
              </w:rPr>
              <w:t>0</w:t>
            </w:r>
          </w:p>
        </w:tc>
        <w:tc>
          <w:tcPr>
            <w:tcW w:w="1559" w:type="dxa"/>
          </w:tcPr>
          <w:p w:rsidR="000B433A" w:rsidRPr="005759E4" w:rsidRDefault="000B433A" w:rsidP="008F6F57">
            <w:pPr>
              <w:rPr>
                <w:sz w:val="20"/>
                <w:lang w:val="de-DE"/>
              </w:rPr>
            </w:pPr>
            <w:r w:rsidRPr="005759E4">
              <w:rPr>
                <w:sz w:val="20"/>
                <w:lang w:val="de-DE"/>
              </w:rPr>
              <w:t>0</w:t>
            </w:r>
          </w:p>
        </w:tc>
        <w:tc>
          <w:tcPr>
            <w:tcW w:w="1418" w:type="dxa"/>
          </w:tcPr>
          <w:p w:rsidR="000B433A" w:rsidRPr="005759E4" w:rsidRDefault="000B433A" w:rsidP="008F6F57">
            <w:pPr>
              <w:rPr>
                <w:rFonts w:cs="Calibri"/>
                <w:sz w:val="20"/>
                <w:szCs w:val="20"/>
                <w:lang w:val="de-DE"/>
              </w:rPr>
            </w:pPr>
            <w:r w:rsidRPr="005759E4">
              <w:rPr>
                <w:rFonts w:cs="Calibri"/>
                <w:sz w:val="20"/>
                <w:lang w:val="de-DE"/>
              </w:rPr>
              <w:t>11</w:t>
            </w:r>
          </w:p>
        </w:tc>
        <w:tc>
          <w:tcPr>
            <w:tcW w:w="1950" w:type="dxa"/>
          </w:tcPr>
          <w:p w:rsidR="000B433A" w:rsidRPr="005759E4" w:rsidRDefault="000B433A" w:rsidP="008F6F57">
            <w:pPr>
              <w:rPr>
                <w:rFonts w:cs="Calibri"/>
                <w:sz w:val="20"/>
                <w:szCs w:val="20"/>
                <w:lang w:val="de-DE"/>
              </w:rPr>
            </w:pPr>
            <w:r w:rsidRPr="005759E4">
              <w:rPr>
                <w:rFonts w:cs="Calibri"/>
                <w:sz w:val="20"/>
                <w:lang w:val="de-DE"/>
              </w:rPr>
              <w:t>40</w:t>
            </w:r>
          </w:p>
        </w:tc>
      </w:tr>
      <w:tr w:rsidR="000B433A" w:rsidRPr="005759E4" w:rsidTr="00183130">
        <w:trPr>
          <w:trHeight w:val="340"/>
        </w:trPr>
        <w:tc>
          <w:tcPr>
            <w:tcW w:w="2660" w:type="dxa"/>
          </w:tcPr>
          <w:p w:rsidR="000B433A" w:rsidRPr="005759E4" w:rsidRDefault="000B433A" w:rsidP="008F6F57">
            <w:pPr>
              <w:rPr>
                <w:rFonts w:cs="Calibri"/>
                <w:sz w:val="20"/>
                <w:szCs w:val="20"/>
                <w:lang w:val="de-DE"/>
              </w:rPr>
            </w:pPr>
            <w:r w:rsidRPr="005759E4">
              <w:rPr>
                <w:rFonts w:cs="Calibri"/>
                <w:sz w:val="20"/>
                <w:lang w:val="de-DE"/>
              </w:rPr>
              <w:t>Biomasse - nur Strom</w:t>
            </w:r>
          </w:p>
        </w:tc>
        <w:tc>
          <w:tcPr>
            <w:tcW w:w="1701" w:type="dxa"/>
          </w:tcPr>
          <w:p w:rsidR="000B433A" w:rsidRPr="005759E4" w:rsidRDefault="000B433A" w:rsidP="008F6F57">
            <w:pPr>
              <w:rPr>
                <w:rFonts w:cs="Calibri"/>
                <w:sz w:val="20"/>
                <w:szCs w:val="20"/>
                <w:lang w:val="de-DE"/>
              </w:rPr>
            </w:pPr>
            <w:r w:rsidRPr="005759E4">
              <w:rPr>
                <w:rFonts w:cs="Calibri"/>
                <w:sz w:val="20"/>
                <w:lang w:val="de-DE"/>
              </w:rPr>
              <w:t>543</w:t>
            </w:r>
          </w:p>
        </w:tc>
        <w:tc>
          <w:tcPr>
            <w:tcW w:w="1559" w:type="dxa"/>
          </w:tcPr>
          <w:p w:rsidR="000B433A" w:rsidRPr="005759E4" w:rsidRDefault="000B433A" w:rsidP="008F6F57">
            <w:pPr>
              <w:rPr>
                <w:sz w:val="20"/>
                <w:lang w:val="de-DE"/>
              </w:rPr>
            </w:pPr>
            <w:r w:rsidRPr="005759E4">
              <w:rPr>
                <w:sz w:val="20"/>
                <w:lang w:val="de-DE"/>
              </w:rPr>
              <w:t>778</w:t>
            </w:r>
          </w:p>
        </w:tc>
        <w:tc>
          <w:tcPr>
            <w:tcW w:w="1418" w:type="dxa"/>
          </w:tcPr>
          <w:p w:rsidR="000B433A" w:rsidRPr="005759E4" w:rsidRDefault="000B433A" w:rsidP="008F6F57">
            <w:pPr>
              <w:rPr>
                <w:rFonts w:cs="Calibri"/>
                <w:sz w:val="20"/>
                <w:szCs w:val="20"/>
                <w:lang w:val="de-DE"/>
              </w:rPr>
            </w:pPr>
            <w:r w:rsidRPr="005759E4">
              <w:rPr>
                <w:rFonts w:cs="Calibri"/>
                <w:sz w:val="20"/>
                <w:lang w:val="de-DE"/>
              </w:rPr>
              <w:t>208</w:t>
            </w:r>
          </w:p>
        </w:tc>
        <w:tc>
          <w:tcPr>
            <w:tcW w:w="1950" w:type="dxa"/>
          </w:tcPr>
          <w:p w:rsidR="000B433A" w:rsidRPr="005759E4" w:rsidRDefault="000B433A" w:rsidP="008F6F57">
            <w:pPr>
              <w:rPr>
                <w:rFonts w:cs="Calibri"/>
                <w:sz w:val="20"/>
                <w:szCs w:val="20"/>
                <w:lang w:val="de-DE"/>
              </w:rPr>
            </w:pPr>
            <w:r w:rsidRPr="005759E4">
              <w:rPr>
                <w:rFonts w:cs="Calibri"/>
                <w:sz w:val="20"/>
                <w:lang w:val="de-DE"/>
              </w:rPr>
              <w:t>90</w:t>
            </w:r>
          </w:p>
        </w:tc>
      </w:tr>
      <w:tr w:rsidR="000B433A" w:rsidRPr="005759E4" w:rsidTr="00183130">
        <w:trPr>
          <w:trHeight w:val="340"/>
        </w:trPr>
        <w:tc>
          <w:tcPr>
            <w:tcW w:w="2660" w:type="dxa"/>
          </w:tcPr>
          <w:p w:rsidR="000B433A" w:rsidRPr="005759E4" w:rsidRDefault="000B433A" w:rsidP="008F6F57">
            <w:pPr>
              <w:rPr>
                <w:rFonts w:cs="Calibri"/>
                <w:sz w:val="20"/>
                <w:szCs w:val="20"/>
                <w:lang w:val="de-DE"/>
              </w:rPr>
            </w:pPr>
            <w:r w:rsidRPr="005759E4">
              <w:rPr>
                <w:rFonts w:cs="Calibri"/>
                <w:sz w:val="20"/>
                <w:lang w:val="de-DE"/>
              </w:rPr>
              <w:t>Biomasse - Kraft-Wärme-Kopplung</w:t>
            </w:r>
          </w:p>
        </w:tc>
        <w:tc>
          <w:tcPr>
            <w:tcW w:w="1701" w:type="dxa"/>
          </w:tcPr>
          <w:p w:rsidR="000B433A" w:rsidRPr="005759E4" w:rsidRDefault="000B433A" w:rsidP="008F6F57">
            <w:pPr>
              <w:rPr>
                <w:rFonts w:cs="Calibri"/>
                <w:sz w:val="20"/>
                <w:szCs w:val="20"/>
                <w:lang w:val="de-DE"/>
              </w:rPr>
            </w:pPr>
            <w:r w:rsidRPr="005759E4">
              <w:rPr>
                <w:rFonts w:cs="Calibri"/>
                <w:sz w:val="20"/>
                <w:lang w:val="de-DE"/>
              </w:rPr>
              <w:t>975</w:t>
            </w:r>
          </w:p>
        </w:tc>
        <w:tc>
          <w:tcPr>
            <w:tcW w:w="1559" w:type="dxa"/>
          </w:tcPr>
          <w:p w:rsidR="000B433A" w:rsidRPr="005759E4" w:rsidRDefault="000B433A" w:rsidP="008F6F57">
            <w:pPr>
              <w:rPr>
                <w:sz w:val="20"/>
                <w:lang w:val="de-DE"/>
              </w:rPr>
            </w:pPr>
            <w:r w:rsidRPr="005759E4">
              <w:rPr>
                <w:sz w:val="20"/>
                <w:lang w:val="de-DE"/>
              </w:rPr>
              <w:t>1051</w:t>
            </w:r>
          </w:p>
        </w:tc>
        <w:tc>
          <w:tcPr>
            <w:tcW w:w="1418" w:type="dxa"/>
          </w:tcPr>
          <w:p w:rsidR="000B433A" w:rsidRPr="005759E4" w:rsidRDefault="000B433A" w:rsidP="008F6F57">
            <w:pPr>
              <w:rPr>
                <w:rFonts w:cs="Calibri"/>
                <w:sz w:val="20"/>
                <w:szCs w:val="20"/>
                <w:lang w:val="de-DE"/>
              </w:rPr>
            </w:pPr>
            <w:r w:rsidRPr="005759E4">
              <w:rPr>
                <w:rFonts w:cs="Calibri"/>
                <w:sz w:val="20"/>
                <w:lang w:val="de-DE"/>
              </w:rPr>
              <w:t>1104</w:t>
            </w:r>
          </w:p>
        </w:tc>
        <w:tc>
          <w:tcPr>
            <w:tcW w:w="1950" w:type="dxa"/>
          </w:tcPr>
          <w:p w:rsidR="000B433A" w:rsidRPr="005759E4" w:rsidRDefault="000B433A" w:rsidP="008F6F57">
            <w:pPr>
              <w:rPr>
                <w:rFonts w:cs="Calibri"/>
                <w:sz w:val="20"/>
                <w:szCs w:val="20"/>
                <w:lang w:val="de-DE"/>
              </w:rPr>
            </w:pPr>
            <w:r w:rsidRPr="005759E4">
              <w:rPr>
                <w:rFonts w:cs="Calibri"/>
                <w:sz w:val="20"/>
                <w:lang w:val="de-DE"/>
              </w:rPr>
              <w:t>1611</w:t>
            </w:r>
          </w:p>
        </w:tc>
      </w:tr>
      <w:tr w:rsidR="000B433A" w:rsidRPr="005759E4" w:rsidTr="00183130">
        <w:trPr>
          <w:trHeight w:val="340"/>
        </w:trPr>
        <w:tc>
          <w:tcPr>
            <w:tcW w:w="2660" w:type="dxa"/>
            <w:shd w:val="pct10" w:color="auto" w:fill="FBD4B4"/>
          </w:tcPr>
          <w:p w:rsidR="000B433A" w:rsidRPr="005759E4" w:rsidRDefault="000B433A" w:rsidP="008F6F57">
            <w:pPr>
              <w:rPr>
                <w:rFonts w:cs="Calibri"/>
                <w:b/>
                <w:sz w:val="20"/>
                <w:szCs w:val="20"/>
                <w:lang w:val="de-DE"/>
              </w:rPr>
            </w:pPr>
            <w:r w:rsidRPr="005759E4">
              <w:rPr>
                <w:rFonts w:cs="Calibri"/>
                <w:b/>
                <w:sz w:val="20"/>
                <w:lang w:val="de-DE"/>
              </w:rPr>
              <w:t>GESAMT</w:t>
            </w:r>
          </w:p>
        </w:tc>
        <w:tc>
          <w:tcPr>
            <w:tcW w:w="1701" w:type="dxa"/>
            <w:shd w:val="pct10" w:color="auto" w:fill="FBD4B4"/>
          </w:tcPr>
          <w:p w:rsidR="000B433A" w:rsidRPr="005759E4" w:rsidRDefault="000B433A" w:rsidP="008F6F57">
            <w:pPr>
              <w:rPr>
                <w:rFonts w:cs="Calibri"/>
                <w:b/>
                <w:sz w:val="20"/>
                <w:szCs w:val="20"/>
                <w:lang w:val="de-DE"/>
              </w:rPr>
            </w:pPr>
            <w:r w:rsidRPr="005759E4">
              <w:rPr>
                <w:rFonts w:cs="Calibri"/>
                <w:b/>
                <w:sz w:val="20"/>
                <w:lang w:val="de-DE"/>
              </w:rPr>
              <w:t>4060</w:t>
            </w:r>
          </w:p>
        </w:tc>
        <w:tc>
          <w:tcPr>
            <w:tcW w:w="1559" w:type="dxa"/>
            <w:shd w:val="pct10" w:color="auto" w:fill="FBD4B4"/>
          </w:tcPr>
          <w:p w:rsidR="000B433A" w:rsidRPr="005759E4" w:rsidRDefault="000B433A" w:rsidP="008F6F57">
            <w:pPr>
              <w:rPr>
                <w:b/>
                <w:sz w:val="20"/>
                <w:lang w:val="de-DE"/>
              </w:rPr>
            </w:pPr>
            <w:r w:rsidRPr="005759E4">
              <w:rPr>
                <w:b/>
                <w:sz w:val="20"/>
                <w:lang w:val="de-DE"/>
              </w:rPr>
              <w:t>4463</w:t>
            </w:r>
          </w:p>
        </w:tc>
        <w:tc>
          <w:tcPr>
            <w:tcW w:w="1418" w:type="dxa"/>
            <w:shd w:val="pct10" w:color="auto" w:fill="FBD4B4"/>
          </w:tcPr>
          <w:p w:rsidR="000B433A" w:rsidRPr="005759E4" w:rsidRDefault="000B433A" w:rsidP="008F6F57">
            <w:pPr>
              <w:rPr>
                <w:rFonts w:cs="Calibri"/>
                <w:b/>
                <w:sz w:val="20"/>
                <w:szCs w:val="20"/>
                <w:lang w:val="de-DE"/>
              </w:rPr>
            </w:pPr>
            <w:r w:rsidRPr="005759E4">
              <w:rPr>
                <w:rFonts w:cs="Calibri"/>
                <w:b/>
                <w:sz w:val="20"/>
                <w:lang w:val="de-DE"/>
              </w:rPr>
              <w:t>5691</w:t>
            </w:r>
          </w:p>
        </w:tc>
        <w:tc>
          <w:tcPr>
            <w:tcW w:w="1950" w:type="dxa"/>
            <w:shd w:val="pct10" w:color="auto" w:fill="FBD4B4"/>
          </w:tcPr>
          <w:p w:rsidR="000B433A" w:rsidRPr="005759E4" w:rsidRDefault="000B433A" w:rsidP="008F6F57">
            <w:pPr>
              <w:keepNext/>
              <w:rPr>
                <w:rFonts w:cs="Calibri"/>
                <w:b/>
                <w:sz w:val="20"/>
                <w:szCs w:val="20"/>
                <w:lang w:val="de-DE"/>
              </w:rPr>
            </w:pPr>
            <w:r w:rsidRPr="005759E4">
              <w:rPr>
                <w:rFonts w:cs="Calibri"/>
                <w:b/>
                <w:sz w:val="20"/>
                <w:lang w:val="de-DE"/>
              </w:rPr>
              <w:t>10081</w:t>
            </w:r>
          </w:p>
        </w:tc>
      </w:tr>
    </w:tbl>
    <w:p w:rsidR="000B433A" w:rsidRPr="005F5D9D" w:rsidRDefault="000B433A" w:rsidP="008F6F57">
      <w:pPr>
        <w:pStyle w:val="Lgende"/>
        <w:rPr>
          <w:rFonts w:cs="Calibri"/>
          <w:sz w:val="22"/>
          <w:lang w:val="de-DE"/>
        </w:rPr>
      </w:pPr>
      <w:r>
        <w:rPr>
          <w:rFonts w:cs="Calibri"/>
          <w:lang w:val="de-DE"/>
        </w:rPr>
        <w:t xml:space="preserve">Tabelle </w:t>
      </w:r>
      <w:r w:rsidR="005A6B21" w:rsidRPr="005F5D9D">
        <w:rPr>
          <w:rFonts w:cs="Calibri"/>
          <w:lang w:val="de-DE"/>
        </w:rPr>
        <w:fldChar w:fldCharType="begin"/>
      </w:r>
      <w:r w:rsidRPr="005F5D9D">
        <w:rPr>
          <w:rFonts w:cs="Calibri"/>
          <w:lang w:val="de-DE"/>
        </w:rPr>
        <w:instrText xml:space="preserve"> SEQ Tableau \* ARABIC </w:instrText>
      </w:r>
      <w:r w:rsidR="005A6B21" w:rsidRPr="005F5D9D">
        <w:rPr>
          <w:rFonts w:cs="Calibri"/>
          <w:lang w:val="de-DE"/>
        </w:rPr>
        <w:fldChar w:fldCharType="separate"/>
      </w:r>
      <w:r>
        <w:rPr>
          <w:rFonts w:cs="Calibri"/>
          <w:lang w:val="de-DE"/>
        </w:rPr>
        <w:t>7</w:t>
      </w:r>
      <w:r w:rsidR="005A6B21" w:rsidRPr="005F5D9D">
        <w:rPr>
          <w:rFonts w:cs="Calibri"/>
          <w:lang w:val="de-DE"/>
        </w:rPr>
        <w:fldChar w:fldCharType="end"/>
      </w:r>
      <w:r>
        <w:rPr>
          <w:rFonts w:cs="Calibri"/>
          <w:lang w:val="de-DE"/>
        </w:rPr>
        <w:t xml:space="preserve"> E-EE nach Sektoren</w:t>
      </w:r>
    </w:p>
    <w:p w:rsidR="000B433A" w:rsidRDefault="000B433A">
      <w:pPr>
        <w:pStyle w:val="Titre4"/>
        <w:numPr>
          <w:ilvl w:val="0"/>
          <w:numId w:val="41"/>
        </w:numPr>
        <w:spacing w:after="0" w:line="360" w:lineRule="auto"/>
        <w:ind w:left="851" w:hanging="851"/>
        <w:jc w:val="left"/>
        <w:rPr>
          <w:rFonts w:ascii="Calibri" w:hAnsi="Calibri" w:cs="Calibri"/>
          <w:lang w:val="de-DE"/>
        </w:rPr>
      </w:pPr>
      <w:r>
        <w:rPr>
          <w:rFonts w:ascii="Calibri" w:hAnsi="Calibri" w:cs="Calibri"/>
          <w:lang w:val="de-DE"/>
        </w:rPr>
        <w:t>Ziele für erneuerbare Wärme</w:t>
      </w:r>
    </w:p>
    <w:p w:rsidR="000B433A" w:rsidRPr="00C33976" w:rsidRDefault="000B433A" w:rsidP="008F6F57">
      <w:pPr>
        <w:rPr>
          <w:rFonts w:cs="Calibri"/>
          <w:szCs w:val="24"/>
          <w:lang w:val="de-DE"/>
        </w:rPr>
      </w:pPr>
      <w:r>
        <w:rPr>
          <w:rFonts w:cs="Calibri"/>
          <w:lang w:val="de-DE"/>
        </w:rPr>
        <w:t xml:space="preserve">Die Wärmeerzeugung aus erneuerbaren Energien bis 2030 wird auf 10 TWh geschätzt, was einem Anstieg von rund 4,5 TWh gegenüber der Schätzung für 2020 entspricht. </w:t>
      </w:r>
    </w:p>
    <w:p w:rsidR="000B433A" w:rsidRDefault="00372180" w:rsidP="008F6F57">
      <w:pPr>
        <w:keepNext/>
      </w:pPr>
      <w:r>
        <w:rPr>
          <w:noProof/>
          <w:lang w:eastAsia="fr-BE"/>
        </w:rPr>
        <w:drawing>
          <wp:inline distT="0" distB="0" distL="0" distR="0">
            <wp:extent cx="5534025" cy="3705225"/>
            <wp:effectExtent l="19050" t="0" r="9525" b="0"/>
            <wp:docPr id="18" name="Graphique 17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7031"/>
                    <pic:cNvPicPr>
                      <a:picLocks noChangeArrowheads="1"/>
                    </pic:cNvPicPr>
                  </pic:nvPicPr>
                  <pic:blipFill>
                    <a:blip r:embed="rId27"/>
                    <a:srcRect b="-34"/>
                    <a:stretch>
                      <a:fillRect/>
                    </a:stretch>
                  </pic:blipFill>
                  <pic:spPr bwMode="auto">
                    <a:xfrm>
                      <a:off x="0" y="0"/>
                      <a:ext cx="5534025" cy="3705225"/>
                    </a:xfrm>
                    <a:prstGeom prst="rect">
                      <a:avLst/>
                    </a:prstGeom>
                    <a:noFill/>
                    <a:ln w="9525">
                      <a:noFill/>
                      <a:miter lim="800000"/>
                      <a:headEnd/>
                      <a:tailEnd/>
                    </a:ln>
                  </pic:spPr>
                </pic:pic>
              </a:graphicData>
            </a:graphic>
          </wp:inline>
        </w:drawing>
      </w:r>
    </w:p>
    <w:p w:rsidR="000B433A" w:rsidRPr="005F5D9D" w:rsidRDefault="000B433A" w:rsidP="008F6F57">
      <w:pPr>
        <w:pStyle w:val="Lgende"/>
        <w:jc w:val="both"/>
        <w:rPr>
          <w:rFonts w:cs="Calibri"/>
          <w:lang w:val="de-DE"/>
        </w:rPr>
      </w:pPr>
      <w:r>
        <w:rPr>
          <w:lang w:val="de-DE"/>
        </w:rPr>
        <w:t xml:space="preserve">Abbildung </w:t>
      </w:r>
      <w:r w:rsidR="005A6B21">
        <w:rPr>
          <w:lang w:val="de-DE"/>
        </w:rPr>
        <w:fldChar w:fldCharType="begin"/>
      </w:r>
      <w:r>
        <w:rPr>
          <w:lang w:val="de-DE"/>
        </w:rPr>
        <w:instrText xml:space="preserve"> SEQ Figure \* ARABIC </w:instrText>
      </w:r>
      <w:r w:rsidR="005A6B21">
        <w:rPr>
          <w:lang w:val="de-DE"/>
        </w:rPr>
        <w:fldChar w:fldCharType="separate"/>
      </w:r>
      <w:r>
        <w:rPr>
          <w:lang w:val="de-DE"/>
        </w:rPr>
        <w:t>9</w:t>
      </w:r>
      <w:r w:rsidR="005A6B21">
        <w:rPr>
          <w:lang w:val="de-DE"/>
        </w:rPr>
        <w:fldChar w:fldCharType="end"/>
      </w:r>
      <w:r>
        <w:rPr>
          <w:lang w:val="de-DE"/>
        </w:rPr>
        <w:t>: Entwicklung der erneuerbaren Wärmeenergie nach Sektoren</w:t>
      </w:r>
    </w:p>
    <w:p w:rsidR="000B433A" w:rsidRPr="005F5D9D" w:rsidRDefault="000B433A" w:rsidP="008F6F57">
      <w:pPr>
        <w:rPr>
          <w:rFonts w:cs="Calibri"/>
          <w:lang w:val="de-DE"/>
        </w:rPr>
      </w:pPr>
    </w:p>
    <w:p w:rsidR="000B433A" w:rsidRPr="00C33976" w:rsidRDefault="000B433A" w:rsidP="008F6F57">
      <w:pPr>
        <w:rPr>
          <w:rFonts w:cs="Calibri"/>
          <w:szCs w:val="24"/>
          <w:lang w:val="de-DE"/>
        </w:rPr>
      </w:pPr>
      <w:r>
        <w:rPr>
          <w:rFonts w:cs="Calibri"/>
          <w:lang w:val="de-DE"/>
        </w:rPr>
        <w:t xml:space="preserve">Im Vergleich zum Basisszenario ist eine Steigerung der Erzeugung von erneuerbarer Wärme um 60 % vorgesehen. </w:t>
      </w:r>
    </w:p>
    <w:p w:rsidR="000B433A" w:rsidRPr="00C33976" w:rsidRDefault="000B433A" w:rsidP="008F6F57">
      <w:pPr>
        <w:rPr>
          <w:rFonts w:cs="Calibri"/>
          <w:szCs w:val="24"/>
          <w:lang w:val="de-DE"/>
        </w:rPr>
      </w:pPr>
      <w:r>
        <w:rPr>
          <w:rFonts w:cs="Calibri"/>
          <w:lang w:val="de-DE"/>
        </w:rPr>
        <w:t xml:space="preserve">Um dieses Ziel zu erreichen, sind alle Technologien betroffen.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1276"/>
        <w:gridCol w:w="1134"/>
        <w:gridCol w:w="1275"/>
        <w:gridCol w:w="1134"/>
        <w:gridCol w:w="1276"/>
      </w:tblGrid>
      <w:tr w:rsidR="000B433A" w:rsidRPr="005759E4" w:rsidTr="00183130">
        <w:trPr>
          <w:trHeight w:val="694"/>
        </w:trPr>
        <w:tc>
          <w:tcPr>
            <w:tcW w:w="2660" w:type="dxa"/>
            <w:shd w:val="clear" w:color="auto" w:fill="D9D9D9"/>
          </w:tcPr>
          <w:p w:rsidR="000B433A" w:rsidRPr="005759E4" w:rsidRDefault="000B433A" w:rsidP="008F6F57">
            <w:pPr>
              <w:keepNext/>
              <w:keepLines/>
              <w:outlineLvl w:val="3"/>
              <w:rPr>
                <w:rFonts w:cs="Calibri"/>
                <w:b/>
                <w:sz w:val="20"/>
                <w:szCs w:val="20"/>
                <w:lang w:val="de-DE"/>
              </w:rPr>
            </w:pPr>
            <w:r w:rsidRPr="005759E4">
              <w:rPr>
                <w:rFonts w:cs="Calibri"/>
                <w:b/>
                <w:sz w:val="20"/>
                <w:lang w:val="de-DE"/>
              </w:rPr>
              <w:t xml:space="preserve"> W-EE: Zwischen 2020 und 2030 zu erreichender Aufwand (in GWh)</w:t>
            </w:r>
          </w:p>
        </w:tc>
        <w:tc>
          <w:tcPr>
            <w:tcW w:w="1276" w:type="dxa"/>
            <w:shd w:val="clear" w:color="auto" w:fill="D9D9D9"/>
          </w:tcPr>
          <w:p w:rsidR="000B433A" w:rsidRPr="005759E4" w:rsidRDefault="000B433A" w:rsidP="008F6F57">
            <w:pPr>
              <w:keepNext/>
              <w:keepLines/>
              <w:outlineLvl w:val="3"/>
              <w:rPr>
                <w:rFonts w:cs="Calibri"/>
                <w:b/>
                <w:sz w:val="20"/>
                <w:szCs w:val="20"/>
                <w:lang w:val="de-DE"/>
              </w:rPr>
            </w:pPr>
            <w:r w:rsidRPr="005759E4">
              <w:rPr>
                <w:rFonts w:cs="Calibri"/>
                <w:b/>
                <w:sz w:val="20"/>
                <w:lang w:val="de-DE"/>
              </w:rPr>
              <w:t>WOHN</w:t>
            </w:r>
          </w:p>
        </w:tc>
        <w:tc>
          <w:tcPr>
            <w:tcW w:w="1134" w:type="dxa"/>
            <w:shd w:val="clear" w:color="auto" w:fill="D9D9D9"/>
          </w:tcPr>
          <w:p w:rsidR="000B433A" w:rsidRPr="005759E4" w:rsidRDefault="000B433A" w:rsidP="008F6F57">
            <w:pPr>
              <w:keepNext/>
              <w:keepLines/>
              <w:outlineLvl w:val="3"/>
              <w:rPr>
                <w:rFonts w:cs="Calibri"/>
                <w:b/>
                <w:sz w:val="20"/>
                <w:szCs w:val="20"/>
                <w:lang w:val="de-DE"/>
              </w:rPr>
            </w:pPr>
            <w:r w:rsidRPr="005759E4">
              <w:rPr>
                <w:rFonts w:cs="Calibri"/>
                <w:b/>
                <w:sz w:val="20"/>
                <w:lang w:val="de-DE"/>
              </w:rPr>
              <w:t>DIENST</w:t>
            </w:r>
          </w:p>
        </w:tc>
        <w:tc>
          <w:tcPr>
            <w:tcW w:w="1275" w:type="dxa"/>
            <w:shd w:val="clear" w:color="auto" w:fill="D9D9D9"/>
          </w:tcPr>
          <w:p w:rsidR="000B433A" w:rsidRPr="005759E4" w:rsidRDefault="000B433A" w:rsidP="008F6F57">
            <w:pPr>
              <w:keepNext/>
              <w:keepLines/>
              <w:outlineLvl w:val="3"/>
              <w:rPr>
                <w:rFonts w:cs="Calibri"/>
                <w:b/>
                <w:sz w:val="20"/>
                <w:szCs w:val="20"/>
                <w:lang w:val="de-DE"/>
              </w:rPr>
            </w:pPr>
            <w:r w:rsidRPr="005759E4">
              <w:rPr>
                <w:rFonts w:cs="Calibri"/>
                <w:b/>
                <w:sz w:val="20"/>
                <w:lang w:val="de-DE"/>
              </w:rPr>
              <w:t>IND</w:t>
            </w:r>
          </w:p>
        </w:tc>
        <w:tc>
          <w:tcPr>
            <w:tcW w:w="1134" w:type="dxa"/>
            <w:shd w:val="clear" w:color="auto" w:fill="D9D9D9"/>
          </w:tcPr>
          <w:p w:rsidR="000B433A" w:rsidRPr="005759E4" w:rsidRDefault="000B433A" w:rsidP="008F6F57">
            <w:pPr>
              <w:keepNext/>
              <w:keepLines/>
              <w:outlineLvl w:val="3"/>
              <w:rPr>
                <w:rFonts w:cs="Calibri"/>
                <w:b/>
                <w:sz w:val="20"/>
                <w:szCs w:val="20"/>
                <w:lang w:val="de-DE"/>
              </w:rPr>
            </w:pPr>
            <w:r w:rsidRPr="005759E4">
              <w:rPr>
                <w:rFonts w:cs="Calibri"/>
                <w:b/>
                <w:sz w:val="20"/>
                <w:lang w:val="de-DE"/>
              </w:rPr>
              <w:t>LANDW</w:t>
            </w:r>
          </w:p>
        </w:tc>
        <w:tc>
          <w:tcPr>
            <w:tcW w:w="1276" w:type="dxa"/>
            <w:shd w:val="clear" w:color="auto" w:fill="D9D9D9"/>
          </w:tcPr>
          <w:p w:rsidR="000B433A" w:rsidRPr="005759E4" w:rsidRDefault="000B433A" w:rsidP="008F6F57">
            <w:pPr>
              <w:keepNext/>
              <w:keepLines/>
              <w:outlineLvl w:val="3"/>
              <w:rPr>
                <w:rFonts w:cs="Calibri"/>
                <w:b/>
                <w:sz w:val="20"/>
                <w:szCs w:val="20"/>
                <w:lang w:val="de-DE"/>
              </w:rPr>
            </w:pPr>
            <w:r w:rsidRPr="005759E4">
              <w:rPr>
                <w:rFonts w:cs="Calibri"/>
                <w:b/>
                <w:sz w:val="20"/>
                <w:lang w:val="de-DE"/>
              </w:rPr>
              <w:t>TOT 2030</w:t>
            </w:r>
          </w:p>
        </w:tc>
      </w:tr>
      <w:tr w:rsidR="000B433A" w:rsidRPr="005759E4" w:rsidTr="00183130">
        <w:tc>
          <w:tcPr>
            <w:tcW w:w="2660" w:type="dxa"/>
          </w:tcPr>
          <w:p w:rsidR="000B433A" w:rsidRPr="005759E4" w:rsidRDefault="000B433A" w:rsidP="008F6F57">
            <w:pPr>
              <w:keepNext/>
              <w:rPr>
                <w:rFonts w:cs="Calibri"/>
                <w:sz w:val="20"/>
                <w:szCs w:val="20"/>
                <w:lang w:val="de-DE"/>
              </w:rPr>
            </w:pPr>
            <w:r w:rsidRPr="005759E4">
              <w:rPr>
                <w:rFonts w:cs="Calibri"/>
                <w:sz w:val="20"/>
                <w:lang w:val="de-DE"/>
              </w:rPr>
              <w:t>Thermische Solarenergie</w:t>
            </w:r>
          </w:p>
        </w:tc>
        <w:tc>
          <w:tcPr>
            <w:tcW w:w="1276" w:type="dxa"/>
          </w:tcPr>
          <w:p w:rsidR="000B433A" w:rsidRPr="005759E4" w:rsidRDefault="000B433A" w:rsidP="008F6F57">
            <w:pPr>
              <w:keepNext/>
              <w:rPr>
                <w:rFonts w:cs="Calibri"/>
                <w:sz w:val="20"/>
                <w:szCs w:val="20"/>
                <w:lang w:val="de-DE"/>
              </w:rPr>
            </w:pPr>
            <w:r w:rsidRPr="005759E4">
              <w:rPr>
                <w:rFonts w:cs="Calibri"/>
                <w:sz w:val="20"/>
                <w:lang w:val="de-DE"/>
              </w:rPr>
              <w:t>17</w:t>
            </w:r>
          </w:p>
        </w:tc>
        <w:tc>
          <w:tcPr>
            <w:tcW w:w="1134" w:type="dxa"/>
          </w:tcPr>
          <w:p w:rsidR="000B433A" w:rsidRPr="005759E4" w:rsidRDefault="000B433A" w:rsidP="008F6F57">
            <w:pPr>
              <w:keepNext/>
              <w:rPr>
                <w:rFonts w:cs="Calibri"/>
                <w:sz w:val="20"/>
                <w:szCs w:val="20"/>
                <w:lang w:val="de-DE"/>
              </w:rPr>
            </w:pPr>
            <w:r w:rsidRPr="005759E4">
              <w:rPr>
                <w:rFonts w:cs="Calibri"/>
                <w:sz w:val="20"/>
                <w:lang w:val="de-DE"/>
              </w:rPr>
              <w:t>67</w:t>
            </w:r>
          </w:p>
        </w:tc>
        <w:tc>
          <w:tcPr>
            <w:tcW w:w="1275" w:type="dxa"/>
          </w:tcPr>
          <w:p w:rsidR="000B433A" w:rsidRPr="005759E4" w:rsidRDefault="000B433A" w:rsidP="008F6F57">
            <w:pPr>
              <w:keepNext/>
              <w:rPr>
                <w:rFonts w:cs="Calibri"/>
                <w:sz w:val="20"/>
                <w:szCs w:val="20"/>
                <w:lang w:val="de-DE"/>
              </w:rPr>
            </w:pPr>
          </w:p>
        </w:tc>
        <w:tc>
          <w:tcPr>
            <w:tcW w:w="1134" w:type="dxa"/>
          </w:tcPr>
          <w:p w:rsidR="000B433A" w:rsidRPr="005759E4" w:rsidRDefault="000B433A" w:rsidP="008F6F57">
            <w:pPr>
              <w:keepNext/>
              <w:rPr>
                <w:rFonts w:cs="Calibri"/>
                <w:sz w:val="20"/>
                <w:szCs w:val="20"/>
                <w:lang w:val="de-DE"/>
              </w:rPr>
            </w:pPr>
          </w:p>
        </w:tc>
        <w:tc>
          <w:tcPr>
            <w:tcW w:w="1276" w:type="dxa"/>
          </w:tcPr>
          <w:p w:rsidR="000B433A" w:rsidRPr="005759E4" w:rsidRDefault="000B433A" w:rsidP="008F6F57">
            <w:pPr>
              <w:keepNext/>
              <w:rPr>
                <w:rFonts w:cs="Calibri"/>
                <w:sz w:val="20"/>
                <w:szCs w:val="20"/>
                <w:lang w:val="de-DE"/>
              </w:rPr>
            </w:pPr>
            <w:r w:rsidRPr="005759E4">
              <w:rPr>
                <w:rFonts w:cs="Calibri"/>
                <w:sz w:val="20"/>
                <w:lang w:val="de-DE"/>
              </w:rPr>
              <w:t>84</w:t>
            </w:r>
          </w:p>
        </w:tc>
      </w:tr>
      <w:tr w:rsidR="000B433A" w:rsidRPr="005759E4" w:rsidTr="00183130">
        <w:tc>
          <w:tcPr>
            <w:tcW w:w="2660" w:type="dxa"/>
          </w:tcPr>
          <w:p w:rsidR="000B433A" w:rsidRPr="005759E4" w:rsidRDefault="000B433A" w:rsidP="008F6F57">
            <w:pPr>
              <w:keepNext/>
              <w:rPr>
                <w:rFonts w:cs="Calibri"/>
                <w:sz w:val="20"/>
                <w:szCs w:val="20"/>
                <w:lang w:val="de-DE"/>
              </w:rPr>
            </w:pPr>
            <w:r w:rsidRPr="005759E4">
              <w:rPr>
                <w:rFonts w:cs="Calibri"/>
                <w:sz w:val="20"/>
                <w:lang w:val="de-DE"/>
              </w:rPr>
              <w:t>Geothermie</w:t>
            </w:r>
          </w:p>
        </w:tc>
        <w:tc>
          <w:tcPr>
            <w:tcW w:w="1276" w:type="dxa"/>
          </w:tcPr>
          <w:p w:rsidR="000B433A" w:rsidRPr="005759E4" w:rsidRDefault="000B433A" w:rsidP="008F6F57">
            <w:pPr>
              <w:keepNext/>
              <w:rPr>
                <w:rFonts w:cs="Calibri"/>
                <w:sz w:val="20"/>
                <w:szCs w:val="20"/>
                <w:lang w:val="de-DE"/>
              </w:rPr>
            </w:pPr>
          </w:p>
        </w:tc>
        <w:tc>
          <w:tcPr>
            <w:tcW w:w="1134" w:type="dxa"/>
          </w:tcPr>
          <w:p w:rsidR="000B433A" w:rsidRPr="005759E4" w:rsidRDefault="000B433A" w:rsidP="008F6F57">
            <w:pPr>
              <w:keepNext/>
              <w:rPr>
                <w:rFonts w:cs="Calibri"/>
                <w:sz w:val="20"/>
                <w:szCs w:val="20"/>
                <w:lang w:val="de-DE"/>
              </w:rPr>
            </w:pPr>
            <w:r w:rsidRPr="005759E4">
              <w:rPr>
                <w:rFonts w:cs="Calibri"/>
                <w:sz w:val="20"/>
                <w:lang w:val="de-DE"/>
              </w:rPr>
              <w:t>233</w:t>
            </w:r>
          </w:p>
        </w:tc>
        <w:tc>
          <w:tcPr>
            <w:tcW w:w="1275" w:type="dxa"/>
          </w:tcPr>
          <w:p w:rsidR="000B433A" w:rsidRPr="005759E4" w:rsidRDefault="000B433A" w:rsidP="008F6F57">
            <w:pPr>
              <w:keepNext/>
              <w:rPr>
                <w:rFonts w:cs="Calibri"/>
                <w:sz w:val="20"/>
                <w:szCs w:val="20"/>
                <w:lang w:val="de-DE"/>
              </w:rPr>
            </w:pPr>
          </w:p>
        </w:tc>
        <w:tc>
          <w:tcPr>
            <w:tcW w:w="1134" w:type="dxa"/>
          </w:tcPr>
          <w:p w:rsidR="000B433A" w:rsidRPr="005759E4" w:rsidRDefault="000B433A" w:rsidP="008F6F57">
            <w:pPr>
              <w:keepNext/>
              <w:rPr>
                <w:rFonts w:cs="Calibri"/>
                <w:sz w:val="20"/>
                <w:szCs w:val="20"/>
                <w:lang w:val="de-DE"/>
              </w:rPr>
            </w:pPr>
          </w:p>
        </w:tc>
        <w:tc>
          <w:tcPr>
            <w:tcW w:w="1276" w:type="dxa"/>
          </w:tcPr>
          <w:p w:rsidR="000B433A" w:rsidRPr="005759E4" w:rsidRDefault="000B433A" w:rsidP="008F6F57">
            <w:pPr>
              <w:keepNext/>
              <w:rPr>
                <w:rFonts w:cs="Calibri"/>
                <w:sz w:val="20"/>
                <w:szCs w:val="20"/>
                <w:lang w:val="de-DE"/>
              </w:rPr>
            </w:pPr>
            <w:r w:rsidRPr="005759E4">
              <w:rPr>
                <w:rFonts w:cs="Calibri"/>
                <w:sz w:val="20"/>
                <w:lang w:val="de-DE"/>
              </w:rPr>
              <w:t>233</w:t>
            </w:r>
          </w:p>
        </w:tc>
      </w:tr>
      <w:tr w:rsidR="000B433A" w:rsidRPr="005759E4" w:rsidTr="00183130">
        <w:tc>
          <w:tcPr>
            <w:tcW w:w="2660" w:type="dxa"/>
          </w:tcPr>
          <w:p w:rsidR="000B433A" w:rsidRPr="005759E4" w:rsidRDefault="000B433A" w:rsidP="008F6F57">
            <w:pPr>
              <w:keepNext/>
              <w:rPr>
                <w:rFonts w:cs="Calibri"/>
                <w:sz w:val="20"/>
                <w:szCs w:val="20"/>
                <w:lang w:val="de-DE"/>
              </w:rPr>
            </w:pPr>
            <w:r w:rsidRPr="005759E4">
              <w:rPr>
                <w:rFonts w:cs="Calibri"/>
                <w:sz w:val="20"/>
                <w:lang w:val="de-DE"/>
              </w:rPr>
              <w:t xml:space="preserve">Wärmepumpen </w:t>
            </w:r>
          </w:p>
        </w:tc>
        <w:tc>
          <w:tcPr>
            <w:tcW w:w="1276" w:type="dxa"/>
          </w:tcPr>
          <w:p w:rsidR="000B433A" w:rsidRPr="005759E4" w:rsidRDefault="000B433A" w:rsidP="008F6F57">
            <w:pPr>
              <w:keepNext/>
              <w:rPr>
                <w:rFonts w:cs="Calibri"/>
                <w:sz w:val="20"/>
                <w:szCs w:val="20"/>
                <w:lang w:val="de-DE"/>
              </w:rPr>
            </w:pPr>
            <w:r w:rsidRPr="005759E4">
              <w:rPr>
                <w:rFonts w:cs="Calibri"/>
                <w:sz w:val="20"/>
                <w:lang w:val="de-DE"/>
              </w:rPr>
              <w:t>724</w:t>
            </w:r>
          </w:p>
        </w:tc>
        <w:tc>
          <w:tcPr>
            <w:tcW w:w="1134" w:type="dxa"/>
          </w:tcPr>
          <w:p w:rsidR="000B433A" w:rsidRPr="005759E4" w:rsidRDefault="000B433A" w:rsidP="008F6F57">
            <w:pPr>
              <w:keepNext/>
              <w:rPr>
                <w:rFonts w:cs="Calibri"/>
                <w:sz w:val="20"/>
                <w:szCs w:val="20"/>
                <w:lang w:val="de-DE"/>
              </w:rPr>
            </w:pPr>
            <w:r w:rsidRPr="005759E4">
              <w:rPr>
                <w:rFonts w:cs="Calibri"/>
                <w:sz w:val="20"/>
                <w:lang w:val="de-DE"/>
              </w:rPr>
              <w:t>783</w:t>
            </w:r>
          </w:p>
        </w:tc>
        <w:tc>
          <w:tcPr>
            <w:tcW w:w="1275" w:type="dxa"/>
          </w:tcPr>
          <w:p w:rsidR="000B433A" w:rsidRPr="005759E4" w:rsidRDefault="000B433A" w:rsidP="008F6F57">
            <w:pPr>
              <w:keepNext/>
              <w:rPr>
                <w:rFonts w:cs="Calibri"/>
                <w:sz w:val="20"/>
                <w:szCs w:val="20"/>
                <w:lang w:val="de-DE"/>
              </w:rPr>
            </w:pPr>
          </w:p>
        </w:tc>
        <w:tc>
          <w:tcPr>
            <w:tcW w:w="1134" w:type="dxa"/>
          </w:tcPr>
          <w:p w:rsidR="000B433A" w:rsidRPr="005759E4" w:rsidRDefault="000B433A" w:rsidP="008F6F57">
            <w:pPr>
              <w:keepNext/>
              <w:rPr>
                <w:rFonts w:cs="Calibri"/>
                <w:sz w:val="20"/>
                <w:szCs w:val="20"/>
                <w:lang w:val="de-DE"/>
              </w:rPr>
            </w:pPr>
          </w:p>
        </w:tc>
        <w:tc>
          <w:tcPr>
            <w:tcW w:w="1276" w:type="dxa"/>
          </w:tcPr>
          <w:p w:rsidR="000B433A" w:rsidRPr="005759E4" w:rsidRDefault="000B433A" w:rsidP="008F6F57">
            <w:pPr>
              <w:keepNext/>
              <w:rPr>
                <w:rFonts w:cs="Calibri"/>
                <w:sz w:val="20"/>
                <w:szCs w:val="20"/>
                <w:lang w:val="de-DE"/>
              </w:rPr>
            </w:pPr>
            <w:r w:rsidRPr="005759E4">
              <w:rPr>
                <w:rFonts w:cs="Calibri"/>
                <w:sz w:val="20"/>
                <w:lang w:val="de-DE"/>
              </w:rPr>
              <w:t>1507</w:t>
            </w:r>
          </w:p>
        </w:tc>
      </w:tr>
      <w:tr w:rsidR="000B433A" w:rsidRPr="005759E4" w:rsidTr="00183130">
        <w:tc>
          <w:tcPr>
            <w:tcW w:w="2660" w:type="dxa"/>
          </w:tcPr>
          <w:p w:rsidR="000B433A" w:rsidRPr="005759E4" w:rsidRDefault="000B433A" w:rsidP="008F6F57">
            <w:pPr>
              <w:keepNext/>
              <w:rPr>
                <w:rFonts w:cs="Calibri"/>
                <w:sz w:val="20"/>
                <w:szCs w:val="20"/>
                <w:lang w:val="de-DE"/>
              </w:rPr>
            </w:pPr>
            <w:r w:rsidRPr="005759E4">
              <w:rPr>
                <w:rFonts w:cs="Calibri"/>
                <w:sz w:val="20"/>
                <w:lang w:val="de-DE"/>
              </w:rPr>
              <w:t>Biomasse</w:t>
            </w:r>
          </w:p>
        </w:tc>
        <w:tc>
          <w:tcPr>
            <w:tcW w:w="1276" w:type="dxa"/>
          </w:tcPr>
          <w:p w:rsidR="000B433A" w:rsidRPr="005759E4" w:rsidRDefault="000B433A" w:rsidP="008F6F57">
            <w:pPr>
              <w:keepNext/>
              <w:rPr>
                <w:rFonts w:cs="Calibri"/>
                <w:sz w:val="20"/>
                <w:szCs w:val="20"/>
                <w:lang w:val="de-DE"/>
              </w:rPr>
            </w:pPr>
            <w:r w:rsidRPr="005759E4">
              <w:rPr>
                <w:rFonts w:cs="Calibri"/>
                <w:sz w:val="20"/>
                <w:lang w:val="de-DE"/>
              </w:rPr>
              <w:t>1128</w:t>
            </w:r>
          </w:p>
        </w:tc>
        <w:tc>
          <w:tcPr>
            <w:tcW w:w="1134" w:type="dxa"/>
          </w:tcPr>
          <w:p w:rsidR="000B433A" w:rsidRPr="005759E4" w:rsidRDefault="000B433A" w:rsidP="008F6F57">
            <w:pPr>
              <w:keepNext/>
              <w:rPr>
                <w:rFonts w:cs="Calibri"/>
                <w:sz w:val="20"/>
                <w:szCs w:val="20"/>
                <w:lang w:val="de-DE"/>
              </w:rPr>
            </w:pPr>
            <w:r w:rsidRPr="005759E4">
              <w:rPr>
                <w:rFonts w:cs="Calibri"/>
                <w:sz w:val="20"/>
                <w:lang w:val="de-DE"/>
              </w:rPr>
              <w:t>528</w:t>
            </w:r>
          </w:p>
        </w:tc>
        <w:tc>
          <w:tcPr>
            <w:tcW w:w="1275" w:type="dxa"/>
          </w:tcPr>
          <w:p w:rsidR="000B433A" w:rsidRPr="005759E4" w:rsidRDefault="000B433A" w:rsidP="008F6F57">
            <w:pPr>
              <w:keepNext/>
              <w:rPr>
                <w:rFonts w:cs="Calibri"/>
                <w:sz w:val="20"/>
                <w:szCs w:val="20"/>
                <w:lang w:val="de-DE"/>
              </w:rPr>
            </w:pPr>
            <w:r w:rsidRPr="005759E4">
              <w:rPr>
                <w:rFonts w:cs="Calibri"/>
                <w:sz w:val="20"/>
                <w:lang w:val="de-DE"/>
              </w:rPr>
              <w:t>126</w:t>
            </w:r>
          </w:p>
        </w:tc>
        <w:tc>
          <w:tcPr>
            <w:tcW w:w="1134" w:type="dxa"/>
          </w:tcPr>
          <w:p w:rsidR="000B433A" w:rsidRPr="005759E4" w:rsidRDefault="000B433A" w:rsidP="008F6F57">
            <w:pPr>
              <w:keepNext/>
              <w:rPr>
                <w:rFonts w:cs="Calibri"/>
                <w:sz w:val="20"/>
                <w:szCs w:val="20"/>
                <w:lang w:val="de-DE"/>
              </w:rPr>
            </w:pPr>
            <w:r w:rsidRPr="005759E4">
              <w:rPr>
                <w:rFonts w:cs="Calibri"/>
                <w:sz w:val="20"/>
                <w:lang w:val="de-DE"/>
              </w:rPr>
              <w:t>501</w:t>
            </w:r>
          </w:p>
        </w:tc>
        <w:tc>
          <w:tcPr>
            <w:tcW w:w="1276" w:type="dxa"/>
          </w:tcPr>
          <w:p w:rsidR="000B433A" w:rsidRPr="005759E4" w:rsidRDefault="000B433A" w:rsidP="008F6F57">
            <w:pPr>
              <w:keepNext/>
              <w:rPr>
                <w:rFonts w:cs="Calibri"/>
                <w:sz w:val="20"/>
                <w:szCs w:val="20"/>
                <w:lang w:val="de-DE"/>
              </w:rPr>
            </w:pPr>
            <w:r w:rsidRPr="005759E4">
              <w:rPr>
                <w:rFonts w:cs="Calibri"/>
                <w:sz w:val="20"/>
                <w:lang w:val="de-DE"/>
              </w:rPr>
              <w:t>2283</w:t>
            </w:r>
          </w:p>
        </w:tc>
      </w:tr>
      <w:tr w:rsidR="000B433A" w:rsidRPr="005759E4" w:rsidTr="00183130">
        <w:tc>
          <w:tcPr>
            <w:tcW w:w="2660" w:type="dxa"/>
          </w:tcPr>
          <w:p w:rsidR="000B433A" w:rsidRPr="005759E4" w:rsidRDefault="000B433A" w:rsidP="008F6F57">
            <w:pPr>
              <w:keepNext/>
              <w:rPr>
                <w:rFonts w:cs="Calibri"/>
                <w:sz w:val="20"/>
                <w:szCs w:val="20"/>
                <w:lang w:val="de-DE"/>
              </w:rPr>
            </w:pPr>
            <w:r w:rsidRPr="005759E4">
              <w:rPr>
                <w:rFonts w:cs="Calibri"/>
                <w:sz w:val="20"/>
                <w:lang w:val="de-DE"/>
              </w:rPr>
              <w:t>Biomasse - Kraft-Wärme-Kopplung</w:t>
            </w:r>
          </w:p>
        </w:tc>
        <w:tc>
          <w:tcPr>
            <w:tcW w:w="1276" w:type="dxa"/>
          </w:tcPr>
          <w:p w:rsidR="000B433A" w:rsidRPr="005759E4" w:rsidRDefault="000B433A" w:rsidP="008F6F57">
            <w:pPr>
              <w:keepNext/>
              <w:rPr>
                <w:rFonts w:cs="Calibri"/>
                <w:sz w:val="20"/>
                <w:szCs w:val="20"/>
                <w:lang w:val="de-DE"/>
              </w:rPr>
            </w:pPr>
          </w:p>
        </w:tc>
        <w:tc>
          <w:tcPr>
            <w:tcW w:w="1134" w:type="dxa"/>
          </w:tcPr>
          <w:p w:rsidR="000B433A" w:rsidRPr="005759E4" w:rsidRDefault="000B433A" w:rsidP="008F6F57">
            <w:pPr>
              <w:keepNext/>
              <w:rPr>
                <w:rFonts w:cs="Calibri"/>
                <w:sz w:val="20"/>
                <w:szCs w:val="20"/>
                <w:lang w:val="de-DE"/>
              </w:rPr>
            </w:pPr>
            <w:r w:rsidRPr="005759E4">
              <w:rPr>
                <w:rFonts w:cs="Calibri"/>
                <w:sz w:val="20"/>
                <w:lang w:val="de-DE"/>
              </w:rPr>
              <w:t>660</w:t>
            </w:r>
          </w:p>
        </w:tc>
        <w:tc>
          <w:tcPr>
            <w:tcW w:w="1275" w:type="dxa"/>
          </w:tcPr>
          <w:p w:rsidR="000B433A" w:rsidRPr="005759E4" w:rsidRDefault="000B433A" w:rsidP="008F6F57">
            <w:pPr>
              <w:keepNext/>
              <w:rPr>
                <w:rFonts w:cs="Calibri"/>
                <w:sz w:val="20"/>
                <w:szCs w:val="20"/>
                <w:lang w:val="de-DE"/>
              </w:rPr>
            </w:pPr>
            <w:r w:rsidRPr="005759E4">
              <w:rPr>
                <w:rFonts w:cs="Calibri"/>
                <w:sz w:val="20"/>
                <w:lang w:val="de-DE"/>
              </w:rPr>
              <w:t>510</w:t>
            </w:r>
          </w:p>
        </w:tc>
        <w:tc>
          <w:tcPr>
            <w:tcW w:w="1134" w:type="dxa"/>
          </w:tcPr>
          <w:p w:rsidR="000B433A" w:rsidRPr="005759E4" w:rsidRDefault="000B433A" w:rsidP="008F6F57">
            <w:pPr>
              <w:keepNext/>
              <w:rPr>
                <w:rFonts w:cs="Calibri"/>
                <w:sz w:val="20"/>
                <w:szCs w:val="20"/>
                <w:lang w:val="de-DE"/>
              </w:rPr>
            </w:pPr>
            <w:r w:rsidRPr="005759E4">
              <w:rPr>
                <w:rFonts w:cs="Calibri"/>
                <w:sz w:val="20"/>
                <w:lang w:val="de-DE"/>
              </w:rPr>
              <w:t>55</w:t>
            </w:r>
          </w:p>
        </w:tc>
        <w:tc>
          <w:tcPr>
            <w:tcW w:w="1276" w:type="dxa"/>
          </w:tcPr>
          <w:p w:rsidR="000B433A" w:rsidRPr="005759E4" w:rsidRDefault="000B433A" w:rsidP="008F6F57">
            <w:pPr>
              <w:keepNext/>
              <w:rPr>
                <w:rFonts w:cs="Calibri"/>
                <w:sz w:val="20"/>
                <w:szCs w:val="20"/>
                <w:lang w:val="de-DE"/>
              </w:rPr>
            </w:pPr>
            <w:r w:rsidRPr="005759E4">
              <w:rPr>
                <w:rFonts w:cs="Calibri"/>
                <w:sz w:val="20"/>
                <w:lang w:val="de-DE"/>
              </w:rPr>
              <w:t>1225</w:t>
            </w:r>
          </w:p>
        </w:tc>
      </w:tr>
      <w:tr w:rsidR="000B433A" w:rsidRPr="005759E4" w:rsidTr="00183130">
        <w:tc>
          <w:tcPr>
            <w:tcW w:w="2660" w:type="dxa"/>
            <w:shd w:val="clear" w:color="auto" w:fill="D9D9D9"/>
          </w:tcPr>
          <w:p w:rsidR="000B433A" w:rsidRPr="005759E4" w:rsidRDefault="000B433A" w:rsidP="008F6F57">
            <w:pPr>
              <w:keepNext/>
              <w:rPr>
                <w:rFonts w:cs="Calibri"/>
                <w:b/>
                <w:sz w:val="20"/>
                <w:szCs w:val="20"/>
                <w:lang w:val="de-DE"/>
              </w:rPr>
            </w:pPr>
            <w:r w:rsidRPr="005759E4">
              <w:rPr>
                <w:rFonts w:cs="Calibri"/>
                <w:b/>
                <w:sz w:val="20"/>
                <w:lang w:val="de-DE"/>
              </w:rPr>
              <w:t>GESAMTER W-EE</w:t>
            </w:r>
          </w:p>
        </w:tc>
        <w:tc>
          <w:tcPr>
            <w:tcW w:w="1276" w:type="dxa"/>
            <w:shd w:val="clear" w:color="auto" w:fill="D9D9D9"/>
          </w:tcPr>
          <w:p w:rsidR="000B433A" w:rsidRPr="005759E4" w:rsidRDefault="000B433A" w:rsidP="008F6F57">
            <w:pPr>
              <w:keepNext/>
              <w:rPr>
                <w:rFonts w:cs="Calibri"/>
                <w:b/>
                <w:sz w:val="20"/>
                <w:szCs w:val="20"/>
                <w:lang w:val="de-DE"/>
              </w:rPr>
            </w:pPr>
            <w:r w:rsidRPr="005759E4">
              <w:rPr>
                <w:rFonts w:cs="Calibri"/>
                <w:b/>
                <w:sz w:val="20"/>
                <w:lang w:val="de-DE"/>
              </w:rPr>
              <w:t>1869</w:t>
            </w:r>
          </w:p>
        </w:tc>
        <w:tc>
          <w:tcPr>
            <w:tcW w:w="1134" w:type="dxa"/>
            <w:shd w:val="clear" w:color="auto" w:fill="D9D9D9"/>
          </w:tcPr>
          <w:p w:rsidR="000B433A" w:rsidRPr="005759E4" w:rsidRDefault="000B433A" w:rsidP="008F6F57">
            <w:pPr>
              <w:keepNext/>
              <w:rPr>
                <w:rFonts w:cs="Calibri"/>
                <w:b/>
                <w:sz w:val="20"/>
                <w:szCs w:val="20"/>
                <w:lang w:val="de-DE"/>
              </w:rPr>
            </w:pPr>
            <w:r w:rsidRPr="005759E4">
              <w:rPr>
                <w:rFonts w:cs="Calibri"/>
                <w:b/>
                <w:sz w:val="20"/>
                <w:lang w:val="de-DE"/>
              </w:rPr>
              <w:t>2271</w:t>
            </w:r>
          </w:p>
        </w:tc>
        <w:tc>
          <w:tcPr>
            <w:tcW w:w="1275" w:type="dxa"/>
            <w:shd w:val="clear" w:color="auto" w:fill="D9D9D9"/>
          </w:tcPr>
          <w:p w:rsidR="000B433A" w:rsidRPr="005759E4" w:rsidRDefault="000B433A" w:rsidP="008F6F57">
            <w:pPr>
              <w:keepNext/>
              <w:rPr>
                <w:rFonts w:cs="Calibri"/>
                <w:b/>
                <w:sz w:val="20"/>
                <w:szCs w:val="20"/>
                <w:lang w:val="de-DE"/>
              </w:rPr>
            </w:pPr>
            <w:r w:rsidRPr="005759E4">
              <w:rPr>
                <w:rFonts w:cs="Calibri"/>
                <w:b/>
                <w:sz w:val="20"/>
                <w:lang w:val="de-DE"/>
              </w:rPr>
              <w:t>636</w:t>
            </w:r>
          </w:p>
        </w:tc>
        <w:tc>
          <w:tcPr>
            <w:tcW w:w="1134" w:type="dxa"/>
            <w:shd w:val="clear" w:color="auto" w:fill="D9D9D9"/>
          </w:tcPr>
          <w:p w:rsidR="000B433A" w:rsidRPr="005759E4" w:rsidRDefault="000B433A" w:rsidP="008F6F57">
            <w:pPr>
              <w:keepNext/>
              <w:rPr>
                <w:rFonts w:cs="Calibri"/>
                <w:b/>
                <w:sz w:val="20"/>
                <w:szCs w:val="20"/>
                <w:lang w:val="de-DE"/>
              </w:rPr>
            </w:pPr>
            <w:r w:rsidRPr="005759E4">
              <w:rPr>
                <w:rFonts w:cs="Calibri"/>
                <w:b/>
                <w:sz w:val="20"/>
                <w:lang w:val="de-DE"/>
              </w:rPr>
              <w:t>556</w:t>
            </w:r>
          </w:p>
        </w:tc>
        <w:tc>
          <w:tcPr>
            <w:tcW w:w="1276" w:type="dxa"/>
            <w:shd w:val="clear" w:color="auto" w:fill="D9D9D9"/>
          </w:tcPr>
          <w:p w:rsidR="000B433A" w:rsidRPr="005759E4" w:rsidRDefault="000B433A" w:rsidP="008F6F57">
            <w:pPr>
              <w:keepNext/>
              <w:rPr>
                <w:rFonts w:cs="Calibri"/>
                <w:b/>
                <w:sz w:val="20"/>
                <w:szCs w:val="20"/>
                <w:lang w:val="de-DE"/>
              </w:rPr>
            </w:pPr>
            <w:r w:rsidRPr="005759E4">
              <w:rPr>
                <w:rFonts w:cs="Calibri"/>
                <w:b/>
                <w:sz w:val="20"/>
                <w:lang w:val="de-DE"/>
              </w:rPr>
              <w:t>5332</w:t>
            </w:r>
          </w:p>
        </w:tc>
      </w:tr>
    </w:tbl>
    <w:p w:rsidR="000B433A" w:rsidRPr="005F5D9D" w:rsidRDefault="000B433A" w:rsidP="008F6F57">
      <w:pPr>
        <w:pStyle w:val="Lgende"/>
        <w:rPr>
          <w:rFonts w:cs="Calibri"/>
          <w:sz w:val="22"/>
          <w:lang w:val="de-DE"/>
        </w:rPr>
      </w:pPr>
      <w:r>
        <w:rPr>
          <w:rFonts w:cs="Calibri"/>
          <w:lang w:val="de-DE"/>
        </w:rPr>
        <w:t xml:space="preserve">Tabelle </w:t>
      </w:r>
      <w:r w:rsidR="005A6B21" w:rsidRPr="005F5D9D">
        <w:rPr>
          <w:rFonts w:cs="Calibri"/>
          <w:lang w:val="de-DE"/>
        </w:rPr>
        <w:fldChar w:fldCharType="begin"/>
      </w:r>
      <w:r w:rsidRPr="005F5D9D">
        <w:rPr>
          <w:rFonts w:cs="Calibri"/>
          <w:lang w:val="de-DE"/>
        </w:rPr>
        <w:instrText xml:space="preserve"> SEQ Tableau \* ARABIC </w:instrText>
      </w:r>
      <w:r w:rsidR="005A6B21" w:rsidRPr="005F5D9D">
        <w:rPr>
          <w:rFonts w:cs="Calibri"/>
          <w:lang w:val="de-DE"/>
        </w:rPr>
        <w:fldChar w:fldCharType="separate"/>
      </w:r>
      <w:r>
        <w:rPr>
          <w:rFonts w:cs="Calibri"/>
          <w:lang w:val="de-DE"/>
        </w:rPr>
        <w:t>8</w:t>
      </w:r>
      <w:r w:rsidR="005A6B21" w:rsidRPr="005F5D9D">
        <w:rPr>
          <w:rFonts w:cs="Calibri"/>
          <w:lang w:val="de-DE"/>
        </w:rPr>
        <w:fldChar w:fldCharType="end"/>
      </w:r>
      <w:r>
        <w:rPr>
          <w:rFonts w:cs="Calibri"/>
          <w:lang w:val="de-DE"/>
        </w:rPr>
        <w:t xml:space="preserve"> Zusätzlicher Aufwand W-EE 2020 - 2030</w:t>
      </w:r>
    </w:p>
    <w:p w:rsidR="000B433A" w:rsidRPr="00C33976" w:rsidRDefault="000B433A" w:rsidP="00EC50AA">
      <w:pPr>
        <w:rPr>
          <w:lang w:val="de-DE"/>
        </w:rPr>
      </w:pPr>
      <w:r w:rsidRPr="00D07F58">
        <w:rPr>
          <w:lang w:val="de-DE"/>
        </w:rPr>
        <w:t>Diese Bemühungen ermöglichen es, einen Anteil erneuerbarer Wärme am Bruttoendwärmeverbrauch von 24,7 % zu erreichen (gegenüber 13,1 % im Jahr 2015 und 14,7 % im Jahr 2020).</w:t>
      </w:r>
    </w:p>
    <w:p w:rsidR="000B433A" w:rsidRDefault="000B433A">
      <w:pPr>
        <w:pStyle w:val="Titre4"/>
        <w:numPr>
          <w:ilvl w:val="0"/>
          <w:numId w:val="41"/>
        </w:numPr>
        <w:spacing w:after="0" w:line="360" w:lineRule="auto"/>
        <w:ind w:left="851" w:hanging="851"/>
        <w:jc w:val="left"/>
        <w:rPr>
          <w:rFonts w:cs="Calibri"/>
          <w:lang w:val="de-DE"/>
        </w:rPr>
      </w:pPr>
      <w:r>
        <w:rPr>
          <w:rFonts w:ascii="Calibri" w:hAnsi="Calibri" w:cs="Calibri"/>
          <w:lang w:val="de-DE"/>
        </w:rPr>
        <w:t>Zielsetzung für den Bereich erneuerbarer Energien für den Transport</w:t>
      </w:r>
    </w:p>
    <w:p w:rsidR="000B433A" w:rsidRPr="008D3EBB" w:rsidRDefault="000B433A" w:rsidP="008F6F57">
      <w:pPr>
        <w:rPr>
          <w:rFonts w:cs="Calibri"/>
          <w:lang w:val="de-DE"/>
        </w:rPr>
      </w:pPr>
      <w:r>
        <w:rPr>
          <w:rFonts w:cs="Calibri"/>
          <w:lang w:val="de-DE"/>
        </w:rPr>
        <w:t xml:space="preserve">Das Ziel in Bezug auf erneuerbare Energien für den Transport ist viel höher als das von WEM, was auf eine höhere Biokraftstoffbeimischungsrate (14 %), den Durchbruch von Biogas, aber auch auf die zunehmende Verbreitung von Elektrofahrzeugen zurückzuführen ist. </w:t>
      </w:r>
    </w:p>
    <w:p w:rsidR="000B433A" w:rsidRPr="00C33976" w:rsidRDefault="000B433A" w:rsidP="00183130">
      <w:pPr>
        <w:pStyle w:val="Titre3"/>
        <w:numPr>
          <w:ilvl w:val="2"/>
          <w:numId w:val="1"/>
        </w:numPr>
        <w:ind w:left="851" w:hanging="851"/>
        <w:rPr>
          <w:rFonts w:ascii="Calibri" w:hAnsi="Calibri" w:cs="Calibri"/>
          <w:color w:val="1F497D"/>
          <w:lang w:val="de-DE"/>
        </w:rPr>
      </w:pPr>
      <w:r>
        <w:rPr>
          <w:rFonts w:ascii="Calibri" w:hAnsi="Calibri" w:cs="Calibri"/>
          <w:color w:val="1F497D"/>
          <w:lang w:val="de-DE"/>
        </w:rPr>
        <w:t>Energieeffizienz</w:t>
      </w:r>
    </w:p>
    <w:p w:rsidR="000B433A" w:rsidRDefault="000B433A">
      <w:pPr>
        <w:pStyle w:val="Titre4"/>
        <w:numPr>
          <w:ilvl w:val="0"/>
          <w:numId w:val="43"/>
        </w:numPr>
        <w:spacing w:after="0" w:line="360" w:lineRule="auto"/>
        <w:ind w:left="851" w:hanging="851"/>
        <w:jc w:val="left"/>
        <w:rPr>
          <w:rFonts w:ascii="Calibri" w:hAnsi="Calibri" w:cs="Calibri"/>
          <w:lang w:val="de-DE"/>
        </w:rPr>
      </w:pPr>
      <w:r>
        <w:rPr>
          <w:rFonts w:ascii="Calibri" w:hAnsi="Calibri" w:cs="Calibri"/>
          <w:lang w:val="de-DE"/>
        </w:rPr>
        <w:t>Endverbrauch</w:t>
      </w:r>
    </w:p>
    <w:p w:rsidR="000B433A" w:rsidRPr="005F5D9D" w:rsidRDefault="000B433A" w:rsidP="008F6F57">
      <w:pPr>
        <w:rPr>
          <w:rFonts w:cs="Calibri"/>
          <w:sz w:val="22"/>
          <w:lang w:val="de-DE"/>
        </w:rPr>
      </w:pPr>
      <w:r>
        <w:rPr>
          <w:rFonts w:cs="Calibri"/>
          <w:sz w:val="22"/>
          <w:lang w:val="de-DE"/>
        </w:rPr>
        <w:t xml:space="preserve">Durch die Einbeziehung der Auswirkungen der Maßnahmen, die die Wallonie zwischen 2020 und 2030 vorsieht, sinkt der Endverbrauch des Gebietes im Vergleich zum Referenzszenario um 11 % und im Vergleich zu 2005 um 23 %, um 115 TWh für alle Sektoren zu erreichen. </w:t>
      </w:r>
    </w:p>
    <w:p w:rsidR="000B433A" w:rsidRDefault="00372180" w:rsidP="008F6F57">
      <w:pPr>
        <w:keepNext/>
        <w:jc w:val="center"/>
      </w:pPr>
      <w:r>
        <w:rPr>
          <w:noProof/>
          <w:lang w:eastAsia="fr-BE"/>
        </w:rPr>
        <w:drawing>
          <wp:inline distT="0" distB="0" distL="0" distR="0">
            <wp:extent cx="5507355" cy="2922905"/>
            <wp:effectExtent l="19050" t="0" r="0" b="0"/>
            <wp:docPr id="19" name="Graphique 170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7035"/>
                    <pic:cNvPicPr>
                      <a:picLocks noChangeArrowheads="1"/>
                    </pic:cNvPicPr>
                  </pic:nvPicPr>
                  <pic:blipFill>
                    <a:blip r:embed="rId28"/>
                    <a:srcRect b="-21"/>
                    <a:stretch>
                      <a:fillRect/>
                    </a:stretch>
                  </pic:blipFill>
                  <pic:spPr bwMode="auto">
                    <a:xfrm>
                      <a:off x="0" y="0"/>
                      <a:ext cx="5507355" cy="2922905"/>
                    </a:xfrm>
                    <a:prstGeom prst="rect">
                      <a:avLst/>
                    </a:prstGeom>
                    <a:noFill/>
                    <a:ln w="9525">
                      <a:noFill/>
                      <a:miter lim="800000"/>
                      <a:headEnd/>
                      <a:tailEnd/>
                    </a:ln>
                  </pic:spPr>
                </pic:pic>
              </a:graphicData>
            </a:graphic>
          </wp:inline>
        </w:drawing>
      </w:r>
    </w:p>
    <w:p w:rsidR="000B433A" w:rsidRPr="005F5D9D" w:rsidRDefault="000B433A" w:rsidP="008F6F57">
      <w:pPr>
        <w:pStyle w:val="Lgende"/>
        <w:jc w:val="center"/>
        <w:rPr>
          <w:rFonts w:cs="Calibri"/>
          <w:sz w:val="22"/>
          <w:lang w:val="de-DE"/>
        </w:rPr>
      </w:pPr>
      <w:r>
        <w:rPr>
          <w:lang w:val="de-DE"/>
        </w:rPr>
        <w:t>Abbildung 7: Entwicklung des gesamten Endenergieverbrauchs</w:t>
      </w:r>
    </w:p>
    <w:p w:rsidR="000B433A" w:rsidRPr="00C33976" w:rsidRDefault="000B433A" w:rsidP="008F6F57">
      <w:pPr>
        <w:rPr>
          <w:rFonts w:cs="Calibri"/>
          <w:szCs w:val="24"/>
          <w:lang w:val="de-DE"/>
        </w:rPr>
      </w:pPr>
      <w:r>
        <w:rPr>
          <w:rFonts w:cs="Calibri"/>
          <w:lang w:val="de-DE"/>
        </w:rPr>
        <w:t xml:space="preserve">Der Beitrag jedes Sektors zu den Einsparungen beim Endenergieverbrauch wird im WAM-Szenario wie folgt geschätzt: </w:t>
      </w:r>
    </w:p>
    <w:tbl>
      <w:tblPr>
        <w:tblW w:w="8970" w:type="dxa"/>
        <w:tblInd w:w="-5" w:type="dxa"/>
        <w:tblLayout w:type="fixed"/>
        <w:tblCellMar>
          <w:left w:w="70" w:type="dxa"/>
          <w:right w:w="70" w:type="dxa"/>
        </w:tblCellMar>
        <w:tblLook w:val="00A0"/>
      </w:tblPr>
      <w:tblGrid>
        <w:gridCol w:w="1837"/>
        <w:gridCol w:w="984"/>
        <w:gridCol w:w="984"/>
        <w:gridCol w:w="984"/>
        <w:gridCol w:w="984"/>
        <w:gridCol w:w="1082"/>
        <w:gridCol w:w="1115"/>
        <w:gridCol w:w="1000"/>
      </w:tblGrid>
      <w:tr w:rsidR="000B433A" w:rsidRPr="005759E4" w:rsidTr="008F6F57">
        <w:trPr>
          <w:trHeight w:val="1207"/>
        </w:trPr>
        <w:tc>
          <w:tcPr>
            <w:tcW w:w="1837" w:type="dxa"/>
            <w:tcBorders>
              <w:top w:val="single" w:sz="8" w:space="0" w:color="auto"/>
              <w:left w:val="single" w:sz="8" w:space="0" w:color="auto"/>
              <w:bottom w:val="single" w:sz="8" w:space="0" w:color="auto"/>
              <w:right w:val="single" w:sz="8" w:space="0" w:color="auto"/>
            </w:tcBorders>
            <w:shd w:val="clear" w:color="000000" w:fill="F2DDDC"/>
            <w:vAlign w:val="center"/>
          </w:tcPr>
          <w:p w:rsidR="000B433A" w:rsidRPr="005759E4" w:rsidRDefault="000B433A" w:rsidP="008F6F57">
            <w:pPr>
              <w:spacing w:after="0" w:line="240" w:lineRule="auto"/>
              <w:rPr>
                <w:rFonts w:cs="Calibri"/>
                <w:b/>
                <w:bCs/>
                <w:color w:val="000000"/>
                <w:sz w:val="18"/>
                <w:szCs w:val="18"/>
                <w:lang w:val="de-DE"/>
              </w:rPr>
            </w:pPr>
            <w:r w:rsidRPr="005759E4">
              <w:rPr>
                <w:rFonts w:cs="Calibri"/>
                <w:b/>
                <w:color w:val="000000"/>
                <w:sz w:val="18"/>
                <w:lang w:val="de-DE"/>
              </w:rPr>
              <w:t xml:space="preserve">Endverbrauch (GWh)  </w:t>
            </w:r>
          </w:p>
        </w:tc>
        <w:tc>
          <w:tcPr>
            <w:tcW w:w="984" w:type="dxa"/>
            <w:tcBorders>
              <w:top w:val="single" w:sz="8" w:space="0" w:color="auto"/>
              <w:left w:val="nil"/>
              <w:bottom w:val="single" w:sz="8" w:space="0" w:color="auto"/>
              <w:right w:val="single" w:sz="8" w:space="0" w:color="auto"/>
            </w:tcBorders>
            <w:shd w:val="clear" w:color="000000" w:fill="F2DDDC"/>
            <w:vAlign w:val="center"/>
          </w:tcPr>
          <w:p w:rsidR="000B433A" w:rsidRPr="005759E4" w:rsidRDefault="000B433A" w:rsidP="008F6F57">
            <w:pPr>
              <w:spacing w:after="0" w:line="240" w:lineRule="auto"/>
              <w:jc w:val="center"/>
              <w:rPr>
                <w:rFonts w:cs="Calibri"/>
                <w:b/>
                <w:bCs/>
                <w:color w:val="000000"/>
                <w:sz w:val="18"/>
                <w:szCs w:val="18"/>
                <w:lang w:val="de-DE"/>
              </w:rPr>
            </w:pPr>
            <w:r w:rsidRPr="005759E4">
              <w:rPr>
                <w:rFonts w:cs="Calibri"/>
                <w:b/>
                <w:color w:val="000000"/>
                <w:sz w:val="18"/>
                <w:lang w:val="de-DE"/>
              </w:rPr>
              <w:t>2005</w:t>
            </w:r>
          </w:p>
        </w:tc>
        <w:tc>
          <w:tcPr>
            <w:tcW w:w="984" w:type="dxa"/>
            <w:tcBorders>
              <w:top w:val="single" w:sz="8" w:space="0" w:color="auto"/>
              <w:left w:val="nil"/>
              <w:bottom w:val="single" w:sz="8" w:space="0" w:color="auto"/>
              <w:right w:val="single" w:sz="8" w:space="0" w:color="auto"/>
            </w:tcBorders>
            <w:shd w:val="clear" w:color="000000" w:fill="F2DDDC"/>
            <w:vAlign w:val="center"/>
          </w:tcPr>
          <w:p w:rsidR="000B433A" w:rsidRPr="005759E4" w:rsidRDefault="000B433A" w:rsidP="008F6F57">
            <w:pPr>
              <w:spacing w:after="0" w:line="240" w:lineRule="auto"/>
              <w:jc w:val="center"/>
              <w:rPr>
                <w:rFonts w:cs="Calibri"/>
                <w:b/>
                <w:bCs/>
                <w:i/>
                <w:iCs/>
                <w:color w:val="000000"/>
                <w:sz w:val="18"/>
                <w:szCs w:val="18"/>
                <w:lang w:val="de-DE"/>
              </w:rPr>
            </w:pPr>
            <w:r w:rsidRPr="005759E4">
              <w:rPr>
                <w:rFonts w:cs="Calibri"/>
                <w:b/>
                <w:i/>
                <w:color w:val="000000"/>
                <w:sz w:val="18"/>
                <w:lang w:val="de-DE"/>
              </w:rPr>
              <w:t>2030 WEM</w:t>
            </w:r>
          </w:p>
        </w:tc>
        <w:tc>
          <w:tcPr>
            <w:tcW w:w="984" w:type="dxa"/>
            <w:tcBorders>
              <w:top w:val="single" w:sz="8" w:space="0" w:color="auto"/>
              <w:left w:val="nil"/>
              <w:bottom w:val="single" w:sz="8" w:space="0" w:color="auto"/>
              <w:right w:val="single" w:sz="8" w:space="0" w:color="auto"/>
            </w:tcBorders>
            <w:shd w:val="clear" w:color="000000" w:fill="F2DDDC"/>
            <w:vAlign w:val="center"/>
          </w:tcPr>
          <w:p w:rsidR="000B433A" w:rsidRPr="005759E4" w:rsidRDefault="000B433A" w:rsidP="008F6F57">
            <w:pPr>
              <w:spacing w:after="0" w:line="240" w:lineRule="auto"/>
              <w:jc w:val="center"/>
              <w:rPr>
                <w:rFonts w:cs="Calibri"/>
                <w:b/>
                <w:bCs/>
                <w:color w:val="000000"/>
                <w:sz w:val="18"/>
                <w:szCs w:val="18"/>
                <w:lang w:val="de-DE"/>
              </w:rPr>
            </w:pPr>
            <w:r w:rsidRPr="005759E4">
              <w:rPr>
                <w:rFonts w:cs="Calibri"/>
                <w:b/>
                <w:color w:val="000000"/>
                <w:sz w:val="18"/>
                <w:lang w:val="de-DE"/>
              </w:rPr>
              <w:t>2020 WAM *</w:t>
            </w:r>
          </w:p>
        </w:tc>
        <w:tc>
          <w:tcPr>
            <w:tcW w:w="984" w:type="dxa"/>
            <w:tcBorders>
              <w:top w:val="single" w:sz="8" w:space="0" w:color="auto"/>
              <w:left w:val="nil"/>
              <w:bottom w:val="single" w:sz="8" w:space="0" w:color="auto"/>
              <w:right w:val="single" w:sz="8" w:space="0" w:color="auto"/>
            </w:tcBorders>
            <w:shd w:val="clear" w:color="000000" w:fill="F2DDDC"/>
            <w:vAlign w:val="center"/>
          </w:tcPr>
          <w:p w:rsidR="000B433A" w:rsidRPr="005759E4" w:rsidRDefault="000B433A" w:rsidP="008F6F57">
            <w:pPr>
              <w:spacing w:after="0" w:line="240" w:lineRule="auto"/>
              <w:jc w:val="center"/>
              <w:rPr>
                <w:rFonts w:cs="Calibri"/>
                <w:b/>
                <w:bCs/>
                <w:color w:val="000000"/>
                <w:sz w:val="18"/>
                <w:szCs w:val="18"/>
                <w:lang w:val="de-DE"/>
              </w:rPr>
            </w:pPr>
            <w:r w:rsidRPr="005759E4">
              <w:rPr>
                <w:rFonts w:cs="Calibri"/>
                <w:b/>
                <w:color w:val="000000"/>
                <w:sz w:val="18"/>
                <w:lang w:val="de-DE"/>
              </w:rPr>
              <w:t>2030 WAM</w:t>
            </w:r>
          </w:p>
        </w:tc>
        <w:tc>
          <w:tcPr>
            <w:tcW w:w="1082" w:type="dxa"/>
            <w:tcBorders>
              <w:top w:val="single" w:sz="8" w:space="0" w:color="auto"/>
              <w:left w:val="nil"/>
              <w:bottom w:val="single" w:sz="8" w:space="0" w:color="auto"/>
              <w:right w:val="single" w:sz="8" w:space="0" w:color="auto"/>
            </w:tcBorders>
            <w:shd w:val="clear" w:color="000000" w:fill="B3C6E7"/>
            <w:vAlign w:val="center"/>
          </w:tcPr>
          <w:p w:rsidR="000B433A" w:rsidRPr="005759E4" w:rsidRDefault="000B433A" w:rsidP="008F6F57">
            <w:pPr>
              <w:spacing w:after="0" w:line="240" w:lineRule="auto"/>
              <w:rPr>
                <w:rFonts w:cs="Calibri"/>
                <w:b/>
                <w:bCs/>
                <w:color w:val="000000"/>
                <w:sz w:val="18"/>
                <w:szCs w:val="18"/>
                <w:lang w:val="de-DE"/>
              </w:rPr>
            </w:pPr>
            <w:r w:rsidRPr="005759E4">
              <w:rPr>
                <w:rFonts w:cs="Calibri"/>
                <w:b/>
                <w:color w:val="000000"/>
                <w:sz w:val="18"/>
                <w:lang w:val="de-DE"/>
              </w:rPr>
              <w:t>Differenz 2030 WAM- WEM</w:t>
            </w:r>
          </w:p>
        </w:tc>
        <w:tc>
          <w:tcPr>
            <w:tcW w:w="1115" w:type="dxa"/>
            <w:tcBorders>
              <w:top w:val="single" w:sz="8" w:space="0" w:color="auto"/>
              <w:left w:val="nil"/>
              <w:bottom w:val="single" w:sz="8" w:space="0" w:color="auto"/>
              <w:right w:val="single" w:sz="8" w:space="0" w:color="auto"/>
            </w:tcBorders>
            <w:shd w:val="clear" w:color="000000" w:fill="B3C6E7"/>
            <w:vAlign w:val="center"/>
          </w:tcPr>
          <w:p w:rsidR="000B433A" w:rsidRPr="005759E4" w:rsidRDefault="000B433A" w:rsidP="008F6F57">
            <w:pPr>
              <w:spacing w:after="0" w:line="240" w:lineRule="auto"/>
              <w:rPr>
                <w:rFonts w:cs="Calibri"/>
                <w:b/>
                <w:bCs/>
                <w:color w:val="000000"/>
                <w:sz w:val="18"/>
                <w:szCs w:val="18"/>
                <w:lang w:val="de-DE"/>
              </w:rPr>
            </w:pPr>
            <w:r w:rsidRPr="005759E4">
              <w:rPr>
                <w:rFonts w:cs="Calibri"/>
                <w:b/>
                <w:color w:val="000000"/>
                <w:sz w:val="18"/>
                <w:lang w:val="de-DE"/>
              </w:rPr>
              <w:t xml:space="preserve"> Differenz 30-05 WAM %</w:t>
            </w:r>
          </w:p>
        </w:tc>
        <w:tc>
          <w:tcPr>
            <w:tcW w:w="1000" w:type="dxa"/>
            <w:tcBorders>
              <w:top w:val="single" w:sz="8" w:space="0" w:color="auto"/>
              <w:left w:val="nil"/>
              <w:bottom w:val="single" w:sz="8" w:space="0" w:color="auto"/>
              <w:right w:val="single" w:sz="8" w:space="0" w:color="auto"/>
            </w:tcBorders>
            <w:shd w:val="clear" w:color="000000" w:fill="B3C6E7"/>
            <w:vAlign w:val="center"/>
          </w:tcPr>
          <w:p w:rsidR="000B433A" w:rsidRPr="005759E4" w:rsidRDefault="000B433A" w:rsidP="008F6F57">
            <w:pPr>
              <w:spacing w:after="0" w:line="240" w:lineRule="auto"/>
              <w:rPr>
                <w:rFonts w:cs="Calibri"/>
                <w:b/>
                <w:bCs/>
                <w:color w:val="000000"/>
                <w:sz w:val="18"/>
                <w:szCs w:val="18"/>
                <w:lang w:val="de-DE"/>
              </w:rPr>
            </w:pPr>
            <w:r w:rsidRPr="005759E4">
              <w:rPr>
                <w:rFonts w:cs="Calibri"/>
                <w:b/>
                <w:color w:val="000000"/>
                <w:sz w:val="18"/>
                <w:lang w:val="de-DE"/>
              </w:rPr>
              <w:t xml:space="preserve"> Differenz 30-20 WAM %</w:t>
            </w:r>
          </w:p>
        </w:tc>
      </w:tr>
      <w:tr w:rsidR="000B433A" w:rsidRPr="005759E4" w:rsidTr="008F6F57">
        <w:trPr>
          <w:trHeight w:val="329"/>
        </w:trPr>
        <w:tc>
          <w:tcPr>
            <w:tcW w:w="1837" w:type="dxa"/>
            <w:tcBorders>
              <w:top w:val="nil"/>
              <w:left w:val="single" w:sz="8" w:space="0" w:color="auto"/>
              <w:bottom w:val="single" w:sz="8" w:space="0" w:color="auto"/>
              <w:right w:val="single" w:sz="8" w:space="0" w:color="auto"/>
            </w:tcBorders>
            <w:noWrap/>
            <w:vAlign w:val="center"/>
          </w:tcPr>
          <w:p w:rsidR="000B433A" w:rsidRPr="005759E4" w:rsidRDefault="000B433A" w:rsidP="008F6F57">
            <w:pPr>
              <w:spacing w:after="0" w:line="240" w:lineRule="auto"/>
              <w:jc w:val="center"/>
              <w:rPr>
                <w:rFonts w:cs="Calibri"/>
                <w:color w:val="000000"/>
                <w:sz w:val="18"/>
                <w:szCs w:val="18"/>
                <w:lang w:val="de-DE"/>
              </w:rPr>
            </w:pPr>
            <w:r w:rsidRPr="005759E4">
              <w:rPr>
                <w:rFonts w:cs="Calibri"/>
                <w:color w:val="000000"/>
                <w:sz w:val="18"/>
                <w:lang w:val="de-DE"/>
              </w:rPr>
              <w:t>Wohnungssektor</w:t>
            </w:r>
          </w:p>
        </w:tc>
        <w:tc>
          <w:tcPr>
            <w:tcW w:w="984"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center"/>
              <w:rPr>
                <w:rFonts w:cs="Calibri"/>
                <w:sz w:val="18"/>
                <w:szCs w:val="18"/>
                <w:lang w:val="de-DE"/>
              </w:rPr>
            </w:pPr>
            <w:r w:rsidRPr="005759E4">
              <w:rPr>
                <w:rFonts w:cs="Calibri"/>
                <w:sz w:val="18"/>
                <w:lang w:val="de-DE"/>
              </w:rPr>
              <w:t>37 585</w:t>
            </w:r>
          </w:p>
        </w:tc>
        <w:tc>
          <w:tcPr>
            <w:tcW w:w="984"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center"/>
              <w:rPr>
                <w:rFonts w:cs="Calibri"/>
                <w:i/>
                <w:iCs/>
                <w:sz w:val="18"/>
                <w:szCs w:val="18"/>
                <w:lang w:val="de-DE"/>
              </w:rPr>
            </w:pPr>
            <w:r w:rsidRPr="005759E4">
              <w:rPr>
                <w:rFonts w:cs="Calibri"/>
                <w:i/>
                <w:sz w:val="18"/>
                <w:lang w:val="de-DE"/>
              </w:rPr>
              <w:t>30 018</w:t>
            </w:r>
          </w:p>
        </w:tc>
        <w:tc>
          <w:tcPr>
            <w:tcW w:w="984"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center"/>
              <w:rPr>
                <w:rFonts w:cs="Calibri"/>
                <w:sz w:val="18"/>
                <w:szCs w:val="18"/>
                <w:lang w:val="de-DE"/>
              </w:rPr>
            </w:pPr>
            <w:r w:rsidRPr="005759E4">
              <w:rPr>
                <w:rFonts w:cs="Calibri"/>
                <w:sz w:val="18"/>
                <w:lang w:val="de-DE"/>
              </w:rPr>
              <w:t>29 524</w:t>
            </w:r>
          </w:p>
        </w:tc>
        <w:tc>
          <w:tcPr>
            <w:tcW w:w="984"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center"/>
              <w:rPr>
                <w:rFonts w:cs="Calibri"/>
                <w:sz w:val="18"/>
                <w:szCs w:val="18"/>
                <w:lang w:val="de-DE"/>
              </w:rPr>
            </w:pPr>
            <w:r w:rsidRPr="005759E4">
              <w:rPr>
                <w:rFonts w:cs="Calibri"/>
                <w:sz w:val="18"/>
                <w:lang w:val="de-DE"/>
              </w:rPr>
              <w:t>26 141</w:t>
            </w:r>
          </w:p>
        </w:tc>
        <w:tc>
          <w:tcPr>
            <w:tcW w:w="1082"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right"/>
              <w:rPr>
                <w:rFonts w:cs="Calibri"/>
                <w:color w:val="000000"/>
                <w:sz w:val="18"/>
                <w:szCs w:val="18"/>
                <w:lang w:val="de-DE"/>
              </w:rPr>
            </w:pPr>
            <w:r w:rsidRPr="005759E4">
              <w:rPr>
                <w:rFonts w:cs="Calibri"/>
                <w:color w:val="000000"/>
                <w:sz w:val="18"/>
                <w:lang w:val="de-DE"/>
              </w:rPr>
              <w:t>-12.92%</w:t>
            </w:r>
          </w:p>
        </w:tc>
        <w:tc>
          <w:tcPr>
            <w:tcW w:w="1115"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right"/>
              <w:rPr>
                <w:rFonts w:cs="Calibri"/>
                <w:color w:val="000000"/>
                <w:sz w:val="18"/>
                <w:szCs w:val="18"/>
                <w:lang w:val="de-DE"/>
              </w:rPr>
            </w:pPr>
            <w:r w:rsidRPr="005759E4">
              <w:rPr>
                <w:rFonts w:cs="Calibri"/>
                <w:color w:val="000000"/>
                <w:sz w:val="18"/>
                <w:lang w:val="de-DE"/>
              </w:rPr>
              <w:t>-30,45 %</w:t>
            </w:r>
          </w:p>
        </w:tc>
        <w:tc>
          <w:tcPr>
            <w:tcW w:w="1000"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right"/>
              <w:rPr>
                <w:rFonts w:cs="Calibri"/>
                <w:color w:val="000000"/>
                <w:sz w:val="18"/>
                <w:szCs w:val="18"/>
                <w:lang w:val="de-DE"/>
              </w:rPr>
            </w:pPr>
            <w:r w:rsidRPr="005759E4">
              <w:rPr>
                <w:rFonts w:cs="Calibri"/>
                <w:color w:val="000000"/>
                <w:sz w:val="18"/>
                <w:lang w:val="de-DE"/>
              </w:rPr>
              <w:t>-11,46 %</w:t>
            </w:r>
          </w:p>
        </w:tc>
      </w:tr>
      <w:tr w:rsidR="000B433A" w:rsidRPr="005759E4" w:rsidTr="008F6F57">
        <w:trPr>
          <w:trHeight w:val="329"/>
        </w:trPr>
        <w:tc>
          <w:tcPr>
            <w:tcW w:w="1837" w:type="dxa"/>
            <w:tcBorders>
              <w:top w:val="nil"/>
              <w:left w:val="single" w:sz="8" w:space="0" w:color="auto"/>
              <w:bottom w:val="single" w:sz="8" w:space="0" w:color="auto"/>
              <w:right w:val="single" w:sz="8" w:space="0" w:color="auto"/>
            </w:tcBorders>
            <w:noWrap/>
            <w:vAlign w:val="center"/>
          </w:tcPr>
          <w:p w:rsidR="000B433A" w:rsidRPr="005759E4" w:rsidRDefault="000B433A" w:rsidP="008F6F57">
            <w:pPr>
              <w:spacing w:after="0" w:line="240" w:lineRule="auto"/>
              <w:jc w:val="center"/>
              <w:rPr>
                <w:rFonts w:cs="Calibri"/>
                <w:color w:val="000000"/>
                <w:sz w:val="18"/>
                <w:szCs w:val="18"/>
                <w:lang w:val="de-DE"/>
              </w:rPr>
            </w:pPr>
            <w:r w:rsidRPr="005759E4">
              <w:rPr>
                <w:rFonts w:cs="Calibri"/>
                <w:color w:val="000000"/>
                <w:sz w:val="18"/>
                <w:lang w:val="de-DE"/>
              </w:rPr>
              <w:t>Dienstleistungen</w:t>
            </w:r>
          </w:p>
        </w:tc>
        <w:tc>
          <w:tcPr>
            <w:tcW w:w="984"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center"/>
              <w:rPr>
                <w:rFonts w:cs="Calibri"/>
                <w:sz w:val="18"/>
                <w:szCs w:val="18"/>
                <w:lang w:val="de-DE"/>
              </w:rPr>
            </w:pPr>
            <w:r w:rsidRPr="005759E4">
              <w:rPr>
                <w:rFonts w:cs="Calibri"/>
                <w:sz w:val="18"/>
                <w:lang w:val="de-DE"/>
              </w:rPr>
              <w:t>12 249</w:t>
            </w:r>
          </w:p>
        </w:tc>
        <w:tc>
          <w:tcPr>
            <w:tcW w:w="984"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center"/>
              <w:rPr>
                <w:rFonts w:cs="Calibri"/>
                <w:i/>
                <w:iCs/>
                <w:sz w:val="18"/>
                <w:szCs w:val="18"/>
                <w:lang w:val="de-DE"/>
              </w:rPr>
            </w:pPr>
            <w:r w:rsidRPr="005759E4">
              <w:rPr>
                <w:rFonts w:cs="Calibri"/>
                <w:i/>
                <w:sz w:val="18"/>
                <w:lang w:val="de-DE"/>
              </w:rPr>
              <w:t>13 800</w:t>
            </w:r>
          </w:p>
        </w:tc>
        <w:tc>
          <w:tcPr>
            <w:tcW w:w="984"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center"/>
              <w:rPr>
                <w:rFonts w:cs="Calibri"/>
                <w:sz w:val="18"/>
                <w:szCs w:val="18"/>
                <w:lang w:val="de-DE"/>
              </w:rPr>
            </w:pPr>
            <w:r w:rsidRPr="005759E4">
              <w:rPr>
                <w:rFonts w:cs="Calibri"/>
                <w:sz w:val="18"/>
                <w:lang w:val="de-DE"/>
              </w:rPr>
              <w:t>12 813</w:t>
            </w:r>
          </w:p>
        </w:tc>
        <w:tc>
          <w:tcPr>
            <w:tcW w:w="984"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center"/>
              <w:rPr>
                <w:rFonts w:cs="Calibri"/>
                <w:sz w:val="18"/>
                <w:szCs w:val="18"/>
                <w:lang w:val="de-DE"/>
              </w:rPr>
            </w:pPr>
            <w:r w:rsidRPr="005759E4">
              <w:rPr>
                <w:rFonts w:cs="Calibri"/>
                <w:sz w:val="18"/>
                <w:lang w:val="de-DE"/>
              </w:rPr>
              <w:t>12 146</w:t>
            </w:r>
          </w:p>
        </w:tc>
        <w:tc>
          <w:tcPr>
            <w:tcW w:w="1082"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right"/>
              <w:rPr>
                <w:rFonts w:cs="Calibri"/>
                <w:color w:val="000000"/>
                <w:sz w:val="18"/>
                <w:szCs w:val="18"/>
                <w:lang w:val="de-DE"/>
              </w:rPr>
            </w:pPr>
            <w:r w:rsidRPr="005759E4">
              <w:rPr>
                <w:rFonts w:cs="Calibri"/>
                <w:color w:val="000000"/>
                <w:sz w:val="18"/>
                <w:lang w:val="de-DE"/>
              </w:rPr>
              <w:t>-11,99 %</w:t>
            </w:r>
          </w:p>
        </w:tc>
        <w:tc>
          <w:tcPr>
            <w:tcW w:w="1115"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right"/>
              <w:rPr>
                <w:rFonts w:cs="Calibri"/>
                <w:color w:val="000000"/>
                <w:sz w:val="18"/>
                <w:szCs w:val="18"/>
                <w:lang w:val="de-DE"/>
              </w:rPr>
            </w:pPr>
            <w:r w:rsidRPr="005759E4">
              <w:rPr>
                <w:rFonts w:cs="Calibri"/>
                <w:color w:val="000000"/>
                <w:sz w:val="18"/>
                <w:lang w:val="de-DE"/>
              </w:rPr>
              <w:t>- 0,84 %</w:t>
            </w:r>
          </w:p>
        </w:tc>
        <w:tc>
          <w:tcPr>
            <w:tcW w:w="1000"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right"/>
              <w:rPr>
                <w:rFonts w:cs="Calibri"/>
                <w:color w:val="000000"/>
                <w:sz w:val="18"/>
                <w:szCs w:val="18"/>
                <w:lang w:val="de-DE"/>
              </w:rPr>
            </w:pPr>
            <w:r w:rsidRPr="005759E4">
              <w:rPr>
                <w:rFonts w:cs="Calibri"/>
                <w:color w:val="000000"/>
                <w:sz w:val="18"/>
                <w:lang w:val="de-DE"/>
              </w:rPr>
              <w:t>- 5,21 %</w:t>
            </w:r>
          </w:p>
        </w:tc>
      </w:tr>
      <w:tr w:rsidR="000B433A" w:rsidRPr="005759E4" w:rsidTr="008F6F57">
        <w:trPr>
          <w:trHeight w:val="329"/>
        </w:trPr>
        <w:tc>
          <w:tcPr>
            <w:tcW w:w="1837" w:type="dxa"/>
            <w:tcBorders>
              <w:top w:val="nil"/>
              <w:left w:val="single" w:sz="8" w:space="0" w:color="auto"/>
              <w:bottom w:val="single" w:sz="8" w:space="0" w:color="auto"/>
              <w:right w:val="single" w:sz="8" w:space="0" w:color="auto"/>
            </w:tcBorders>
            <w:noWrap/>
            <w:vAlign w:val="center"/>
          </w:tcPr>
          <w:p w:rsidR="000B433A" w:rsidRPr="005759E4" w:rsidRDefault="000B433A" w:rsidP="008F6F57">
            <w:pPr>
              <w:spacing w:after="0" w:line="240" w:lineRule="auto"/>
              <w:jc w:val="center"/>
              <w:rPr>
                <w:rFonts w:cs="Calibri"/>
                <w:color w:val="000000"/>
                <w:sz w:val="18"/>
                <w:szCs w:val="18"/>
                <w:lang w:val="de-DE"/>
              </w:rPr>
            </w:pPr>
            <w:r w:rsidRPr="005759E4">
              <w:rPr>
                <w:rFonts w:cs="Calibri"/>
                <w:color w:val="000000"/>
                <w:sz w:val="18"/>
                <w:lang w:val="de-DE"/>
              </w:rPr>
              <w:t>Industrie</w:t>
            </w:r>
          </w:p>
        </w:tc>
        <w:tc>
          <w:tcPr>
            <w:tcW w:w="984"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center"/>
              <w:rPr>
                <w:rFonts w:cs="Calibri"/>
                <w:sz w:val="18"/>
                <w:szCs w:val="18"/>
                <w:lang w:val="de-DE"/>
              </w:rPr>
            </w:pPr>
            <w:r w:rsidRPr="005759E4">
              <w:rPr>
                <w:rFonts w:cs="Calibri"/>
                <w:sz w:val="18"/>
                <w:lang w:val="de-DE"/>
              </w:rPr>
              <w:t>61 793</w:t>
            </w:r>
          </w:p>
        </w:tc>
        <w:tc>
          <w:tcPr>
            <w:tcW w:w="984"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center"/>
              <w:rPr>
                <w:rFonts w:cs="Calibri"/>
                <w:i/>
                <w:iCs/>
                <w:sz w:val="18"/>
                <w:szCs w:val="18"/>
                <w:lang w:val="de-DE"/>
              </w:rPr>
            </w:pPr>
            <w:r w:rsidRPr="005759E4">
              <w:rPr>
                <w:rFonts w:cs="Calibri"/>
                <w:i/>
                <w:sz w:val="18"/>
                <w:lang w:val="de-DE"/>
              </w:rPr>
              <w:t>41 375</w:t>
            </w:r>
          </w:p>
        </w:tc>
        <w:tc>
          <w:tcPr>
            <w:tcW w:w="984"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center"/>
              <w:rPr>
                <w:rFonts w:cs="Calibri"/>
                <w:sz w:val="18"/>
                <w:szCs w:val="18"/>
                <w:lang w:val="de-DE"/>
              </w:rPr>
            </w:pPr>
            <w:r w:rsidRPr="005759E4">
              <w:rPr>
                <w:rFonts w:cs="Calibri"/>
                <w:sz w:val="18"/>
                <w:lang w:val="de-DE"/>
              </w:rPr>
              <w:t>39 408</w:t>
            </w:r>
          </w:p>
        </w:tc>
        <w:tc>
          <w:tcPr>
            <w:tcW w:w="984"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center"/>
              <w:rPr>
                <w:rFonts w:cs="Calibri"/>
                <w:sz w:val="18"/>
                <w:szCs w:val="18"/>
                <w:lang w:val="de-DE"/>
              </w:rPr>
            </w:pPr>
            <w:r w:rsidRPr="005759E4">
              <w:rPr>
                <w:rFonts w:cs="Calibri"/>
                <w:sz w:val="18"/>
                <w:lang w:val="de-DE"/>
              </w:rPr>
              <w:t>40 272</w:t>
            </w:r>
          </w:p>
        </w:tc>
        <w:tc>
          <w:tcPr>
            <w:tcW w:w="1082"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right"/>
              <w:rPr>
                <w:rFonts w:cs="Calibri"/>
                <w:color w:val="000000"/>
                <w:sz w:val="18"/>
                <w:szCs w:val="18"/>
                <w:lang w:val="de-DE"/>
              </w:rPr>
            </w:pPr>
            <w:r w:rsidRPr="005759E4">
              <w:rPr>
                <w:rFonts w:cs="Calibri"/>
                <w:color w:val="000000"/>
                <w:sz w:val="18"/>
                <w:lang w:val="de-DE"/>
              </w:rPr>
              <w:t>-2,67 %</w:t>
            </w:r>
          </w:p>
        </w:tc>
        <w:tc>
          <w:tcPr>
            <w:tcW w:w="1115"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right"/>
              <w:rPr>
                <w:rFonts w:cs="Calibri"/>
                <w:color w:val="000000"/>
                <w:sz w:val="18"/>
                <w:szCs w:val="18"/>
                <w:lang w:val="de-DE"/>
              </w:rPr>
            </w:pPr>
            <w:r w:rsidRPr="005759E4">
              <w:rPr>
                <w:rFonts w:cs="Calibri"/>
                <w:color w:val="000000"/>
                <w:sz w:val="18"/>
                <w:lang w:val="de-DE"/>
              </w:rPr>
              <w:t>-34,83 %</w:t>
            </w:r>
          </w:p>
        </w:tc>
        <w:tc>
          <w:tcPr>
            <w:tcW w:w="1000"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right"/>
              <w:rPr>
                <w:rFonts w:cs="Calibri"/>
                <w:color w:val="000000"/>
                <w:sz w:val="18"/>
                <w:szCs w:val="18"/>
                <w:lang w:val="de-DE"/>
              </w:rPr>
            </w:pPr>
            <w:r w:rsidRPr="005759E4">
              <w:rPr>
                <w:rFonts w:cs="Calibri"/>
                <w:color w:val="000000"/>
                <w:sz w:val="18"/>
                <w:lang w:val="de-DE"/>
              </w:rPr>
              <w:t>2,19%</w:t>
            </w:r>
          </w:p>
        </w:tc>
      </w:tr>
      <w:tr w:rsidR="000B433A" w:rsidRPr="005759E4" w:rsidTr="008F6F57">
        <w:trPr>
          <w:trHeight w:val="329"/>
        </w:trPr>
        <w:tc>
          <w:tcPr>
            <w:tcW w:w="1837" w:type="dxa"/>
            <w:tcBorders>
              <w:top w:val="nil"/>
              <w:left w:val="single" w:sz="8" w:space="0" w:color="auto"/>
              <w:bottom w:val="single" w:sz="8" w:space="0" w:color="auto"/>
              <w:right w:val="single" w:sz="8" w:space="0" w:color="auto"/>
            </w:tcBorders>
            <w:noWrap/>
            <w:vAlign w:val="center"/>
          </w:tcPr>
          <w:p w:rsidR="000B433A" w:rsidRPr="005759E4" w:rsidRDefault="000B433A" w:rsidP="008F6F57">
            <w:pPr>
              <w:spacing w:after="0" w:line="240" w:lineRule="auto"/>
              <w:jc w:val="center"/>
              <w:rPr>
                <w:rFonts w:cs="Calibri"/>
                <w:color w:val="000000"/>
                <w:sz w:val="18"/>
                <w:szCs w:val="18"/>
                <w:lang w:val="de-DE"/>
              </w:rPr>
            </w:pPr>
            <w:r w:rsidRPr="005759E4">
              <w:rPr>
                <w:rFonts w:cs="Calibri"/>
                <w:color w:val="000000"/>
                <w:sz w:val="18"/>
                <w:lang w:val="de-DE"/>
              </w:rPr>
              <w:t>Landwirtschaft</w:t>
            </w:r>
          </w:p>
        </w:tc>
        <w:tc>
          <w:tcPr>
            <w:tcW w:w="984"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center"/>
              <w:rPr>
                <w:rFonts w:cs="Calibri"/>
                <w:sz w:val="18"/>
                <w:szCs w:val="18"/>
                <w:lang w:val="de-DE"/>
              </w:rPr>
            </w:pPr>
            <w:r w:rsidRPr="005759E4">
              <w:rPr>
                <w:rFonts w:cs="Calibri"/>
                <w:sz w:val="18"/>
                <w:lang w:val="de-DE"/>
              </w:rPr>
              <w:t>1 289</w:t>
            </w:r>
          </w:p>
        </w:tc>
        <w:tc>
          <w:tcPr>
            <w:tcW w:w="984"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center"/>
              <w:rPr>
                <w:rFonts w:cs="Calibri"/>
                <w:i/>
                <w:iCs/>
                <w:sz w:val="18"/>
                <w:szCs w:val="18"/>
                <w:lang w:val="de-DE"/>
              </w:rPr>
            </w:pPr>
            <w:r w:rsidRPr="005759E4">
              <w:rPr>
                <w:rFonts w:cs="Calibri"/>
                <w:i/>
                <w:sz w:val="18"/>
                <w:lang w:val="de-DE"/>
              </w:rPr>
              <w:t>1 289</w:t>
            </w:r>
          </w:p>
        </w:tc>
        <w:tc>
          <w:tcPr>
            <w:tcW w:w="984"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center"/>
              <w:rPr>
                <w:rFonts w:cs="Calibri"/>
                <w:sz w:val="18"/>
                <w:szCs w:val="18"/>
                <w:lang w:val="de-DE"/>
              </w:rPr>
            </w:pPr>
            <w:r w:rsidRPr="005759E4">
              <w:rPr>
                <w:rFonts w:cs="Calibri"/>
                <w:sz w:val="18"/>
                <w:lang w:val="de-DE"/>
              </w:rPr>
              <w:t>1 289</w:t>
            </w:r>
          </w:p>
        </w:tc>
        <w:tc>
          <w:tcPr>
            <w:tcW w:w="984"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center"/>
              <w:rPr>
                <w:rFonts w:cs="Calibri"/>
                <w:sz w:val="18"/>
                <w:szCs w:val="18"/>
                <w:lang w:val="de-DE"/>
              </w:rPr>
            </w:pPr>
            <w:r w:rsidRPr="005759E4">
              <w:rPr>
                <w:rFonts w:cs="Calibri"/>
                <w:sz w:val="18"/>
                <w:lang w:val="de-DE"/>
              </w:rPr>
              <w:t>1 289</w:t>
            </w:r>
          </w:p>
        </w:tc>
        <w:tc>
          <w:tcPr>
            <w:tcW w:w="1082"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right"/>
              <w:rPr>
                <w:rFonts w:cs="Calibri"/>
                <w:color w:val="000000"/>
                <w:sz w:val="18"/>
                <w:szCs w:val="18"/>
                <w:lang w:val="de-DE"/>
              </w:rPr>
            </w:pPr>
            <w:r w:rsidRPr="005759E4">
              <w:rPr>
                <w:rFonts w:cs="Calibri"/>
                <w:color w:val="000000"/>
                <w:sz w:val="18"/>
                <w:lang w:val="de-DE"/>
              </w:rPr>
              <w:t>0,00 %</w:t>
            </w:r>
          </w:p>
        </w:tc>
        <w:tc>
          <w:tcPr>
            <w:tcW w:w="1115"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right"/>
              <w:rPr>
                <w:rFonts w:cs="Calibri"/>
                <w:color w:val="000000"/>
                <w:sz w:val="18"/>
                <w:szCs w:val="18"/>
                <w:lang w:val="de-DE"/>
              </w:rPr>
            </w:pPr>
            <w:r w:rsidRPr="005759E4">
              <w:rPr>
                <w:rFonts w:cs="Calibri"/>
                <w:color w:val="000000"/>
                <w:sz w:val="18"/>
                <w:lang w:val="de-DE"/>
              </w:rPr>
              <w:t>0,00 %</w:t>
            </w:r>
          </w:p>
        </w:tc>
        <w:tc>
          <w:tcPr>
            <w:tcW w:w="1000"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right"/>
              <w:rPr>
                <w:rFonts w:cs="Calibri"/>
                <w:color w:val="000000"/>
                <w:sz w:val="18"/>
                <w:szCs w:val="18"/>
                <w:lang w:val="de-DE"/>
              </w:rPr>
            </w:pPr>
            <w:r w:rsidRPr="005759E4">
              <w:rPr>
                <w:rFonts w:cs="Calibri"/>
                <w:color w:val="000000"/>
                <w:sz w:val="18"/>
                <w:lang w:val="de-DE"/>
              </w:rPr>
              <w:t>0,00 %</w:t>
            </w:r>
          </w:p>
        </w:tc>
      </w:tr>
      <w:tr w:rsidR="000B433A" w:rsidRPr="005759E4" w:rsidTr="008F6F57">
        <w:trPr>
          <w:trHeight w:val="329"/>
        </w:trPr>
        <w:tc>
          <w:tcPr>
            <w:tcW w:w="1837" w:type="dxa"/>
            <w:tcBorders>
              <w:top w:val="nil"/>
              <w:left w:val="single" w:sz="8" w:space="0" w:color="auto"/>
              <w:bottom w:val="single" w:sz="8" w:space="0" w:color="auto"/>
              <w:right w:val="single" w:sz="8" w:space="0" w:color="auto"/>
            </w:tcBorders>
            <w:noWrap/>
            <w:vAlign w:val="center"/>
          </w:tcPr>
          <w:p w:rsidR="000B433A" w:rsidRPr="005759E4" w:rsidRDefault="000B433A" w:rsidP="008F6F57">
            <w:pPr>
              <w:spacing w:after="0" w:line="240" w:lineRule="auto"/>
              <w:jc w:val="center"/>
              <w:rPr>
                <w:rFonts w:cs="Calibri"/>
                <w:color w:val="000000"/>
                <w:sz w:val="18"/>
                <w:szCs w:val="18"/>
                <w:lang w:val="de-DE"/>
              </w:rPr>
            </w:pPr>
            <w:r w:rsidRPr="005759E4">
              <w:rPr>
                <w:rFonts w:cs="Calibri"/>
                <w:color w:val="000000"/>
                <w:sz w:val="18"/>
                <w:lang w:val="de-DE"/>
              </w:rPr>
              <w:t>Transport</w:t>
            </w:r>
          </w:p>
        </w:tc>
        <w:tc>
          <w:tcPr>
            <w:tcW w:w="984"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center"/>
              <w:rPr>
                <w:rFonts w:cs="Calibri"/>
                <w:sz w:val="18"/>
                <w:szCs w:val="18"/>
                <w:lang w:val="de-DE"/>
              </w:rPr>
            </w:pPr>
            <w:r w:rsidRPr="005759E4">
              <w:rPr>
                <w:rFonts w:cs="Calibri"/>
                <w:sz w:val="18"/>
                <w:lang w:val="de-DE"/>
              </w:rPr>
              <w:t>36 305</w:t>
            </w:r>
          </w:p>
        </w:tc>
        <w:tc>
          <w:tcPr>
            <w:tcW w:w="984"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center"/>
              <w:rPr>
                <w:rFonts w:cs="Calibri"/>
                <w:i/>
                <w:iCs/>
                <w:sz w:val="18"/>
                <w:szCs w:val="18"/>
                <w:lang w:val="de-DE"/>
              </w:rPr>
            </w:pPr>
            <w:r w:rsidRPr="005759E4">
              <w:rPr>
                <w:rFonts w:cs="Calibri"/>
                <w:i/>
                <w:sz w:val="18"/>
                <w:lang w:val="de-DE"/>
              </w:rPr>
              <w:t>43 916</w:t>
            </w:r>
          </w:p>
        </w:tc>
        <w:tc>
          <w:tcPr>
            <w:tcW w:w="984"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center"/>
              <w:rPr>
                <w:rFonts w:cs="Calibri"/>
                <w:sz w:val="18"/>
                <w:szCs w:val="18"/>
                <w:lang w:val="de-DE"/>
              </w:rPr>
            </w:pPr>
            <w:r w:rsidRPr="005759E4">
              <w:rPr>
                <w:rFonts w:cs="Calibri"/>
                <w:sz w:val="18"/>
                <w:lang w:val="de-DE"/>
              </w:rPr>
              <w:t>35 265</w:t>
            </w:r>
          </w:p>
        </w:tc>
        <w:tc>
          <w:tcPr>
            <w:tcW w:w="984"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center"/>
              <w:rPr>
                <w:rFonts w:cs="Calibri"/>
                <w:sz w:val="18"/>
                <w:szCs w:val="18"/>
                <w:lang w:val="de-DE"/>
              </w:rPr>
            </w:pPr>
            <w:r w:rsidRPr="005759E4">
              <w:rPr>
                <w:rFonts w:cs="Calibri"/>
                <w:sz w:val="18"/>
                <w:lang w:val="de-DE"/>
              </w:rPr>
              <w:t>35 619</w:t>
            </w:r>
          </w:p>
        </w:tc>
        <w:tc>
          <w:tcPr>
            <w:tcW w:w="1082"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right"/>
              <w:rPr>
                <w:rFonts w:cs="Calibri"/>
                <w:color w:val="000000"/>
                <w:sz w:val="18"/>
                <w:szCs w:val="18"/>
                <w:lang w:val="de-DE"/>
              </w:rPr>
            </w:pPr>
            <w:r w:rsidRPr="005759E4">
              <w:rPr>
                <w:rFonts w:cs="Calibri"/>
                <w:color w:val="000000"/>
                <w:sz w:val="18"/>
                <w:lang w:val="de-DE"/>
              </w:rPr>
              <w:t>-18,89 %</w:t>
            </w:r>
          </w:p>
        </w:tc>
        <w:tc>
          <w:tcPr>
            <w:tcW w:w="1115"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right"/>
              <w:rPr>
                <w:rFonts w:cs="Calibri"/>
                <w:color w:val="000000"/>
                <w:sz w:val="18"/>
                <w:szCs w:val="18"/>
                <w:lang w:val="de-DE"/>
              </w:rPr>
            </w:pPr>
            <w:r w:rsidRPr="005759E4">
              <w:rPr>
                <w:rFonts w:cs="Calibri"/>
                <w:color w:val="000000"/>
                <w:sz w:val="18"/>
                <w:lang w:val="de-DE"/>
              </w:rPr>
              <w:t>-1,89 %</w:t>
            </w:r>
          </w:p>
        </w:tc>
        <w:tc>
          <w:tcPr>
            <w:tcW w:w="1000" w:type="dxa"/>
            <w:tcBorders>
              <w:top w:val="nil"/>
              <w:left w:val="nil"/>
              <w:bottom w:val="single" w:sz="8" w:space="0" w:color="auto"/>
              <w:right w:val="single" w:sz="8" w:space="0" w:color="auto"/>
            </w:tcBorders>
            <w:noWrap/>
            <w:vAlign w:val="center"/>
          </w:tcPr>
          <w:p w:rsidR="000B433A" w:rsidRPr="005759E4" w:rsidRDefault="000B433A" w:rsidP="008F6F57">
            <w:pPr>
              <w:spacing w:after="0" w:line="240" w:lineRule="auto"/>
              <w:jc w:val="right"/>
              <w:rPr>
                <w:rFonts w:cs="Calibri"/>
                <w:color w:val="000000"/>
                <w:sz w:val="18"/>
                <w:szCs w:val="18"/>
                <w:lang w:val="de-DE"/>
              </w:rPr>
            </w:pPr>
            <w:r w:rsidRPr="005759E4">
              <w:rPr>
                <w:rFonts w:cs="Calibri"/>
                <w:color w:val="000000"/>
                <w:sz w:val="18"/>
                <w:lang w:val="de-DE"/>
              </w:rPr>
              <w:t>1 %</w:t>
            </w:r>
          </w:p>
        </w:tc>
      </w:tr>
      <w:tr w:rsidR="000B433A" w:rsidRPr="005759E4" w:rsidTr="008F6F57">
        <w:trPr>
          <w:trHeight w:val="611"/>
        </w:trPr>
        <w:tc>
          <w:tcPr>
            <w:tcW w:w="1837" w:type="dxa"/>
            <w:tcBorders>
              <w:top w:val="nil"/>
              <w:left w:val="single" w:sz="8" w:space="0" w:color="auto"/>
              <w:bottom w:val="single" w:sz="8" w:space="0" w:color="auto"/>
              <w:right w:val="single" w:sz="8" w:space="0" w:color="auto"/>
            </w:tcBorders>
            <w:shd w:val="clear" w:color="000000" w:fill="F2DDDC"/>
            <w:vAlign w:val="center"/>
          </w:tcPr>
          <w:p w:rsidR="000B433A" w:rsidRPr="005759E4" w:rsidRDefault="000B433A" w:rsidP="008F6F57">
            <w:pPr>
              <w:spacing w:after="0" w:line="240" w:lineRule="auto"/>
              <w:rPr>
                <w:rFonts w:cs="Calibri"/>
                <w:b/>
                <w:bCs/>
                <w:color w:val="000000"/>
                <w:sz w:val="18"/>
                <w:szCs w:val="18"/>
                <w:lang w:val="de-DE"/>
              </w:rPr>
            </w:pPr>
            <w:r w:rsidRPr="005759E4">
              <w:rPr>
                <w:rFonts w:cs="Calibri"/>
                <w:b/>
                <w:color w:val="000000"/>
                <w:sz w:val="18"/>
                <w:lang w:val="de-DE"/>
              </w:rPr>
              <w:t>Gesamtendenergie</w:t>
            </w:r>
            <w:r>
              <w:rPr>
                <w:rFonts w:cs="Calibri"/>
                <w:b/>
                <w:color w:val="000000"/>
                <w:sz w:val="18"/>
                <w:lang w:val="de-DE"/>
              </w:rPr>
              <w:t>-</w:t>
            </w:r>
            <w:r w:rsidRPr="005759E4">
              <w:rPr>
                <w:rFonts w:cs="Calibri"/>
                <w:b/>
                <w:color w:val="000000"/>
                <w:sz w:val="18"/>
                <w:lang w:val="de-DE"/>
              </w:rPr>
              <w:t>verbrauch</w:t>
            </w:r>
          </w:p>
        </w:tc>
        <w:tc>
          <w:tcPr>
            <w:tcW w:w="984" w:type="dxa"/>
            <w:tcBorders>
              <w:top w:val="nil"/>
              <w:left w:val="nil"/>
              <w:bottom w:val="single" w:sz="8" w:space="0" w:color="auto"/>
              <w:right w:val="single" w:sz="8" w:space="0" w:color="auto"/>
            </w:tcBorders>
            <w:shd w:val="clear" w:color="000000" w:fill="F2DDDC"/>
            <w:noWrap/>
            <w:vAlign w:val="center"/>
          </w:tcPr>
          <w:p w:rsidR="000B433A" w:rsidRPr="005759E4" w:rsidRDefault="000B433A" w:rsidP="008F6F57">
            <w:pPr>
              <w:spacing w:after="0" w:line="240" w:lineRule="auto"/>
              <w:jc w:val="right"/>
              <w:rPr>
                <w:rFonts w:cs="Calibri"/>
                <w:b/>
                <w:bCs/>
                <w:sz w:val="18"/>
                <w:szCs w:val="18"/>
                <w:lang w:val="de-DE"/>
              </w:rPr>
            </w:pPr>
            <w:r w:rsidRPr="005759E4">
              <w:rPr>
                <w:rFonts w:cs="Calibri"/>
                <w:b/>
                <w:sz w:val="18"/>
                <w:lang w:val="de-DE"/>
              </w:rPr>
              <w:t>149 221</w:t>
            </w:r>
          </w:p>
        </w:tc>
        <w:tc>
          <w:tcPr>
            <w:tcW w:w="984" w:type="dxa"/>
            <w:tcBorders>
              <w:top w:val="nil"/>
              <w:left w:val="nil"/>
              <w:bottom w:val="single" w:sz="8" w:space="0" w:color="auto"/>
              <w:right w:val="single" w:sz="8" w:space="0" w:color="auto"/>
            </w:tcBorders>
            <w:shd w:val="clear" w:color="000000" w:fill="F2DDDC"/>
            <w:noWrap/>
            <w:vAlign w:val="center"/>
          </w:tcPr>
          <w:p w:rsidR="000B433A" w:rsidRPr="005759E4" w:rsidRDefault="000B433A" w:rsidP="008F6F57">
            <w:pPr>
              <w:spacing w:after="0" w:line="240" w:lineRule="auto"/>
              <w:jc w:val="right"/>
              <w:rPr>
                <w:rFonts w:cs="Calibri"/>
                <w:b/>
                <w:bCs/>
                <w:sz w:val="18"/>
                <w:szCs w:val="18"/>
                <w:lang w:val="de-DE"/>
              </w:rPr>
            </w:pPr>
            <w:r w:rsidRPr="005759E4">
              <w:rPr>
                <w:rFonts w:cs="Calibri"/>
                <w:b/>
                <w:sz w:val="18"/>
                <w:lang w:val="de-DE"/>
              </w:rPr>
              <w:t>130 398</w:t>
            </w:r>
          </w:p>
        </w:tc>
        <w:tc>
          <w:tcPr>
            <w:tcW w:w="984" w:type="dxa"/>
            <w:tcBorders>
              <w:top w:val="nil"/>
              <w:left w:val="nil"/>
              <w:bottom w:val="single" w:sz="8" w:space="0" w:color="auto"/>
              <w:right w:val="single" w:sz="8" w:space="0" w:color="auto"/>
            </w:tcBorders>
            <w:shd w:val="clear" w:color="000000" w:fill="F2DDDC"/>
            <w:noWrap/>
            <w:vAlign w:val="center"/>
          </w:tcPr>
          <w:p w:rsidR="000B433A" w:rsidRPr="005759E4" w:rsidRDefault="000B433A" w:rsidP="008F6F57">
            <w:pPr>
              <w:spacing w:after="0" w:line="240" w:lineRule="auto"/>
              <w:jc w:val="right"/>
              <w:rPr>
                <w:rFonts w:cs="Calibri"/>
                <w:b/>
                <w:bCs/>
                <w:sz w:val="18"/>
                <w:szCs w:val="18"/>
                <w:lang w:val="de-DE"/>
              </w:rPr>
            </w:pPr>
            <w:r w:rsidRPr="005759E4">
              <w:rPr>
                <w:rFonts w:cs="Calibri"/>
                <w:b/>
                <w:sz w:val="18"/>
                <w:lang w:val="de-DE"/>
              </w:rPr>
              <w:t>118 300</w:t>
            </w:r>
          </w:p>
        </w:tc>
        <w:tc>
          <w:tcPr>
            <w:tcW w:w="984" w:type="dxa"/>
            <w:tcBorders>
              <w:top w:val="nil"/>
              <w:left w:val="nil"/>
              <w:bottom w:val="single" w:sz="8" w:space="0" w:color="auto"/>
              <w:right w:val="single" w:sz="8" w:space="0" w:color="auto"/>
            </w:tcBorders>
            <w:shd w:val="clear" w:color="000000" w:fill="F2DDDC"/>
            <w:noWrap/>
            <w:vAlign w:val="center"/>
          </w:tcPr>
          <w:p w:rsidR="000B433A" w:rsidRPr="005759E4" w:rsidRDefault="000B433A" w:rsidP="008F6F57">
            <w:pPr>
              <w:spacing w:after="0" w:line="240" w:lineRule="auto"/>
              <w:jc w:val="right"/>
              <w:rPr>
                <w:rFonts w:cs="Calibri"/>
                <w:b/>
                <w:bCs/>
                <w:sz w:val="18"/>
                <w:szCs w:val="18"/>
                <w:lang w:val="de-DE"/>
              </w:rPr>
            </w:pPr>
            <w:r w:rsidRPr="005759E4">
              <w:rPr>
                <w:rFonts w:cs="Calibri"/>
                <w:b/>
                <w:sz w:val="18"/>
                <w:lang w:val="de-DE"/>
              </w:rPr>
              <w:t>115 467</w:t>
            </w:r>
          </w:p>
        </w:tc>
        <w:tc>
          <w:tcPr>
            <w:tcW w:w="1082" w:type="dxa"/>
            <w:tcBorders>
              <w:top w:val="nil"/>
              <w:left w:val="nil"/>
              <w:bottom w:val="single" w:sz="8" w:space="0" w:color="auto"/>
              <w:right w:val="single" w:sz="8" w:space="0" w:color="auto"/>
            </w:tcBorders>
            <w:shd w:val="clear" w:color="000000" w:fill="F2DDDC"/>
            <w:noWrap/>
            <w:vAlign w:val="center"/>
          </w:tcPr>
          <w:p w:rsidR="000B433A" w:rsidRPr="005759E4" w:rsidRDefault="000B433A" w:rsidP="008F6F57">
            <w:pPr>
              <w:spacing w:after="0" w:line="240" w:lineRule="auto"/>
              <w:jc w:val="right"/>
              <w:rPr>
                <w:rFonts w:cs="Calibri"/>
                <w:b/>
                <w:bCs/>
                <w:i/>
                <w:iCs/>
                <w:sz w:val="18"/>
                <w:szCs w:val="18"/>
                <w:lang w:val="de-DE"/>
              </w:rPr>
            </w:pPr>
            <w:r w:rsidRPr="005759E4">
              <w:rPr>
                <w:rFonts w:cs="Calibri"/>
                <w:b/>
                <w:i/>
                <w:sz w:val="18"/>
                <w:lang w:val="de-DE"/>
              </w:rPr>
              <w:t>-11,45 %</w:t>
            </w:r>
          </w:p>
        </w:tc>
        <w:tc>
          <w:tcPr>
            <w:tcW w:w="1115" w:type="dxa"/>
            <w:tcBorders>
              <w:top w:val="nil"/>
              <w:left w:val="nil"/>
              <w:bottom w:val="single" w:sz="8" w:space="0" w:color="auto"/>
              <w:right w:val="single" w:sz="8" w:space="0" w:color="auto"/>
            </w:tcBorders>
            <w:shd w:val="clear" w:color="000000" w:fill="F2DDDC"/>
            <w:noWrap/>
            <w:vAlign w:val="center"/>
          </w:tcPr>
          <w:p w:rsidR="000B433A" w:rsidRPr="005759E4" w:rsidRDefault="000B433A" w:rsidP="008F6F57">
            <w:pPr>
              <w:spacing w:after="0" w:line="240" w:lineRule="auto"/>
              <w:jc w:val="right"/>
              <w:rPr>
                <w:rFonts w:cs="Calibri"/>
                <w:b/>
                <w:bCs/>
                <w:i/>
                <w:iCs/>
                <w:sz w:val="18"/>
                <w:szCs w:val="18"/>
                <w:lang w:val="de-DE"/>
              </w:rPr>
            </w:pPr>
            <w:r w:rsidRPr="005759E4">
              <w:rPr>
                <w:rFonts w:cs="Calibri"/>
                <w:b/>
                <w:i/>
                <w:sz w:val="18"/>
                <w:lang w:val="de-DE"/>
              </w:rPr>
              <w:t>-22,62 %</w:t>
            </w:r>
          </w:p>
        </w:tc>
        <w:tc>
          <w:tcPr>
            <w:tcW w:w="1000" w:type="dxa"/>
            <w:tcBorders>
              <w:top w:val="nil"/>
              <w:left w:val="nil"/>
              <w:bottom w:val="single" w:sz="8" w:space="0" w:color="auto"/>
              <w:right w:val="single" w:sz="8" w:space="0" w:color="auto"/>
            </w:tcBorders>
            <w:shd w:val="clear" w:color="000000" w:fill="F2DDDC"/>
            <w:noWrap/>
            <w:vAlign w:val="center"/>
          </w:tcPr>
          <w:p w:rsidR="000B433A" w:rsidRPr="005759E4" w:rsidRDefault="000B433A" w:rsidP="008F6F57">
            <w:pPr>
              <w:spacing w:after="0" w:line="240" w:lineRule="auto"/>
              <w:jc w:val="right"/>
              <w:rPr>
                <w:rFonts w:cs="Calibri"/>
                <w:b/>
                <w:bCs/>
                <w:i/>
                <w:iCs/>
                <w:sz w:val="18"/>
                <w:szCs w:val="18"/>
                <w:lang w:val="de-DE"/>
              </w:rPr>
            </w:pPr>
            <w:r w:rsidRPr="005759E4">
              <w:rPr>
                <w:rFonts w:cs="Calibri"/>
                <w:b/>
                <w:i/>
                <w:sz w:val="18"/>
                <w:lang w:val="de-DE"/>
              </w:rPr>
              <w:t>-2,39 %</w:t>
            </w:r>
          </w:p>
        </w:tc>
      </w:tr>
    </w:tbl>
    <w:p w:rsidR="000B433A" w:rsidRPr="005F5D9D" w:rsidRDefault="000B433A" w:rsidP="008F6F57">
      <w:pPr>
        <w:pStyle w:val="Lgende"/>
        <w:rPr>
          <w:rFonts w:cs="Calibri"/>
          <w:lang w:val="de-DE"/>
        </w:rPr>
      </w:pPr>
      <w:r>
        <w:rPr>
          <w:rFonts w:cs="Calibri"/>
          <w:lang w:val="de-DE"/>
        </w:rPr>
        <w:t xml:space="preserve">Tabelle </w:t>
      </w:r>
      <w:r w:rsidR="005A6B21" w:rsidRPr="005F5D9D">
        <w:rPr>
          <w:rFonts w:cs="Calibri"/>
          <w:lang w:val="de-DE"/>
        </w:rPr>
        <w:fldChar w:fldCharType="begin"/>
      </w:r>
      <w:r w:rsidRPr="005F5D9D">
        <w:rPr>
          <w:rFonts w:cs="Calibri"/>
          <w:lang w:val="de-DE"/>
        </w:rPr>
        <w:instrText xml:space="preserve"> SEQ Tableau \* ARABIC </w:instrText>
      </w:r>
      <w:r w:rsidR="005A6B21" w:rsidRPr="005F5D9D">
        <w:rPr>
          <w:rFonts w:cs="Calibri"/>
          <w:lang w:val="de-DE"/>
        </w:rPr>
        <w:fldChar w:fldCharType="separate"/>
      </w:r>
      <w:r>
        <w:rPr>
          <w:rFonts w:cs="Calibri"/>
          <w:lang w:val="de-DE"/>
        </w:rPr>
        <w:t>9</w:t>
      </w:r>
      <w:r w:rsidR="005A6B21" w:rsidRPr="005F5D9D">
        <w:rPr>
          <w:rFonts w:cs="Calibri"/>
          <w:lang w:val="de-DE"/>
        </w:rPr>
        <w:fldChar w:fldCharType="end"/>
      </w:r>
      <w:r>
        <w:rPr>
          <w:rFonts w:cs="Calibri"/>
          <w:lang w:val="de-DE"/>
        </w:rPr>
        <w:t xml:space="preserve"> Endverbrauch WAM</w:t>
      </w:r>
    </w:p>
    <w:p w:rsidR="000B433A" w:rsidRPr="00C33976" w:rsidRDefault="000B433A" w:rsidP="008F6F57">
      <w:pPr>
        <w:rPr>
          <w:rFonts w:cs="Calibri"/>
          <w:szCs w:val="24"/>
          <w:lang w:val="de-DE"/>
        </w:rPr>
      </w:pPr>
      <w:r>
        <w:rPr>
          <w:rFonts w:cs="Calibri"/>
          <w:lang w:val="de-DE"/>
        </w:rPr>
        <w:t>Zwischen 2020 und 2030 haben Maßnahmen zur Gebäudesanierung, Verhaltensänderungen, die Energieeffizienz neuer Gebäude und der erhöhte Anteil erneuerbarer Wärme in Gebäuden erhebliche Auswirkungen auf den Wohn- und Dienstleistungssektor.</w:t>
      </w:r>
    </w:p>
    <w:p w:rsidR="000B433A" w:rsidRPr="00C33976" w:rsidRDefault="000B433A" w:rsidP="008F6F57">
      <w:pPr>
        <w:rPr>
          <w:rFonts w:cs="Calibri"/>
          <w:szCs w:val="24"/>
          <w:lang w:val="de-DE"/>
        </w:rPr>
      </w:pPr>
      <w:r>
        <w:rPr>
          <w:rFonts w:cs="Calibri"/>
          <w:lang w:val="de-DE"/>
        </w:rPr>
        <w:t>Im Transportsektor will die Wallonie mit der Umsetzung ihres FAST-Programms ehrgeizige Anstrengungen unternehmen. Die neue Struktur des Fuhrparks (Einsatz von Elektro- und Erdgasfahrzeugen, Reduzierung von Verbrennungsmotoren) hat ebenfalls Auswirkungen auf die Verteilung des Endverbrauchs.</w:t>
      </w:r>
    </w:p>
    <w:p w:rsidR="000B433A" w:rsidRPr="005F5D9D" w:rsidRDefault="000B433A" w:rsidP="008F6F57">
      <w:pPr>
        <w:rPr>
          <w:rFonts w:cs="Calibri"/>
          <w:sz w:val="22"/>
          <w:lang w:val="de-DE"/>
        </w:rPr>
      </w:pPr>
    </w:p>
    <w:p w:rsidR="000B433A" w:rsidRDefault="005A6B21" w:rsidP="008F6F57">
      <w:pPr>
        <w:pStyle w:val="Lgende"/>
        <w:keepNext/>
      </w:pPr>
      <w:r>
        <w:pict>
          <v:group id="_x0000_s1092" editas="canvas" style="width:434.5pt;height:283.2pt;mso-position-horizontal-relative:char;mso-position-vertical-relative:line" coordorigin=",-1345" coordsize="8690,5664">
            <o:lock v:ext="edit" aspectratio="t"/>
            <v:shape id="_x0000_s1093" type="#_x0000_t75" style="position:absolute;top:-1345;width:8690;height:5664" o:preferrelative="f">
              <v:fill o:detectmouseclick="t"/>
              <v:path o:extrusionok="t" o:connecttype="none"/>
              <o:lock v:ext="edit" text="t"/>
            </v:shape>
            <v:rect id="_x0000_s1094" style="position:absolute;left:8;top:-1337;width:8675;height:5075" stroked="f"/>
            <v:shape id="_x0000_s1095" style="position:absolute;left:856;top:-256;width:7594;height:2687" coordsize="7594,2687" path="m,2672r7594,l7594,2687,,2687r,-15xm,2282r7594,l7594,2297,,2297r,-15xm,1906r7594,l7594,1921,,1921r,-15xm,1531r7594,l7594,1546,,1546r,-15xm,1141r7594,l7594,1156,,1156r,-15xm,765r7594,l7594,780,,780,,765xm,390r7594,l7594,405,,405,,390xm,l7594,r,15l,15,,xe" fillcolor="#d9d9d9" strokecolor="#d9d9d9">
              <v:stroke joinstyle="bevel"/>
              <v:path arrowok="t"/>
              <o:lock v:ext="edit" verticies="t"/>
            </v:shape>
            <v:shape id="_x0000_s1096" style="position:absolute;left:1253;top:2086;width:6784;height:721" coordsize="6784,721" path="m,l1096,r,721l,721,,xm1906,120r1081,l2987,721r-1081,l1906,120xm3797,150r1096,l4893,721r-1096,l3797,150xm5704,210r1080,l6784,721r-1080,l5704,210xe" fillcolor="#5b9bd5" stroked="f">
              <v:path arrowok="t"/>
              <o:lock v:ext="edit" verticies="t"/>
            </v:shape>
            <v:shape id="_x0000_s1097" style="position:absolute;left:1253;top:1846;width:6784;height:450" coordsize="6784,450" path="m,l1096,r,240l,240,,xm1906,105r1081,l2987,360r-1081,l1906,105xm3797,120r1096,l4893,390r-1096,l3797,120xm5704,225r1080,l6784,450r-1080,l5704,225xe" fillcolor="#ed7d31" stroked="f">
              <v:path arrowok="t"/>
              <o:lock v:ext="edit" verticies="t"/>
            </v:shape>
            <v:shape id="_x0000_s1098" style="position:absolute;left:1253;top:675;width:6784;height:1396" coordsize="6784,1396" path="m,l1096,r,1171l,1171,,xm1906,540r1081,l2987,1276r-1081,l1906,540xm3797,510r1096,l4893,1291r-1096,l3797,510xm5704,630r1080,l6784,1396r-1080,l5704,630xe" fillcolor="#a5a5a5" stroked="f">
              <v:path arrowok="t"/>
              <o:lock v:ext="edit" verticies="t"/>
            </v:shape>
            <v:shape id="_x0000_s1099" style="position:absolute;left:1253;top:644;width:6784;height:661" coordsize="6784,661" path="m,l1096,r,31l,31,,xm1906,541r1081,l2987,571r-1081,l1906,541xm3797,511r1096,l4893,541r-1096,l3797,511xm5704,631r1080,l6784,661r-1080,l5704,631xe" fillcolor="#ffc000" stroked="f">
              <v:path arrowok="t"/>
              <o:lock v:ext="edit" verticies="t"/>
            </v:shape>
            <v:shape id="_x0000_s1100" style="position:absolute;left:1253;top:-46;width:6784;height:1321" coordsize="6784,1321" path="m,l1096,r,690l,690,,xm1906,570r1081,l2987,1231r-1081,l1906,570xm3797,360r1096,l4893,1201r-1096,l3797,360xm5704,645r1080,l6784,1321r-1080,l5704,645xe" fillcolor="#4472c4" stroked="f">
              <v:path arrowok="t"/>
              <o:lock v:ext="edit" verticies="t"/>
            </v:shape>
            <v:rect id="_x0000_s1101" style="position:absolute;left:856;top:2792;width:7594;height:15" fillcolor="#d9d9d9" strokecolor="#d9d9d9">
              <v:stroke joinstyle="bevel"/>
            </v:rect>
            <v:rect id="_x0000_s1102" style="position:absolute;left:594;top:2688;width:124;height:457;mso-wrap-style:none" filled="f" stroked="f">
              <v:textbox style="mso-fit-shape-to-text:t" inset="0,0,0,0">
                <w:txbxContent>
                  <w:p w:rsidR="000B433A" w:rsidRDefault="000B433A">
                    <w:r>
                      <w:rPr>
                        <w:rFonts w:cs="Calibri"/>
                        <w:i/>
                        <w:iCs/>
                        <w:color w:val="595959"/>
                        <w:lang w:val="en-US"/>
                      </w:rPr>
                      <w:t>0</w:t>
                    </w:r>
                  </w:p>
                </w:txbxContent>
              </v:textbox>
            </v:rect>
            <v:rect id="_x0000_s1103" style="position:absolute;left:232;top:2307;width:611;height:457;mso-wrap-style:none" filled="f" stroked="f">
              <v:textbox style="mso-fit-shape-to-text:t" inset="0,0,0,0">
                <w:txbxContent>
                  <w:p w:rsidR="000B433A" w:rsidRDefault="000B433A">
                    <w:r>
                      <w:rPr>
                        <w:rFonts w:cs="Calibri"/>
                        <w:i/>
                        <w:iCs/>
                        <w:color w:val="595959"/>
                        <w:lang w:val="en-US"/>
                      </w:rPr>
                      <w:t>20000</w:t>
                    </w:r>
                  </w:p>
                </w:txbxContent>
              </v:textbox>
            </v:rect>
            <v:rect id="_x0000_s1104" style="position:absolute;left:232;top:1926;width:611;height:457;mso-wrap-style:none" filled="f" stroked="f">
              <v:textbox style="mso-fit-shape-to-text:t" inset="0,0,0,0">
                <w:txbxContent>
                  <w:p w:rsidR="000B433A" w:rsidRDefault="000B433A">
                    <w:r>
                      <w:rPr>
                        <w:rFonts w:cs="Calibri"/>
                        <w:i/>
                        <w:iCs/>
                        <w:color w:val="595959"/>
                        <w:lang w:val="en-US"/>
                      </w:rPr>
                      <w:t>40000</w:t>
                    </w:r>
                  </w:p>
                </w:txbxContent>
              </v:textbox>
            </v:rect>
            <v:rect id="_x0000_s1105" style="position:absolute;left:232;top:1546;width:611;height:457;mso-wrap-style:none" filled="f" stroked="f">
              <v:textbox style="mso-fit-shape-to-text:t" inset="0,0,0,0">
                <w:txbxContent>
                  <w:p w:rsidR="000B433A" w:rsidRDefault="000B433A">
                    <w:r>
                      <w:rPr>
                        <w:rFonts w:cs="Calibri"/>
                        <w:i/>
                        <w:iCs/>
                        <w:color w:val="595959"/>
                        <w:lang w:val="en-US"/>
                      </w:rPr>
                      <w:t>60000</w:t>
                    </w:r>
                  </w:p>
                </w:txbxContent>
              </v:textbox>
            </v:rect>
            <v:rect id="_x0000_s1106" style="position:absolute;left:232;top:1165;width:611;height:457;mso-wrap-style:none" filled="f" stroked="f">
              <v:textbox style="mso-fit-shape-to-text:t" inset="0,0,0,0">
                <w:txbxContent>
                  <w:p w:rsidR="000B433A" w:rsidRDefault="000B433A">
                    <w:r>
                      <w:rPr>
                        <w:rFonts w:cs="Calibri"/>
                        <w:i/>
                        <w:iCs/>
                        <w:color w:val="595959"/>
                        <w:lang w:val="en-US"/>
                      </w:rPr>
                      <w:t>80000</w:t>
                    </w:r>
                  </w:p>
                </w:txbxContent>
              </v:textbox>
            </v:rect>
            <v:rect id="_x0000_s1107" style="position:absolute;left:141;top:784;width:733;height:457;mso-wrap-style:none" filled="f" stroked="f">
              <v:textbox style="mso-fit-shape-to-text:t" inset="0,0,0,0">
                <w:txbxContent>
                  <w:p w:rsidR="000B433A" w:rsidRDefault="000B433A">
                    <w:r>
                      <w:rPr>
                        <w:rFonts w:cs="Calibri"/>
                        <w:i/>
                        <w:iCs/>
                        <w:color w:val="595959"/>
                        <w:lang w:val="en-US"/>
                      </w:rPr>
                      <w:t>100000</w:t>
                    </w:r>
                  </w:p>
                </w:txbxContent>
              </v:textbox>
            </v:rect>
            <v:rect id="_x0000_s1108" style="position:absolute;left:141;top:404;width:733;height:457;mso-wrap-style:none" filled="f" stroked="f">
              <v:textbox style="mso-fit-shape-to-text:t" inset="0,0,0,0">
                <w:txbxContent>
                  <w:p w:rsidR="000B433A" w:rsidRDefault="000B433A">
                    <w:r>
                      <w:rPr>
                        <w:rFonts w:cs="Calibri"/>
                        <w:i/>
                        <w:iCs/>
                        <w:color w:val="595959"/>
                        <w:lang w:val="en-US"/>
                      </w:rPr>
                      <w:t>120000</w:t>
                    </w:r>
                  </w:p>
                </w:txbxContent>
              </v:textbox>
            </v:rect>
            <v:rect id="_x0000_s1109" style="position:absolute;left:141;top:23;width:733;height:457;mso-wrap-style:none" filled="f" stroked="f">
              <v:textbox style="mso-fit-shape-to-text:t" inset="0,0,0,0">
                <w:txbxContent>
                  <w:p w:rsidR="000B433A" w:rsidRDefault="000B433A">
                    <w:r>
                      <w:rPr>
                        <w:rFonts w:cs="Calibri"/>
                        <w:i/>
                        <w:iCs/>
                        <w:color w:val="595959"/>
                        <w:lang w:val="en-US"/>
                      </w:rPr>
                      <w:t>140000</w:t>
                    </w:r>
                  </w:p>
                </w:txbxContent>
              </v:textbox>
            </v:rect>
            <v:rect id="_x0000_s1110" style="position:absolute;left:141;top:-358;width:733;height:457;mso-wrap-style:none" filled="f" stroked="f">
              <v:textbox style="mso-fit-shape-to-text:t" inset="0,0,0,0">
                <w:txbxContent>
                  <w:p w:rsidR="000B433A" w:rsidRDefault="000B433A">
                    <w:r>
                      <w:rPr>
                        <w:rFonts w:cs="Calibri"/>
                        <w:i/>
                        <w:iCs/>
                        <w:color w:val="595959"/>
                        <w:lang w:val="en-US"/>
                      </w:rPr>
                      <w:t>160000</w:t>
                    </w:r>
                  </w:p>
                </w:txbxContent>
              </v:textbox>
            </v:rect>
            <v:rect id="_x0000_s1111" style="position:absolute;left:1626;top:2922;width:491;height:457;mso-wrap-style:none" filled="f" stroked="f">
              <v:textbox style="mso-fit-shape-to-text:t" inset="0,0,0,0">
                <w:txbxContent>
                  <w:p w:rsidR="000B433A" w:rsidRDefault="000B433A">
                    <w:r>
                      <w:rPr>
                        <w:rFonts w:cs="Calibri"/>
                        <w:i/>
                        <w:iCs/>
                        <w:color w:val="595959"/>
                        <w:lang w:val="en-US"/>
                      </w:rPr>
                      <w:t>2005</w:t>
                    </w:r>
                  </w:p>
                </w:txbxContent>
              </v:textbox>
            </v:rect>
            <v:rect id="_x0000_s1112" style="position:absolute;left:3524;top:2922;width:491;height:457;mso-wrap-style:none" filled="f" stroked="f">
              <v:textbox style="mso-fit-shape-to-text:t" inset="0,0,0,0">
                <w:txbxContent>
                  <w:p w:rsidR="000B433A" w:rsidRDefault="000B433A">
                    <w:r>
                      <w:rPr>
                        <w:rFonts w:cs="Calibri"/>
                        <w:i/>
                        <w:iCs/>
                        <w:color w:val="595959"/>
                        <w:lang w:val="en-US"/>
                      </w:rPr>
                      <w:t>2015</w:t>
                    </w:r>
                  </w:p>
                </w:txbxContent>
              </v:textbox>
            </v:rect>
            <v:rect id="_x0000_s1113" style="position:absolute;left:5153;top:2922;width:489;height:457;mso-wrap-style:none" filled="f" stroked="f">
              <v:textbox style="mso-fit-shape-to-text:t" inset="0,0,0,0">
                <w:txbxContent>
                  <w:p w:rsidR="000B433A" w:rsidRDefault="000B433A">
                    <w:r>
                      <w:rPr>
                        <w:rFonts w:cs="Calibri"/>
                        <w:i/>
                        <w:iCs/>
                        <w:color w:val="595959"/>
                        <w:lang w:val="en-US"/>
                      </w:rPr>
                      <w:t xml:space="preserve">2030 </w:t>
                    </w:r>
                  </w:p>
                </w:txbxContent>
              </v:textbox>
            </v:rect>
            <v:rect id="_x0000_s1114" style="position:absolute;left:5543;top:2922;width:74;height:457;mso-wrap-style:none" filled="f" stroked="f">
              <v:textbox style="mso-fit-shape-to-text:t" inset="0,0,0,0">
                <w:txbxContent>
                  <w:p w:rsidR="000B433A" w:rsidRDefault="000B433A">
                    <w:r>
                      <w:rPr>
                        <w:rFonts w:cs="Calibri"/>
                        <w:i/>
                        <w:iCs/>
                        <w:color w:val="595959"/>
                        <w:lang w:val="en-US"/>
                      </w:rPr>
                      <w:t>-</w:t>
                    </w:r>
                  </w:p>
                </w:txbxContent>
              </v:textbox>
            </v:rect>
            <v:rect id="_x0000_s1115" style="position:absolute;left:5633;top:2922;width:537;height:457;mso-wrap-style:none" filled="f" stroked="f">
              <v:textbox style="mso-fit-shape-to-text:t" inset="0,0,0,0">
                <w:txbxContent>
                  <w:p w:rsidR="000B433A" w:rsidRDefault="000B433A">
                    <w:r>
                      <w:rPr>
                        <w:rFonts w:cs="Calibri"/>
                        <w:i/>
                        <w:iCs/>
                        <w:color w:val="595959"/>
                        <w:lang w:val="en-US"/>
                      </w:rPr>
                      <w:t>WEM</w:t>
                    </w:r>
                  </w:p>
                </w:txbxContent>
              </v:textbox>
            </v:rect>
            <v:rect id="_x0000_s1116" style="position:absolute;left:7052;top:2922;width:489;height:457;mso-wrap-style:none" filled="f" stroked="f">
              <v:textbox style="mso-fit-shape-to-text:t" inset="0,0,0,0">
                <w:txbxContent>
                  <w:p w:rsidR="000B433A" w:rsidRDefault="000B433A">
                    <w:r>
                      <w:rPr>
                        <w:rFonts w:cs="Calibri"/>
                        <w:i/>
                        <w:iCs/>
                        <w:color w:val="595959"/>
                        <w:lang w:val="en-US"/>
                      </w:rPr>
                      <w:t xml:space="preserve">2030 </w:t>
                    </w:r>
                  </w:p>
                </w:txbxContent>
              </v:textbox>
            </v:rect>
            <v:rect id="_x0000_s1117" style="position:absolute;left:7442;top:2922;width:74;height:457;mso-wrap-style:none" filled="f" stroked="f">
              <v:textbox style="mso-fit-shape-to-text:t" inset="0,0,0,0">
                <w:txbxContent>
                  <w:p w:rsidR="000B433A" w:rsidRDefault="000B433A">
                    <w:r>
                      <w:rPr>
                        <w:rFonts w:cs="Calibri"/>
                        <w:i/>
                        <w:iCs/>
                        <w:color w:val="595959"/>
                        <w:lang w:val="en-US"/>
                      </w:rPr>
                      <w:t>-</w:t>
                    </w:r>
                  </w:p>
                </w:txbxContent>
              </v:textbox>
            </v:rect>
            <v:rect id="_x0000_s1118" style="position:absolute;left:7532;top:2922;width:559;height:457;mso-wrap-style:none" filled="f" stroked="f">
              <v:textbox style="mso-fit-shape-to-text:t" inset="0,0,0,0">
                <w:txbxContent>
                  <w:p w:rsidR="000B433A" w:rsidRDefault="000B433A">
                    <w:r>
                      <w:rPr>
                        <w:rFonts w:cs="Calibri"/>
                        <w:i/>
                        <w:iCs/>
                        <w:color w:val="595959"/>
                        <w:lang w:val="en-US"/>
                      </w:rPr>
                      <w:t>WAM</w:t>
                    </w:r>
                  </w:p>
                </w:txbxContent>
              </v:textbox>
            </v:rect>
            <v:rect id="_x0000_s1119" style="position:absolute;left:1377;top:-1172;width:4967;height:513;mso-wrap-style:none" filled="f" stroked="f">
              <v:textbox style="mso-fit-shape-to-text:t" inset="0,0,0,0">
                <w:txbxContent>
                  <w:p w:rsidR="000B433A" w:rsidRPr="007549E0" w:rsidRDefault="000B433A" w:rsidP="007549E0">
                    <w:pPr>
                      <w:rPr>
                        <w:rFonts w:cs="Calibri"/>
                        <w:color w:val="595959"/>
                        <w:sz w:val="28"/>
                        <w:szCs w:val="28"/>
                        <w:lang w:val="fr-FR"/>
                      </w:rPr>
                    </w:pPr>
                    <w:r w:rsidRPr="007549E0">
                      <w:rPr>
                        <w:rFonts w:cs="Calibri"/>
                        <w:i/>
                        <w:iCs/>
                        <w:color w:val="595959"/>
                        <w:sz w:val="28"/>
                        <w:szCs w:val="28"/>
                      </w:rPr>
                      <w:t>Gesamtendenergieverbrauch nach Sektoren</w:t>
                    </w:r>
                  </w:p>
                </w:txbxContent>
              </v:textbox>
            </v:rect>
            <v:rect id="_x0000_s1120" style="position:absolute;left:1824;top:3377;width:105;height:120" fillcolor="#5b9bd5" stroked="f"/>
            <v:rect id="_x0000_s1121" style="position:absolute;left:1965;top:3321;width:822;height:457;mso-wrap-style:none" filled="f" stroked="f">
              <v:textbox style="mso-fit-shape-to-text:t" inset="0,0,0,0">
                <w:txbxContent>
                  <w:p w:rsidR="000B433A" w:rsidRDefault="000B433A">
                    <w:r>
                      <w:rPr>
                        <w:rFonts w:cs="Calibri"/>
                        <w:i/>
                        <w:iCs/>
                        <w:color w:val="595959"/>
                        <w:lang w:val="en-US"/>
                      </w:rPr>
                      <w:t>Wohnen</w:t>
                    </w:r>
                  </w:p>
                </w:txbxContent>
              </v:textbox>
            </v:rect>
            <v:rect id="_x0000_s1122" style="position:absolute;left:2979;top:3377;width:105;height:120" fillcolor="#ed7d31" stroked="f"/>
            <v:rect id="_x0000_s1123" style="position:absolute;left:3126;top:3321;width:731;height:457;mso-wrap-style:none" filled="f" stroked="f">
              <v:textbox style="mso-fit-shape-to-text:t" inset="0,0,0,0">
                <w:txbxContent>
                  <w:p w:rsidR="000B433A" w:rsidRDefault="000B433A">
                    <w:proofErr w:type="gramStart"/>
                    <w:r>
                      <w:rPr>
                        <w:rFonts w:cs="Calibri"/>
                        <w:i/>
                        <w:iCs/>
                        <w:color w:val="595959"/>
                        <w:lang w:val="en-US"/>
                      </w:rPr>
                      <w:t>Dienstl.</w:t>
                    </w:r>
                    <w:proofErr w:type="gramEnd"/>
                  </w:p>
                </w:txbxContent>
              </v:textbox>
            </v:rect>
            <v:rect id="_x0000_s1124" style="position:absolute;left:3910;top:3377;width:105;height:120" fillcolor="#a5a5a5" stroked="f"/>
            <v:rect id="_x0000_s1125" style="position:absolute;left:4056;top:3321;width:857;height:457;mso-wrap-style:none" filled="f" stroked="f">
              <v:textbox style="mso-fit-shape-to-text:t" inset="0,0,0,0">
                <w:txbxContent>
                  <w:p w:rsidR="000B433A" w:rsidRDefault="000B433A">
                    <w:r>
                      <w:rPr>
                        <w:rFonts w:cs="Calibri"/>
                        <w:i/>
                        <w:iCs/>
                        <w:color w:val="595959"/>
                        <w:lang w:val="en-US"/>
                      </w:rPr>
                      <w:t>Industrie</w:t>
                    </w:r>
                  </w:p>
                </w:txbxContent>
              </v:textbox>
            </v:rect>
            <v:rect id="_x0000_s1126" style="position:absolute;left:4915;top:3377;width:105;height:120" fillcolor="#ffc000" stroked="f"/>
            <v:rect id="_x0000_s1127" style="position:absolute;left:5060;top:3321;width:1238;height:457;mso-wrap-style:none" filled="f" stroked="f">
              <v:textbox style="mso-fit-shape-to-text:t" inset="0,0,0,0">
                <w:txbxContent>
                  <w:p w:rsidR="000B433A" w:rsidRDefault="000B433A">
                    <w:proofErr w:type="gramStart"/>
                    <w:r>
                      <w:rPr>
                        <w:rFonts w:cs="Calibri"/>
                        <w:i/>
                        <w:iCs/>
                        <w:color w:val="595959"/>
                        <w:lang w:val="en-US"/>
                      </w:rPr>
                      <w:t>Landwirtsch.</w:t>
                    </w:r>
                    <w:proofErr w:type="gramEnd"/>
                  </w:p>
                </w:txbxContent>
              </v:textbox>
            </v:rect>
            <v:rect id="_x0000_s1128" style="position:absolute;left:6071;top:3377;width:120;height:120" fillcolor="#4472c4" stroked="f"/>
            <v:rect id="_x0000_s1129" style="position:absolute;left:6223;top:3321;width:949;height:457;mso-wrap-style:none" filled="f" stroked="f">
              <v:textbox style="mso-fit-shape-to-text:t" inset="0,0,0,0">
                <w:txbxContent>
                  <w:p w:rsidR="000B433A" w:rsidRDefault="000B433A">
                    <w:r>
                      <w:rPr>
                        <w:rFonts w:cs="Calibri"/>
                        <w:i/>
                        <w:iCs/>
                        <w:color w:val="595959"/>
                        <w:lang w:val="en-US"/>
                      </w:rPr>
                      <w:t>Transport</w:t>
                    </w:r>
                  </w:p>
                </w:txbxContent>
              </v:textbox>
            </v:rect>
            <v:shape id="_x0000_s1130" style="position:absolute;left:8;top:-1337;width:8675;height:5075" coordsize="9248,5408" path="m,8hdc,4,4,,8,hal9240,hdc9245,,9248,4,9248,8hal9248,5400hdc9248,5405,9245,5408,9240,5408hal8,5408hdc4,5408,,5405,,5400hal,8hdxm16,5400hal8,5392r9232,l9232,5400,9232,8r8,8l8,16,16,8r,5392hdxe" fillcolor="#d9d9d9" strokecolor="#d9d9d9" strokeweight=".05pt">
              <v:path arrowok="t"/>
              <o:lock v:ext="edit" verticies="t"/>
            </v:shape>
            <w10:wrap type="none"/>
            <w10:anchorlock/>
          </v:group>
        </w:pict>
      </w:r>
    </w:p>
    <w:p w:rsidR="000B433A" w:rsidRPr="00D07F58" w:rsidRDefault="000B433A" w:rsidP="008F6F57">
      <w:pPr>
        <w:pStyle w:val="Lgende"/>
        <w:rPr>
          <w:lang w:val="de-DE"/>
        </w:rPr>
      </w:pPr>
      <w:r>
        <w:rPr>
          <w:lang w:val="de-DE"/>
        </w:rPr>
        <w:t xml:space="preserve">Abbildung </w:t>
      </w:r>
      <w:r w:rsidR="005A6B21">
        <w:rPr>
          <w:lang w:val="de-DE"/>
        </w:rPr>
        <w:fldChar w:fldCharType="begin"/>
      </w:r>
      <w:r>
        <w:rPr>
          <w:lang w:val="de-DE"/>
        </w:rPr>
        <w:instrText xml:space="preserve"> SEQ Figure \* ARABIC </w:instrText>
      </w:r>
      <w:r w:rsidR="005A6B21">
        <w:rPr>
          <w:lang w:val="de-DE"/>
        </w:rPr>
        <w:fldChar w:fldCharType="separate"/>
      </w:r>
      <w:r>
        <w:rPr>
          <w:lang w:val="de-DE"/>
        </w:rPr>
        <w:t>10</w:t>
      </w:r>
      <w:r w:rsidR="005A6B21">
        <w:rPr>
          <w:lang w:val="de-DE"/>
        </w:rPr>
        <w:fldChar w:fldCharType="end"/>
      </w:r>
      <w:r>
        <w:rPr>
          <w:lang w:val="de-DE"/>
        </w:rPr>
        <w:t>: Entwicklung des Endverbrauchs nach Sektor</w:t>
      </w:r>
    </w:p>
    <w:p w:rsidR="000B433A" w:rsidRDefault="000B433A" w:rsidP="008F6F57">
      <w:pPr>
        <w:keepNext/>
      </w:pPr>
      <w:r w:rsidRPr="00326C9C">
        <w:rPr>
          <w:rFonts w:cs="Calibri"/>
          <w:color w:val="595959"/>
          <w:sz w:val="18"/>
          <w:szCs w:val="18"/>
          <w:lang w:val="de-DE"/>
        </w:rPr>
        <w:t xml:space="preserve"> </w:t>
      </w:r>
      <w:r w:rsidR="005A6B21" w:rsidRPr="005A6B21">
        <w:pict>
          <v:group id="_x0000_s1132" editas="canvas" style="width:437.5pt;height:265.7pt;mso-position-horizontal-relative:char;mso-position-vertical-relative:line" coordorigin=",-1345" coordsize="8750,5314">
            <o:lock v:ext="edit" aspectratio="t"/>
            <v:shape id="_x0000_s1133" type="#_x0000_t75" style="position:absolute;top:-1345;width:8750;height:5314" o:preferrelative="f">
              <v:fill o:detectmouseclick="t"/>
              <v:path o:extrusionok="t" o:connecttype="none"/>
              <o:lock v:ext="edit" text="t"/>
            </v:shape>
            <v:rect id="_x0000_s1134" style="position:absolute;left:8;top:-1338;width:8735;height:4725" stroked="f"/>
            <v:shape id="_x0000_s1135" style="position:absolute;left:840;top:-603;width:7670;height:2685" coordsize="7670,2685" path="m,2670r7670,l7670,2685,,2685r,-15xm,2280r7670,l7670,2295,,2295r,-15xm,1905r7670,l7670,1920,,1920r,-15xm,1530r7670,l7670,1545,,1545r,-15xm,1140r7670,l7670,1155,,1155r,-15xm,765r7670,l7670,780,,780,,765xm,375r7670,l7670,390,,390,,375xm,l7670,r,15l,15,,xe" fillcolor="#d9d9d9" strokecolor="#d9d9d9">
              <v:stroke joinstyle="bevel"/>
              <v:path arrowok="t"/>
              <o:lock v:ext="edit" verticies="t"/>
            </v:shape>
            <v:shape id="_x0000_s1136" style="position:absolute;left:1253;top:2112;width:6844;height:345" coordsize="6844,345" path="m,l1096,r,345l,345,,xm1921,240r1096,l3017,345r-1096,l1921,240xm3828,255r1095,l4923,345r-1095,l3828,255xm5749,255r1095,l6844,345r-1095,l5749,255xe" fillcolor="#5b9bd5" stroked="f">
              <v:path arrowok="t"/>
              <o:lock v:ext="edit" verticies="t"/>
            </v:shape>
            <v:shape id="_x0000_s1137" style="position:absolute;left:1253;top:837;width:6844;height:1530" coordsize="6844,1530" path="m,l1096,r,1275l,1275,,xm1921,540r1096,l3017,1515r-1096,l1921,540xm3828,435r1095,l4923,1530r-1095,l3828,435xm5749,840r1095,l6844,1530r-1095,l5749,840xe" fillcolor="#ed7d31" stroked="f">
              <v:path arrowok="t"/>
              <o:lock v:ext="edit" verticies="t"/>
            </v:shape>
            <v:shape id="_x0000_s1138" style="position:absolute;left:1253;top:237;width:6844;height:1440" coordsize="6844,1440" path="m,l1096,r,600l,600,,xm1921,630r1096,l3017,1140r-1096,l1921,630xm3828,510r1095,l4923,1035r-1095,l3828,510xm5749,900r1095,l6844,1440r-1095,l5749,900xe" fillcolor="#a5a5a5" stroked="f">
              <v:path arrowok="t"/>
              <o:lock v:ext="edit" verticies="t"/>
            </v:shape>
            <v:shape id="_x0000_s1139" style="position:absolute;left:1253;top:-213;width:6844;height:1350" coordsize="6844,1350" path="m,l1096,r,450l,450,,xm1921,645r1096,l3017,1080r-1096,l1921,645xm3828,495r1095,l4923,960r-1095,l3828,495xm5749,885r1095,l6844,1350r-1095,l5749,885xe" fillcolor="#ffc000" stroked="f">
              <v:path arrowok="t"/>
              <o:lock v:ext="edit" verticies="t"/>
            </v:shape>
            <v:shape id="_x0000_s1140" style="position:absolute;left:1253;top:-303;width:6844;height:975" coordsize="6844,975" path="m,l1096,r,90l,90,,xm1921,615r1096,l3017,735r-1096,l1921,615xm3828,450r1095,l4923,585r-1095,l3828,450xm5749,825r1095,l6844,975r-1095,l5749,825xe" fillcolor="#4472c4" stroked="f">
              <v:path arrowok="t"/>
              <o:lock v:ext="edit" verticies="t"/>
            </v:shape>
            <v:shape id="_x0000_s1141" style="position:absolute;left:1253;top:-333;width:6844;height:855" coordsize="6844,855" path="m,l1096,r,30l,30,,xm1921,525r1096,l3017,645r-1096,l1921,525xm3828,330r1095,l4923,480r-1095,l3828,330xm5749,615r1095,l6844,855r-1095,l5749,615xe" fillcolor="#70ad47" stroked="f">
              <v:path arrowok="t"/>
              <o:lock v:ext="edit" verticies="t"/>
            </v:shape>
            <v:shape id="_x0000_s1142" style="position:absolute;left:1253;top:-393;width:6844;height:675" coordsize="6844,675" path="m,l1096,r,60l,60,,xm1921,570r1096,l3017,585r-1096,l1921,570xm3828,360r1095,l4923,390r-1095,l3828,360xm5749,645r1095,l6844,675r-1095,l5749,645xe" fillcolor="#255e91" stroked="f">
              <v:path arrowok="t"/>
              <o:lock v:ext="edit" verticies="t"/>
            </v:shape>
            <v:rect id="_x0000_s1143" style="position:absolute;left:840;top:2442;width:7670;height:15" fillcolor="#d9d9d9" strokecolor="#d9d9d9">
              <v:stroke joinstyle="bevel"/>
            </v:rect>
            <v:rect id="_x0000_s1144" style="position:absolute;left:587;top:2339;width:92;height:373;mso-wrap-style:none" filled="f" stroked="f">
              <v:textbox style="mso-fit-shape-to-text:t" inset="0,0,0,0">
                <w:txbxContent>
                  <w:p w:rsidR="000B433A" w:rsidRDefault="000B433A">
                    <w:r>
                      <w:rPr>
                        <w:rFonts w:cs="Calibri"/>
                        <w:color w:val="595959"/>
                        <w:sz w:val="18"/>
                        <w:szCs w:val="18"/>
                        <w:lang w:val="en-US"/>
                      </w:rPr>
                      <w:t>0</w:t>
                    </w:r>
                  </w:p>
                </w:txbxContent>
              </v:textbox>
            </v:rect>
            <v:rect id="_x0000_s1145" style="position:absolute;left:224;top:1958;width:457;height:373;mso-wrap-style:none" filled="f" stroked="f">
              <v:textbox style="mso-fit-shape-to-text:t" inset="0,0,0,0">
                <w:txbxContent>
                  <w:p w:rsidR="000B433A" w:rsidRDefault="000B433A">
                    <w:r>
                      <w:rPr>
                        <w:rFonts w:cs="Calibri"/>
                        <w:color w:val="595959"/>
                        <w:sz w:val="18"/>
                        <w:szCs w:val="18"/>
                        <w:lang w:val="en-US"/>
                      </w:rPr>
                      <w:t>20000</w:t>
                    </w:r>
                  </w:p>
                </w:txbxContent>
              </v:textbox>
            </v:rect>
            <v:rect id="_x0000_s1146" style="position:absolute;left:224;top:1577;width:457;height:373;mso-wrap-style:none" filled="f" stroked="f">
              <v:textbox style="mso-fit-shape-to-text:t" inset="0,0,0,0">
                <w:txbxContent>
                  <w:p w:rsidR="000B433A" w:rsidRDefault="000B433A">
                    <w:r>
                      <w:rPr>
                        <w:rFonts w:cs="Calibri"/>
                        <w:color w:val="595959"/>
                        <w:sz w:val="18"/>
                        <w:szCs w:val="18"/>
                        <w:lang w:val="en-US"/>
                      </w:rPr>
                      <w:t>40000</w:t>
                    </w:r>
                  </w:p>
                </w:txbxContent>
              </v:textbox>
            </v:rect>
            <v:rect id="_x0000_s1147" style="position:absolute;left:224;top:1196;width:457;height:373;mso-wrap-style:none" filled="f" stroked="f">
              <v:textbox style="mso-fit-shape-to-text:t" inset="0,0,0,0">
                <w:txbxContent>
                  <w:p w:rsidR="000B433A" w:rsidRDefault="000B433A">
                    <w:r>
                      <w:rPr>
                        <w:rFonts w:cs="Calibri"/>
                        <w:color w:val="595959"/>
                        <w:sz w:val="18"/>
                        <w:szCs w:val="18"/>
                        <w:lang w:val="en-US"/>
                      </w:rPr>
                      <w:t>60000</w:t>
                    </w:r>
                  </w:p>
                </w:txbxContent>
              </v:textbox>
            </v:rect>
            <v:rect id="_x0000_s1148" style="position:absolute;left:224;top:815;width:457;height:373;mso-wrap-style:none" filled="f" stroked="f">
              <v:textbox style="mso-fit-shape-to-text:t" inset="0,0,0,0">
                <w:txbxContent>
                  <w:p w:rsidR="000B433A" w:rsidRDefault="000B433A">
                    <w:r>
                      <w:rPr>
                        <w:rFonts w:cs="Calibri"/>
                        <w:color w:val="595959"/>
                        <w:sz w:val="18"/>
                        <w:szCs w:val="18"/>
                        <w:lang w:val="en-US"/>
                      </w:rPr>
                      <w:t>80000</w:t>
                    </w:r>
                  </w:p>
                </w:txbxContent>
              </v:textbox>
            </v:rect>
            <v:rect id="_x0000_s1149" style="position:absolute;left:134;top:435;width:548;height:373;mso-wrap-style:none" filled="f" stroked="f">
              <v:textbox style="mso-fit-shape-to-text:t" inset="0,0,0,0">
                <w:txbxContent>
                  <w:p w:rsidR="000B433A" w:rsidRDefault="000B433A">
                    <w:r>
                      <w:rPr>
                        <w:rFonts w:cs="Calibri"/>
                        <w:color w:val="595959"/>
                        <w:sz w:val="18"/>
                        <w:szCs w:val="18"/>
                        <w:lang w:val="en-US"/>
                      </w:rPr>
                      <w:t>100000</w:t>
                    </w:r>
                  </w:p>
                </w:txbxContent>
              </v:textbox>
            </v:rect>
            <v:rect id="_x0000_s1150" style="position:absolute;left:134;top:54;width:548;height:373;mso-wrap-style:none" filled="f" stroked="f">
              <v:textbox style="mso-fit-shape-to-text:t" inset="0,0,0,0">
                <w:txbxContent>
                  <w:p w:rsidR="000B433A" w:rsidRDefault="000B433A">
                    <w:r>
                      <w:rPr>
                        <w:rFonts w:cs="Calibri"/>
                        <w:color w:val="595959"/>
                        <w:sz w:val="18"/>
                        <w:szCs w:val="18"/>
                        <w:lang w:val="en-US"/>
                      </w:rPr>
                      <w:t>120000</w:t>
                    </w:r>
                  </w:p>
                </w:txbxContent>
              </v:textbox>
            </v:rect>
            <v:rect id="_x0000_s1151" style="position:absolute;left:134;top:-327;width:548;height:373;mso-wrap-style:none" filled="f" stroked="f">
              <v:textbox style="mso-fit-shape-to-text:t" inset="0,0,0,0">
                <w:txbxContent>
                  <w:p w:rsidR="000B433A" w:rsidRDefault="000B433A">
                    <w:r>
                      <w:rPr>
                        <w:rFonts w:cs="Calibri"/>
                        <w:color w:val="595959"/>
                        <w:sz w:val="18"/>
                        <w:szCs w:val="18"/>
                        <w:lang w:val="en-US"/>
                      </w:rPr>
                      <w:t>140000</w:t>
                    </w:r>
                  </w:p>
                </w:txbxContent>
              </v:textbox>
            </v:rect>
            <v:rect id="_x0000_s1152" style="position:absolute;left:134;top:-708;width:548;height:373;mso-wrap-style:none" filled="f" stroked="f">
              <v:textbox style="mso-fit-shape-to-text:t" inset="0,0,0,0">
                <w:txbxContent>
                  <w:p w:rsidR="000B433A" w:rsidRDefault="000B433A">
                    <w:r>
                      <w:rPr>
                        <w:rFonts w:cs="Calibri"/>
                        <w:color w:val="595959"/>
                        <w:sz w:val="18"/>
                        <w:szCs w:val="18"/>
                        <w:lang w:val="en-US"/>
                      </w:rPr>
                      <w:t>160000</w:t>
                    </w:r>
                  </w:p>
                </w:txbxContent>
              </v:textbox>
            </v:rect>
            <v:rect id="_x0000_s1153" style="position:absolute;left:1636;top:2573;width:365;height:373;mso-wrap-style:none" filled="f" stroked="f">
              <v:textbox style="mso-fit-shape-to-text:t" inset="0,0,0,0">
                <w:txbxContent>
                  <w:p w:rsidR="000B433A" w:rsidRDefault="000B433A">
                    <w:r>
                      <w:rPr>
                        <w:rFonts w:cs="Calibri"/>
                        <w:color w:val="595959"/>
                        <w:sz w:val="18"/>
                        <w:szCs w:val="18"/>
                        <w:lang w:val="en-US"/>
                      </w:rPr>
                      <w:t>2005</w:t>
                    </w:r>
                  </w:p>
                </w:txbxContent>
              </v:textbox>
            </v:rect>
            <v:rect id="_x0000_s1154" style="position:absolute;left:3551;top:2573;width:365;height:373;mso-wrap-style:none" filled="f" stroked="f">
              <v:textbox style="mso-fit-shape-to-text:t" inset="0,0,0,0">
                <w:txbxContent>
                  <w:p w:rsidR="000B433A" w:rsidRDefault="000B433A">
                    <w:r>
                      <w:rPr>
                        <w:rFonts w:cs="Calibri"/>
                        <w:color w:val="595959"/>
                        <w:sz w:val="18"/>
                        <w:szCs w:val="18"/>
                        <w:lang w:val="en-US"/>
                      </w:rPr>
                      <w:t>2015</w:t>
                    </w:r>
                  </w:p>
                </w:txbxContent>
              </v:textbox>
            </v:rect>
            <v:rect id="_x0000_s1155" style="position:absolute;left:5196;top:2573;width:365;height:373;mso-wrap-style:none" filled="f" stroked="f">
              <v:textbox style="mso-fit-shape-to-text:t" inset="0,0,0,0">
                <w:txbxContent>
                  <w:p w:rsidR="000B433A" w:rsidRDefault="000B433A">
                    <w:r>
                      <w:rPr>
                        <w:rFonts w:cs="Calibri"/>
                        <w:color w:val="595959"/>
                        <w:sz w:val="18"/>
                        <w:szCs w:val="18"/>
                        <w:lang w:val="en-US"/>
                      </w:rPr>
                      <w:t xml:space="preserve">2030 </w:t>
                    </w:r>
                  </w:p>
                </w:txbxContent>
              </v:textbox>
            </v:rect>
            <v:rect id="_x0000_s1156" style="position:absolute;left:5586;top:2573;width:56;height:373;mso-wrap-style:none" filled="f" stroked="f">
              <v:textbox style="mso-fit-shape-to-text:t" inset="0,0,0,0">
                <w:txbxContent>
                  <w:p w:rsidR="000B433A" w:rsidRDefault="000B433A">
                    <w:r>
                      <w:rPr>
                        <w:rFonts w:cs="Calibri"/>
                        <w:color w:val="595959"/>
                        <w:sz w:val="18"/>
                        <w:szCs w:val="18"/>
                        <w:lang w:val="en-US"/>
                      </w:rPr>
                      <w:t>-</w:t>
                    </w:r>
                  </w:p>
                </w:txbxContent>
              </v:textbox>
            </v:rect>
            <v:rect id="_x0000_s1157" style="position:absolute;left:5676;top:2573;width:402;height:373;mso-wrap-style:none" filled="f" stroked="f">
              <v:textbox style="mso-fit-shape-to-text:t" inset="0,0,0,0">
                <w:txbxContent>
                  <w:p w:rsidR="000B433A" w:rsidRDefault="000B433A">
                    <w:r>
                      <w:rPr>
                        <w:rFonts w:cs="Calibri"/>
                        <w:color w:val="595959"/>
                        <w:sz w:val="18"/>
                        <w:szCs w:val="18"/>
                        <w:lang w:val="en-US"/>
                      </w:rPr>
                      <w:t>WEM</w:t>
                    </w:r>
                  </w:p>
                </w:txbxContent>
              </v:textbox>
            </v:rect>
            <v:rect id="_x0000_s1158" style="position:absolute;left:7111;top:2573;width:365;height:373;mso-wrap-style:none" filled="f" stroked="f">
              <v:textbox style="mso-fit-shape-to-text:t" inset="0,0,0,0">
                <w:txbxContent>
                  <w:p w:rsidR="000B433A" w:rsidRDefault="000B433A">
                    <w:r>
                      <w:rPr>
                        <w:rFonts w:cs="Calibri"/>
                        <w:color w:val="595959"/>
                        <w:sz w:val="18"/>
                        <w:szCs w:val="18"/>
                        <w:lang w:val="en-US"/>
                      </w:rPr>
                      <w:t xml:space="preserve">2030 </w:t>
                    </w:r>
                  </w:p>
                </w:txbxContent>
              </v:textbox>
            </v:rect>
            <v:rect id="_x0000_s1159" style="position:absolute;left:7501;top:2573;width:56;height:373;mso-wrap-style:none" filled="f" stroked="f">
              <v:textbox style="mso-fit-shape-to-text:t" inset="0,0,0,0">
                <w:txbxContent>
                  <w:p w:rsidR="000B433A" w:rsidRDefault="000B433A">
                    <w:r>
                      <w:rPr>
                        <w:rFonts w:cs="Calibri"/>
                        <w:color w:val="595959"/>
                        <w:sz w:val="18"/>
                        <w:szCs w:val="18"/>
                        <w:lang w:val="en-US"/>
                      </w:rPr>
                      <w:t>-</w:t>
                    </w:r>
                  </w:p>
                </w:txbxContent>
              </v:textbox>
            </v:rect>
            <v:rect id="_x0000_s1160" style="position:absolute;left:7591;top:2573;width:419;height:373;mso-wrap-style:none" filled="f" stroked="f">
              <v:textbox style="mso-fit-shape-to-text:t" inset="0,0,0,0">
                <w:txbxContent>
                  <w:p w:rsidR="000B433A" w:rsidRDefault="000B433A">
                    <w:r>
                      <w:rPr>
                        <w:rFonts w:cs="Calibri"/>
                        <w:color w:val="595959"/>
                        <w:sz w:val="18"/>
                        <w:szCs w:val="18"/>
                        <w:lang w:val="en-US"/>
                      </w:rPr>
                      <w:t>WAM</w:t>
                    </w:r>
                  </w:p>
                </w:txbxContent>
              </v:textbox>
            </v:rect>
            <v:rect id="_x0000_s1161" style="position:absolute;left:918;top:-1113;width:5548;height:970;mso-wrap-style:none" filled="f" stroked="f">
              <v:textbox style="mso-fit-shape-to-text:t" inset="0,0,0,0">
                <w:txbxContent>
                  <w:p w:rsidR="000B433A" w:rsidRPr="007549E0" w:rsidRDefault="000B433A" w:rsidP="00960DAF">
                    <w:pPr>
                      <w:rPr>
                        <w:rFonts w:cs="Calibri"/>
                        <w:color w:val="595959"/>
                        <w:sz w:val="28"/>
                        <w:szCs w:val="28"/>
                        <w:lang w:val="fr-FR"/>
                      </w:rPr>
                    </w:pPr>
                    <w:r w:rsidRPr="007549E0">
                      <w:rPr>
                        <w:rFonts w:cs="Calibri"/>
                        <w:color w:val="595959"/>
                        <w:sz w:val="28"/>
                        <w:szCs w:val="28"/>
                        <w:lang w:val="fr-FR"/>
                      </w:rPr>
                      <w:t xml:space="preserve">Gesamtendenergieverbrauch nach </w:t>
                    </w:r>
                    <w:r>
                      <w:rPr>
                        <w:rFonts w:cs="Calibri"/>
                        <w:color w:val="595959"/>
                        <w:sz w:val="28"/>
                        <w:szCs w:val="28"/>
                        <w:lang w:val="fr-FR"/>
                      </w:rPr>
                      <w:t>Energieträger</w:t>
                    </w:r>
                  </w:p>
                  <w:p w:rsidR="000B433A" w:rsidRPr="00960DAF" w:rsidRDefault="000B433A" w:rsidP="00960DAF"/>
                </w:txbxContent>
              </v:textbox>
            </v:rect>
            <v:rect id="_x0000_s1162" style="position:absolute;left:1689;top:3027;width:105;height:120" fillcolor="#5b9bd5" stroked="f"/>
            <v:rect id="_x0000_s1163" style="position:absolute;left:1834;top:2971;width:426;height:745;mso-wrap-style:none" filled="f" stroked="f">
              <v:textbox style="mso-fit-shape-to-text:t" inset="0,0,0,0">
                <w:txbxContent>
                  <w:p w:rsidR="000B433A" w:rsidRDefault="000B433A">
                    <w:pPr>
                      <w:rPr>
                        <w:rFonts w:cs="Calibri"/>
                        <w:color w:val="595959"/>
                        <w:sz w:val="18"/>
                        <w:szCs w:val="18"/>
                        <w:lang w:val="en-US"/>
                      </w:rPr>
                    </w:pPr>
                    <w:r>
                      <w:rPr>
                        <w:rFonts w:cs="Calibri"/>
                        <w:color w:val="595959"/>
                        <w:sz w:val="18"/>
                        <w:szCs w:val="18"/>
                        <w:lang w:val="en-US"/>
                      </w:rPr>
                      <w:t>Fest-</w:t>
                    </w:r>
                  </w:p>
                  <w:p w:rsidR="000B433A" w:rsidRDefault="000B433A">
                    <w:proofErr w:type="gramStart"/>
                    <w:r>
                      <w:rPr>
                        <w:rFonts w:cs="Calibri"/>
                        <w:color w:val="595959"/>
                        <w:sz w:val="18"/>
                        <w:szCs w:val="18"/>
                        <w:lang w:val="en-US"/>
                      </w:rPr>
                      <w:t>stoffe</w:t>
                    </w:r>
                    <w:proofErr w:type="gramEnd"/>
                  </w:p>
                </w:txbxContent>
              </v:textbox>
            </v:rect>
            <v:rect id="_x0000_s1164" style="position:absolute;left:2424;top:3027;width:120;height:120" fillcolor="#ed7d31" stroked="f"/>
            <v:rect id="_x0000_s1165" style="position:absolute;left:2577;top:2971;width:161;height:373;mso-wrap-style:none" filled="f" stroked="f">
              <v:textbox style="mso-fit-shape-to-text:t" inset="0,0,0,0">
                <w:txbxContent>
                  <w:p w:rsidR="000B433A" w:rsidRDefault="000B433A">
                    <w:r>
                      <w:rPr>
                        <w:rFonts w:cs="Calibri"/>
                        <w:color w:val="595959"/>
                        <w:sz w:val="18"/>
                        <w:szCs w:val="18"/>
                        <w:lang w:val="en-US"/>
                      </w:rPr>
                      <w:t>Öl</w:t>
                    </w:r>
                  </w:p>
                </w:txbxContent>
              </v:textbox>
            </v:rect>
            <v:rect id="_x0000_s1166" style="position:absolute;left:2949;top:3027;width:105;height:120" fillcolor="#a5a5a5" stroked="f"/>
            <v:rect id="_x0000_s1167" style="position:absolute;left:3096;top:2971;width:271;height:373;mso-wrap-style:none" filled="f" stroked="f">
              <v:textbox style="mso-fit-shape-to-text:t" inset="0,0,0,0">
                <w:txbxContent>
                  <w:p w:rsidR="000B433A" w:rsidRDefault="000B433A">
                    <w:r>
                      <w:rPr>
                        <w:rFonts w:cs="Calibri"/>
                        <w:color w:val="595959"/>
                        <w:sz w:val="18"/>
                        <w:szCs w:val="18"/>
                        <w:lang w:val="en-US"/>
                      </w:rPr>
                      <w:t>Gas</w:t>
                    </w:r>
                  </w:p>
                </w:txbxContent>
              </v:textbox>
            </v:rect>
            <v:rect id="_x0000_s1168" style="position:absolute;left:3535;top:3027;width:120;height:120" fillcolor="#ffc000" stroked="f"/>
            <v:rect id="_x0000_s1169" style="position:absolute;left:3684;top:2971;width:445;height:373;mso-wrap-style:none" filled="f" stroked="f">
              <v:textbox style="mso-fit-shape-to-text:t" inset="0,0,0,0">
                <w:txbxContent>
                  <w:p w:rsidR="000B433A" w:rsidRDefault="000B433A">
                    <w:r>
                      <w:rPr>
                        <w:rFonts w:cs="Calibri"/>
                        <w:color w:val="595959"/>
                        <w:sz w:val="18"/>
                        <w:szCs w:val="18"/>
                        <w:lang w:val="en-US"/>
                      </w:rPr>
                      <w:t>Strom</w:t>
                    </w:r>
                  </w:p>
                </w:txbxContent>
              </v:textbox>
            </v:rect>
            <v:rect id="_x0000_s1170" style="position:absolute;left:4585;top:3027;width:105;height:120" fillcolor="#4472c4" stroked="f"/>
            <v:rect id="_x0000_s1171" style="position:absolute;left:4728;top:2971;width:1011;height:373" filled="f" stroked="f">
              <v:textbox style="mso-fit-shape-to-text:t" inset="0,0,0,0">
                <w:txbxContent>
                  <w:p w:rsidR="000B433A" w:rsidRDefault="000B433A">
                    <w:r>
                      <w:rPr>
                        <w:rFonts w:cs="Calibri"/>
                        <w:color w:val="595959"/>
                        <w:sz w:val="18"/>
                        <w:szCs w:val="18"/>
                        <w:lang w:val="en-US"/>
                      </w:rPr>
                      <w:t>Dampf KWK</w:t>
                    </w:r>
                  </w:p>
                </w:txbxContent>
              </v:textbox>
            </v:rect>
            <v:rect id="_x0000_s1172" style="position:absolute;left:5906;top:3027;width:120;height:120" fillcolor="#70ad47" stroked="f"/>
            <v:rect id="_x0000_s1173" style="position:absolute;left:6056;top:2971;width:176;height:373;mso-wrap-style:none" filled="f" stroked="f">
              <v:textbox style="mso-fit-shape-to-text:t" inset="0,0,0,0">
                <w:txbxContent>
                  <w:p w:rsidR="000B433A" w:rsidRDefault="000B433A">
                    <w:r>
                      <w:rPr>
                        <w:rFonts w:cs="Calibri"/>
                        <w:color w:val="595959"/>
                        <w:sz w:val="18"/>
                        <w:szCs w:val="18"/>
                        <w:lang w:val="en-US"/>
                      </w:rPr>
                      <w:t>EE</w:t>
                    </w:r>
                  </w:p>
                </w:txbxContent>
              </v:textbox>
            </v:rect>
            <v:rect id="_x0000_s1174" style="position:absolute;left:6491;top:3027;width:120;height:120" fillcolor="#255e91" stroked="f"/>
            <v:rect id="_x0000_s1175" style="position:absolute;left:6642;top:2971;width:619;height:373;mso-wrap-style:none" filled="f" stroked="f">
              <v:textbox style="mso-fit-shape-to-text:t" inset="0,0,0,0">
                <w:txbxContent>
                  <w:p w:rsidR="000B433A" w:rsidRDefault="000B433A">
                    <w:r>
                      <w:rPr>
                        <w:rFonts w:cs="Calibri"/>
                        <w:color w:val="595959"/>
                        <w:sz w:val="18"/>
                        <w:szCs w:val="18"/>
                        <w:lang w:val="en-US"/>
                      </w:rPr>
                      <w:t>Sonstige</w:t>
                    </w:r>
                  </w:p>
                </w:txbxContent>
              </v:textbox>
            </v:rect>
            <v:shape id="_x0000_s1176" style="position:absolute;left:8;top:-1338;width:8735;height:4725" coordsize="9312,5040" path="m,8hdc,4,4,,8,hal9304,hdc9309,,9312,4,9312,8hal9312,5032hdc9312,5037,9309,5040,9304,5040hal8,5040hdc4,5040,,5037,,5032hal,8hdxm16,5032hal8,5024r9296,l9296,5032,9296,8r8,8l8,16,16,8r,5024hdxe" fillcolor="#d9d9d9" strokecolor="#d9d9d9" strokeweight=".05pt">
              <v:path arrowok="t"/>
              <o:lock v:ext="edit" verticies="t"/>
            </v:shape>
            <w10:wrap type="none"/>
            <w10:anchorlock/>
          </v:group>
        </w:pict>
      </w:r>
    </w:p>
    <w:p w:rsidR="000B433A" w:rsidRPr="000342B9" w:rsidRDefault="000B433A" w:rsidP="008F6F57">
      <w:pPr>
        <w:pStyle w:val="Lgende"/>
        <w:jc w:val="both"/>
        <w:rPr>
          <w:rFonts w:cs="Calibri"/>
          <w:sz w:val="22"/>
          <w:lang w:val="de-DE"/>
        </w:rPr>
      </w:pPr>
      <w:r>
        <w:rPr>
          <w:lang w:val="de-DE"/>
        </w:rPr>
        <w:t xml:space="preserve">Abbildung </w:t>
      </w:r>
      <w:r w:rsidR="005A6B21">
        <w:rPr>
          <w:lang w:val="de-DE"/>
        </w:rPr>
        <w:fldChar w:fldCharType="begin"/>
      </w:r>
      <w:r>
        <w:rPr>
          <w:lang w:val="de-DE"/>
        </w:rPr>
        <w:instrText xml:space="preserve"> SEQ Figure \* ARABIC </w:instrText>
      </w:r>
      <w:r w:rsidR="005A6B21">
        <w:rPr>
          <w:lang w:val="de-DE"/>
        </w:rPr>
        <w:fldChar w:fldCharType="separate"/>
      </w:r>
      <w:r>
        <w:rPr>
          <w:lang w:val="de-DE"/>
        </w:rPr>
        <w:t>11</w:t>
      </w:r>
      <w:r w:rsidR="005A6B21">
        <w:rPr>
          <w:lang w:val="de-DE"/>
        </w:rPr>
        <w:fldChar w:fldCharType="end"/>
      </w:r>
      <w:r>
        <w:rPr>
          <w:lang w:val="de-DE"/>
        </w:rPr>
        <w:t xml:space="preserve">: Entwicklung des gesamten Endenergieverbrauchs nach </w:t>
      </w:r>
      <w:r w:rsidRPr="000342B9">
        <w:rPr>
          <w:lang w:val="de-DE"/>
        </w:rPr>
        <w:t>Energieträger</w:t>
      </w:r>
    </w:p>
    <w:p w:rsidR="000B433A" w:rsidRDefault="000B433A">
      <w:pPr>
        <w:pStyle w:val="Titre4"/>
        <w:numPr>
          <w:ilvl w:val="0"/>
          <w:numId w:val="43"/>
        </w:numPr>
        <w:spacing w:after="0" w:line="360" w:lineRule="auto"/>
        <w:ind w:left="851" w:hanging="851"/>
        <w:jc w:val="left"/>
        <w:rPr>
          <w:rFonts w:ascii="Calibri" w:hAnsi="Calibri" w:cs="Calibri"/>
          <w:b w:val="0"/>
          <w:lang w:val="de-DE"/>
        </w:rPr>
      </w:pPr>
      <w:r>
        <w:rPr>
          <w:rFonts w:ascii="Calibri" w:hAnsi="Calibri" w:cs="Calibri"/>
          <w:lang w:val="de-DE"/>
        </w:rPr>
        <w:t>Primärenergieverbrauch</w:t>
      </w:r>
    </w:p>
    <w:p w:rsidR="000B433A" w:rsidRPr="00C33976" w:rsidRDefault="000B433A" w:rsidP="008F6F57">
      <w:pPr>
        <w:spacing w:after="200"/>
        <w:rPr>
          <w:rFonts w:cs="Calibri"/>
          <w:szCs w:val="24"/>
          <w:lang w:val="de-DE"/>
        </w:rPr>
      </w:pPr>
      <w:r>
        <w:rPr>
          <w:rFonts w:cs="Calibri"/>
          <w:lang w:val="de-DE"/>
        </w:rPr>
        <w:t>Der Primärenergieverbrauch ist abhängig vom Stromerzeugungspark. Das hier beschriebene Bestreben setzt den Ausstieg aus der Atomkraft nach dem bisher geplanten Zeitplan sowie eine Begrenzung der wallonischen Importe voraus.</w:t>
      </w:r>
    </w:p>
    <w:p w:rsidR="000B433A" w:rsidRDefault="005A6B21" w:rsidP="008F6F57">
      <w:pPr>
        <w:keepNext/>
        <w:spacing w:after="200"/>
        <w:jc w:val="center"/>
      </w:pPr>
      <w:r>
        <w:pict>
          <v:group id="_x0000_s1178" editas="canvas" style="width:361.5pt;height:274.5pt;mso-position-horizontal-relative:char;mso-position-vertical-relative:line" coordorigin=",-1345" coordsize="7230,5490">
            <o:lock v:ext="edit" aspectratio="t"/>
            <v:shape id="_x0000_s1179" type="#_x0000_t75" style="position:absolute;top:-1345;width:7230;height:5490" o:preferrelative="f">
              <v:fill o:detectmouseclick="t"/>
              <v:path o:extrusionok="t" o:connecttype="none"/>
              <o:lock v:ext="edit" text="t"/>
            </v:shape>
            <v:rect id="_x0000_s1180" style="position:absolute;left:7;top:-1338;width:7215;height:5205" stroked="f"/>
            <v:shape id="_x0000_s1181" style="position:absolute;left:855;top:-603;width:3945;height:4245" coordsize="3945,4245" path="m,4230r3945,l3945,4245,,4245r,-15xm,2820r3945,l3945,2835,,2835r,-15xm,2115r3945,l3945,2130,,2130r,-15xm,1410r3945,l3945,1425,,1425r,-15xm,705r3945,l3945,720,,720,,705xm,l3945,r,15l,15,,xe" fillcolor="#d9d9d9" strokecolor="#d9d9d9">
              <v:stroke joinstyle="bevel"/>
              <v:path arrowok="t"/>
              <o:lock v:ext="edit" verticies="t"/>
            </v:shape>
            <v:shape id="_x0000_s1182" style="position:absolute;left:1027;top:2562;width:3600;height:360" coordsize="3600,360" path="m,l630,r,360l,360,,xm990,300r630,l1620,360r-630,l990,300xm1980,300r630,l2610,360r-630,l1980,300xm2970,315r630,l3600,360r-630,l2970,315xe" fillcolor="#5b9bd5" stroked="f">
              <v:path arrowok="t"/>
              <o:lock v:ext="edit" verticies="t"/>
            </v:shape>
            <v:shape id="_x0000_s1183" style="position:absolute;left:1027;top:1587;width:3600;height:1290" coordsize="3600,1290" path="m,l630,r,975l,975,,xm990,540r630,l1620,1275r-630,l990,540xm1980,480r630,l2610,1275r-630,l1980,480xm2970,840r630,l3600,1290r-630,l2970,840xe" fillcolor="#ed7d31" stroked="f">
              <v:path arrowok="t"/>
              <o:lock v:ext="edit" verticies="t"/>
            </v:shape>
            <v:shape id="_x0000_s1184" style="position:absolute;left:1027;top:927;width:3600;height:1500" coordsize="3600,1500" path="m,l630,r,660l,660,,xm990,630r630,l1620,1200r-630,l990,630xm1980,330r630,l2610,1140r-630,l1980,330xm2970,705r630,l3600,1500r-630,l2970,705xe" fillcolor="#a5a5a5" stroked="f">
              <v:path arrowok="t"/>
              <o:lock v:ext="edit" verticies="t"/>
            </v:shape>
            <v:shape id="_x0000_s1185" style="position:absolute;left:1027;top:882;width:3600;height:750" coordsize="3600,750" path="m,l630,r,45l,45,,xm990,450r630,l1620,675r-630,l990,450xm1980,105r630,l2610,375r-630,l1980,105xm2970,330r630,l3600,750r-630,l2970,330xe" fillcolor="#ffc000" stroked="f">
              <v:path arrowok="t"/>
              <o:lock v:ext="edit" verticies="t"/>
            </v:shape>
            <v:shape id="_x0000_s1186" style="position:absolute;left:1027;top:-108;width:1620;height:1440" coordsize="1620,1440" path="m,l630,r,990l,990,,xm990,870r630,l1620,1440r-630,l990,870xe" fillcolor="#4472c4" stroked="f">
              <v:path arrowok="t"/>
              <o:lock v:ext="edit" verticies="t"/>
            </v:shape>
            <v:shape id="_x0000_s1187" style="position:absolute;left:1027;top:-183;width:3600;height:1395" coordsize="3600,1395" path="m,l630,r,75l,75,,xm990,900r630,l1620,945r-630,l990,900xm1980,1110r630,l2610,1170r-630,l1980,1110xm2970,1335r630,l3600,1395r-630,l2970,1335xe" fillcolor="#70ad47" stroked="f">
              <v:path arrowok="t"/>
              <o:lock v:ext="edit" verticies="t"/>
            </v:shape>
            <v:shape id="_x0000_s1188" style="position:absolute;left:1027;top:702;width:3600;height:2310" coordsize="3600,2310" path="m,2220r630,l630,2310,,2310r,-90xm990,r630,l1620,15r-630,l990,xm1980,180r630,l2610,225r-630,l1980,180xm2970,435r630,l3600,450r-630,l2970,435xe" fillcolor="#255e91" stroked="f">
              <v:path arrowok="t"/>
              <o:lock v:ext="edit" verticies="t"/>
            </v:shape>
            <v:rect id="_x0000_s1189" style="position:absolute;left:855;top:2922;width:3945;height:15" fillcolor="#d9d9d9" strokecolor="#d9d9d9">
              <v:stroke joinstyle="bevel"/>
            </v:rect>
            <v:rect id="_x0000_s1190" style="position:absolute;left:182;top:3520;width:56;height:373;mso-wrap-style:none" filled="f" stroked="f">
              <v:textbox style="mso-fit-shape-to-text:t" inset="0,0,0,0">
                <w:txbxContent>
                  <w:p w:rsidR="000B433A" w:rsidRDefault="000B433A">
                    <w:r>
                      <w:rPr>
                        <w:rFonts w:cs="Calibri"/>
                        <w:color w:val="595959"/>
                        <w:sz w:val="18"/>
                        <w:szCs w:val="18"/>
                        <w:lang w:val="en-US"/>
                      </w:rPr>
                      <w:t>-</w:t>
                    </w:r>
                  </w:p>
                </w:txbxContent>
              </v:textbox>
            </v:rect>
            <v:rect id="_x0000_s1191" style="position:absolute;left:242;top:3520;width:457;height:373;mso-wrap-style:none" filled="f" stroked="f">
              <v:textbox style="mso-fit-shape-to-text:t" inset="0,0,0,0">
                <w:txbxContent>
                  <w:p w:rsidR="000B433A" w:rsidRDefault="000B433A">
                    <w:r>
                      <w:rPr>
                        <w:rFonts w:cs="Calibri"/>
                        <w:color w:val="595959"/>
                        <w:sz w:val="18"/>
                        <w:szCs w:val="18"/>
                        <w:lang w:val="en-US"/>
                      </w:rPr>
                      <w:t>50000</w:t>
                    </w:r>
                  </w:p>
                </w:txbxContent>
              </v:textbox>
            </v:rect>
            <v:rect id="_x0000_s1192" style="position:absolute;left:602;top:2817;width:92;height:373;mso-wrap-style:none" filled="f" stroked="f">
              <v:textbox style="mso-fit-shape-to-text:t" inset="0,0,0,0">
                <w:txbxContent>
                  <w:p w:rsidR="000B433A" w:rsidRDefault="000B433A">
                    <w:r>
                      <w:rPr>
                        <w:rFonts w:cs="Calibri"/>
                        <w:color w:val="595959"/>
                        <w:sz w:val="18"/>
                        <w:szCs w:val="18"/>
                        <w:lang w:val="en-US"/>
                      </w:rPr>
                      <w:t>0</w:t>
                    </w:r>
                  </w:p>
                </w:txbxContent>
              </v:textbox>
            </v:rect>
            <v:rect id="_x0000_s1193" style="position:absolute;left:239;top:2113;width:457;height:373;mso-wrap-style:none" filled="f" stroked="f">
              <v:textbox style="mso-fit-shape-to-text:t" inset="0,0,0,0">
                <w:txbxContent>
                  <w:p w:rsidR="000B433A" w:rsidRDefault="000B433A">
                    <w:r>
                      <w:rPr>
                        <w:rFonts w:cs="Calibri"/>
                        <w:color w:val="595959"/>
                        <w:sz w:val="18"/>
                        <w:szCs w:val="18"/>
                        <w:lang w:val="en-US"/>
                      </w:rPr>
                      <w:t>50000</w:t>
                    </w:r>
                  </w:p>
                </w:txbxContent>
              </v:textbox>
            </v:rect>
            <v:rect id="_x0000_s1194" style="position:absolute;left:149;top:1410;width:548;height:373;mso-wrap-style:none" filled="f" stroked="f">
              <v:textbox style="mso-fit-shape-to-text:t" inset="0,0,0,0">
                <w:txbxContent>
                  <w:p w:rsidR="000B433A" w:rsidRDefault="000B433A">
                    <w:r>
                      <w:rPr>
                        <w:rFonts w:cs="Calibri"/>
                        <w:color w:val="595959"/>
                        <w:sz w:val="18"/>
                        <w:szCs w:val="18"/>
                        <w:lang w:val="en-US"/>
                      </w:rPr>
                      <w:t>100000</w:t>
                    </w:r>
                  </w:p>
                </w:txbxContent>
              </v:textbox>
            </v:rect>
            <v:rect id="_x0000_s1195" style="position:absolute;left:149;top:706;width:548;height:373;mso-wrap-style:none" filled="f" stroked="f">
              <v:textbox style="mso-fit-shape-to-text:t" inset="0,0,0,0">
                <w:txbxContent>
                  <w:p w:rsidR="000B433A" w:rsidRDefault="000B433A">
                    <w:r>
                      <w:rPr>
                        <w:rFonts w:cs="Calibri"/>
                        <w:color w:val="595959"/>
                        <w:sz w:val="18"/>
                        <w:szCs w:val="18"/>
                        <w:lang w:val="en-US"/>
                      </w:rPr>
                      <w:t>150000</w:t>
                    </w:r>
                  </w:p>
                </w:txbxContent>
              </v:textbox>
            </v:rect>
            <v:rect id="_x0000_s1196" style="position:absolute;left:149;top:3;width:548;height:373;mso-wrap-style:none" filled="f" stroked="f">
              <v:textbox style="mso-fit-shape-to-text:t" inset="0,0,0,0">
                <w:txbxContent>
                  <w:p w:rsidR="000B433A" w:rsidRDefault="000B433A">
                    <w:r>
                      <w:rPr>
                        <w:rFonts w:cs="Calibri"/>
                        <w:color w:val="595959"/>
                        <w:sz w:val="18"/>
                        <w:szCs w:val="18"/>
                        <w:lang w:val="en-US"/>
                      </w:rPr>
                      <w:t>200000</w:t>
                    </w:r>
                  </w:p>
                </w:txbxContent>
              </v:textbox>
            </v:rect>
            <v:rect id="_x0000_s1197" style="position:absolute;left:149;top:-700;width:548;height:373;mso-wrap-style:none" filled="f" stroked="f">
              <v:textbox style="mso-fit-shape-to-text:t" inset="0,0,0,0">
                <w:txbxContent>
                  <w:p w:rsidR="000B433A" w:rsidRDefault="000B433A">
                    <w:r>
                      <w:rPr>
                        <w:rFonts w:cs="Calibri"/>
                        <w:color w:val="595959"/>
                        <w:sz w:val="18"/>
                        <w:szCs w:val="18"/>
                        <w:lang w:val="en-US"/>
                      </w:rPr>
                      <w:t>250000</w:t>
                    </w:r>
                  </w:p>
                </w:txbxContent>
              </v:textbox>
            </v:rect>
            <v:rect id="_x0000_s1198" style="position:absolute;left:1174;top:3051;width:365;height:373;mso-wrap-style:none" filled="f" stroked="f">
              <v:textbox style="mso-fit-shape-to-text:t" inset="0,0,0,0">
                <w:txbxContent>
                  <w:p w:rsidR="000B433A" w:rsidRDefault="000B433A">
                    <w:r>
                      <w:rPr>
                        <w:rFonts w:cs="Calibri"/>
                        <w:color w:val="595959"/>
                        <w:sz w:val="18"/>
                        <w:szCs w:val="18"/>
                        <w:lang w:val="en-US"/>
                      </w:rPr>
                      <w:t>2005</w:t>
                    </w:r>
                  </w:p>
                </w:txbxContent>
              </v:textbox>
            </v:rect>
            <v:rect id="_x0000_s1199" style="position:absolute;left:2163;top:3051;width:365;height:373;mso-wrap-style:none" filled="f" stroked="f">
              <v:textbox style="mso-fit-shape-to-text:t" inset="0,0,0,0">
                <w:txbxContent>
                  <w:p w:rsidR="000B433A" w:rsidRDefault="000B433A">
                    <w:r>
                      <w:rPr>
                        <w:rFonts w:cs="Calibri"/>
                        <w:color w:val="595959"/>
                        <w:sz w:val="18"/>
                        <w:szCs w:val="18"/>
                        <w:lang w:val="en-US"/>
                      </w:rPr>
                      <w:t>2015</w:t>
                    </w:r>
                  </w:p>
                </w:txbxContent>
              </v:textbox>
            </v:rect>
            <v:rect id="_x0000_s1200" style="position:absolute;left:2882;top:3051;width:365;height:373;mso-wrap-style:none" filled="f" stroked="f">
              <v:textbox style="mso-fit-shape-to-text:t" inset="0,0,0,0">
                <w:txbxContent>
                  <w:p w:rsidR="000B433A" w:rsidRDefault="000B433A">
                    <w:r>
                      <w:rPr>
                        <w:rFonts w:cs="Calibri"/>
                        <w:color w:val="595959"/>
                        <w:sz w:val="18"/>
                        <w:szCs w:val="18"/>
                        <w:lang w:val="en-US"/>
                      </w:rPr>
                      <w:t xml:space="preserve">2030 </w:t>
                    </w:r>
                  </w:p>
                </w:txbxContent>
              </v:textbox>
            </v:rect>
            <v:rect id="_x0000_s1201" style="position:absolute;left:3272;top:3051;width:56;height:373;mso-wrap-style:none" filled="f" stroked="f">
              <v:textbox style="mso-fit-shape-to-text:t" inset="0,0,0,0">
                <w:txbxContent>
                  <w:p w:rsidR="000B433A" w:rsidRDefault="000B433A">
                    <w:r>
                      <w:rPr>
                        <w:rFonts w:cs="Calibri"/>
                        <w:color w:val="595959"/>
                        <w:sz w:val="18"/>
                        <w:szCs w:val="18"/>
                        <w:lang w:val="en-US"/>
                      </w:rPr>
                      <w:t>-</w:t>
                    </w:r>
                  </w:p>
                </w:txbxContent>
              </v:textbox>
            </v:rect>
            <v:rect id="_x0000_s1202" style="position:absolute;left:3362;top:3051;width:402;height:373;mso-wrap-style:none" filled="f" stroked="f">
              <v:textbox style="mso-fit-shape-to-text:t" inset="0,0,0,0">
                <w:txbxContent>
                  <w:p w:rsidR="000B433A" w:rsidRDefault="000B433A">
                    <w:r>
                      <w:rPr>
                        <w:rFonts w:cs="Calibri"/>
                        <w:color w:val="595959"/>
                        <w:sz w:val="18"/>
                        <w:szCs w:val="18"/>
                        <w:lang w:val="en-US"/>
                      </w:rPr>
                      <w:t>WEM</w:t>
                    </w:r>
                  </w:p>
                </w:txbxContent>
              </v:textbox>
            </v:rect>
            <v:rect id="_x0000_s1203" style="position:absolute;left:3870;top:3051;width:365;height:373;mso-wrap-style:none" filled="f" stroked="f">
              <v:textbox style="mso-fit-shape-to-text:t" inset="0,0,0,0">
                <w:txbxContent>
                  <w:p w:rsidR="000B433A" w:rsidRDefault="000B433A">
                    <w:r>
                      <w:rPr>
                        <w:rFonts w:cs="Calibri"/>
                        <w:color w:val="595959"/>
                        <w:sz w:val="18"/>
                        <w:szCs w:val="18"/>
                        <w:lang w:val="en-US"/>
                      </w:rPr>
                      <w:t xml:space="preserve">2030 </w:t>
                    </w:r>
                  </w:p>
                </w:txbxContent>
              </v:textbox>
            </v:rect>
            <v:rect id="_x0000_s1204" style="position:absolute;left:4260;top:3051;width:56;height:373;mso-wrap-style:none" filled="f" stroked="f">
              <v:textbox style="mso-fit-shape-to-text:t" inset="0,0,0,0">
                <w:txbxContent>
                  <w:p w:rsidR="000B433A" w:rsidRDefault="000B433A">
                    <w:r>
                      <w:rPr>
                        <w:rFonts w:cs="Calibri"/>
                        <w:color w:val="595959"/>
                        <w:sz w:val="18"/>
                        <w:szCs w:val="18"/>
                        <w:lang w:val="en-US"/>
                      </w:rPr>
                      <w:t>-</w:t>
                    </w:r>
                  </w:p>
                </w:txbxContent>
              </v:textbox>
            </v:rect>
            <v:rect id="_x0000_s1205" style="position:absolute;left:4350;top:3051;width:419;height:373;mso-wrap-style:none" filled="f" stroked="f">
              <v:textbox style="mso-fit-shape-to-text:t" inset="0,0,0,0">
                <w:txbxContent>
                  <w:p w:rsidR="000B433A" w:rsidRDefault="000B433A">
                    <w:r>
                      <w:rPr>
                        <w:rFonts w:cs="Calibri"/>
                        <w:color w:val="595959"/>
                        <w:sz w:val="18"/>
                        <w:szCs w:val="18"/>
                        <w:lang w:val="en-US"/>
                      </w:rPr>
                      <w:t>WAM</w:t>
                    </w:r>
                  </w:p>
                </w:txbxContent>
              </v:textbox>
            </v:rect>
            <v:rect id="_x0000_s1206" style="position:absolute;left:1486;top:-1172;width:2776;height:513;mso-wrap-style:none" filled="f" stroked="f">
              <v:textbox style="mso-fit-shape-to-text:t" inset="0,0,0,0">
                <w:txbxContent>
                  <w:p w:rsidR="000B433A" w:rsidRPr="004964E7" w:rsidRDefault="000B433A" w:rsidP="004964E7">
                    <w:pPr>
                      <w:rPr>
                        <w:rFonts w:cs="Calibri"/>
                        <w:color w:val="595959"/>
                        <w:sz w:val="28"/>
                        <w:szCs w:val="28"/>
                        <w:lang w:val="en-US"/>
                      </w:rPr>
                    </w:pPr>
                    <w:r w:rsidRPr="004964E7">
                      <w:rPr>
                        <w:rFonts w:cs="Calibri"/>
                        <w:color w:val="595959"/>
                        <w:sz w:val="28"/>
                        <w:szCs w:val="28"/>
                        <w:lang w:val="en-US"/>
                      </w:rPr>
                      <w:t>Primärenergieverbrauch</w:t>
                    </w:r>
                  </w:p>
                </w:txbxContent>
              </v:textbox>
            </v:rect>
            <v:rect id="_x0000_s1207" style="position:absolute;left:5122;top:-303;width:105;height:120" fillcolor="#255e91" stroked="f"/>
            <v:rect id="_x0000_s1208" style="position:absolute;left:5269;top:-364;width:1744;height:373;mso-wrap-style:none" filled="f" stroked="f">
              <v:textbox style="mso-fit-shape-to-text:t" inset="0,0,0,0">
                <w:txbxContent>
                  <w:p w:rsidR="000B433A" w:rsidRDefault="000B433A">
                    <w:r>
                      <w:rPr>
                        <w:rFonts w:cs="Calibri"/>
                        <w:color w:val="595959"/>
                        <w:sz w:val="18"/>
                        <w:szCs w:val="18"/>
                        <w:lang w:val="en-US"/>
                      </w:rPr>
                      <w:t>Electricity (importation)</w:t>
                    </w:r>
                  </w:p>
                </w:txbxContent>
              </v:textbox>
            </v:rect>
            <v:rect id="_x0000_s1209" style="position:absolute;left:5122;top:252;width:105;height:120" fillcolor="#70ad47" stroked="f"/>
            <v:rect id="_x0000_s1210" style="position:absolute;left:5269;top:191;width:1544;height:373;mso-wrap-style:none" filled="f" stroked="f">
              <v:textbox style="mso-fit-shape-to-text:t" inset="0,0,0,0">
                <w:txbxContent>
                  <w:p w:rsidR="000B433A" w:rsidRDefault="000B433A">
                    <w:r>
                      <w:rPr>
                        <w:rFonts w:cs="Calibri"/>
                        <w:color w:val="595959"/>
                        <w:sz w:val="18"/>
                        <w:szCs w:val="18"/>
                        <w:lang w:val="en-US"/>
                      </w:rPr>
                      <w:t xml:space="preserve">Other (i.e. waste non </w:t>
                    </w:r>
                  </w:p>
                </w:txbxContent>
              </v:textbox>
            </v:rect>
            <v:rect id="_x0000_s1211" style="position:absolute;left:5269;top:416;width:832;height:373;mso-wrap-style:none" filled="f" stroked="f">
              <v:textbox style="mso-fit-shape-to-text:t" inset="0,0,0,0">
                <w:txbxContent>
                  <w:p w:rsidR="000B433A" w:rsidRDefault="000B433A">
                    <w:proofErr w:type="gramStart"/>
                    <w:r>
                      <w:rPr>
                        <w:rFonts w:cs="Calibri"/>
                        <w:color w:val="595959"/>
                        <w:sz w:val="18"/>
                        <w:szCs w:val="18"/>
                        <w:lang w:val="en-US"/>
                      </w:rPr>
                      <w:t>renewable</w:t>
                    </w:r>
                    <w:proofErr w:type="gramEnd"/>
                    <w:r>
                      <w:rPr>
                        <w:rFonts w:cs="Calibri"/>
                        <w:color w:val="595959"/>
                        <w:sz w:val="18"/>
                        <w:szCs w:val="18"/>
                        <w:lang w:val="en-US"/>
                      </w:rPr>
                      <w:t>)</w:t>
                    </w:r>
                  </w:p>
                </w:txbxContent>
              </v:textbox>
            </v:rect>
            <v:rect id="_x0000_s1212" style="position:absolute;left:5122;top:807;width:105;height:120" fillcolor="#4472c4" stroked="f"/>
            <v:rect id="_x0000_s1213" style="position:absolute;left:5269;top:746;width:567;height:373;mso-wrap-style:none" filled="f" stroked="f">
              <v:textbox style="mso-fit-shape-to-text:t" inset="0,0,0,0">
                <w:txbxContent>
                  <w:p w:rsidR="000B433A" w:rsidRDefault="000B433A">
                    <w:r>
                      <w:rPr>
                        <w:rFonts w:cs="Calibri"/>
                        <w:color w:val="595959"/>
                        <w:sz w:val="18"/>
                        <w:szCs w:val="18"/>
                        <w:lang w:val="en-US"/>
                      </w:rPr>
                      <w:t>Nuclear</w:t>
                    </w:r>
                  </w:p>
                </w:txbxContent>
              </v:textbox>
            </v:rect>
            <v:rect id="_x0000_s1214" style="position:absolute;left:5122;top:1362;width:105;height:120" fillcolor="#ffc000" stroked="f"/>
            <v:rect id="_x0000_s1215" style="position:absolute;left:5269;top:1301;width:883;height:373;mso-wrap-style:none" filled="f" stroked="f">
              <v:textbox style="mso-fit-shape-to-text:t" inset="0,0,0,0">
                <w:txbxContent>
                  <w:p w:rsidR="000B433A" w:rsidRDefault="000B433A">
                    <w:r>
                      <w:rPr>
                        <w:rFonts w:cs="Calibri"/>
                        <w:color w:val="595959"/>
                        <w:sz w:val="18"/>
                        <w:szCs w:val="18"/>
                        <w:lang w:val="en-US"/>
                      </w:rPr>
                      <w:t>Renewables</w:t>
                    </w:r>
                  </w:p>
                </w:txbxContent>
              </v:textbox>
            </v:rect>
            <v:rect id="_x0000_s1216" style="position:absolute;left:5122;top:1917;width:105;height:120" fillcolor="#a5a5a5" stroked="f"/>
            <v:rect id="_x0000_s1217" style="position:absolute;left:5269;top:1856;width:242;height:373;mso-wrap-style:none" filled="f" stroked="f">
              <v:textbox style="mso-fit-shape-to-text:t" inset="0,0,0,0">
                <w:txbxContent>
                  <w:p w:rsidR="000B433A" w:rsidRDefault="000B433A">
                    <w:proofErr w:type="gramStart"/>
                    <w:r>
                      <w:rPr>
                        <w:rFonts w:cs="Calibri"/>
                        <w:color w:val="595959"/>
                        <w:sz w:val="18"/>
                        <w:szCs w:val="18"/>
                        <w:lang w:val="en-US"/>
                      </w:rPr>
                      <w:t>gas</w:t>
                    </w:r>
                    <w:proofErr w:type="gramEnd"/>
                  </w:p>
                </w:txbxContent>
              </v:textbox>
            </v:rect>
            <v:rect id="_x0000_s1218" style="position:absolute;left:5122;top:2472;width:105;height:120" fillcolor="#ed7d31" stroked="f"/>
            <v:rect id="_x0000_s1219" style="position:absolute;left:5269;top:2411;width:178;height:373;mso-wrap-style:none" filled="f" stroked="f">
              <v:textbox style="mso-fit-shape-to-text:t" inset="0,0,0,0">
                <w:txbxContent>
                  <w:p w:rsidR="000B433A" w:rsidRDefault="000B433A">
                    <w:proofErr w:type="gramStart"/>
                    <w:r>
                      <w:rPr>
                        <w:rFonts w:cs="Calibri"/>
                        <w:color w:val="595959"/>
                        <w:sz w:val="18"/>
                        <w:szCs w:val="18"/>
                        <w:lang w:val="en-US"/>
                      </w:rPr>
                      <w:t>oil</w:t>
                    </w:r>
                    <w:proofErr w:type="gramEnd"/>
                  </w:p>
                </w:txbxContent>
              </v:textbox>
            </v:rect>
            <v:rect id="_x0000_s1220" style="position:absolute;left:5122;top:3027;width:105;height:120" fillcolor="#5b9bd5" stroked="f"/>
            <v:rect id="_x0000_s1221" style="position:absolute;left:5269;top:2966;width:734;height:373;mso-wrap-style:none" filled="f" stroked="f">
              <v:textbox style="mso-fit-shape-to-text:t" inset="0,0,0,0">
                <w:txbxContent>
                  <w:p w:rsidR="000B433A" w:rsidRDefault="000B433A">
                    <w:proofErr w:type="gramStart"/>
                    <w:r>
                      <w:rPr>
                        <w:rFonts w:cs="Calibri"/>
                        <w:color w:val="595959"/>
                        <w:sz w:val="18"/>
                        <w:szCs w:val="18"/>
                        <w:lang w:val="en-US"/>
                      </w:rPr>
                      <w:t>solid</w:t>
                    </w:r>
                    <w:proofErr w:type="gramEnd"/>
                    <w:r>
                      <w:rPr>
                        <w:rFonts w:cs="Calibri"/>
                        <w:color w:val="595959"/>
                        <w:sz w:val="18"/>
                        <w:szCs w:val="18"/>
                        <w:lang w:val="en-US"/>
                      </w:rPr>
                      <w:t xml:space="preserve"> fuels</w:t>
                    </w:r>
                  </w:p>
                </w:txbxContent>
              </v:textbox>
            </v:rect>
            <v:shape id="_x0000_s1222" style="position:absolute;left:7;top:-1338;width:7215;height:5205" coordsize="7696,5552" path="m,8hdc,4,4,,8,hal7688,hdc7693,,7696,4,7696,8hal7696,5544hdc7696,5549,7693,5552,7688,5552hal8,5552hdc4,5552,,5549,,5544hal,8hdxm16,5544hal8,5536r7680,l7680,5544,7680,8r8,8l8,16,16,8r,5536hdxe" fillcolor="#d9d9d9" strokecolor="#d9d9d9" strokeweight=".05pt">
              <v:path arrowok="t"/>
              <o:lock v:ext="edit" verticies="t"/>
            </v:shape>
            <w10:wrap type="none"/>
            <w10:anchorlock/>
          </v:group>
        </w:pict>
      </w:r>
    </w:p>
    <w:p w:rsidR="000B433A" w:rsidRPr="005F5D9D" w:rsidRDefault="000B433A" w:rsidP="008F6F57">
      <w:pPr>
        <w:pStyle w:val="Lgende"/>
        <w:jc w:val="center"/>
        <w:rPr>
          <w:rFonts w:cs="Calibri"/>
          <w:lang w:val="de-DE"/>
        </w:rPr>
      </w:pPr>
      <w:r>
        <w:rPr>
          <w:lang w:val="de-DE"/>
        </w:rPr>
        <w:t>Abbildung 20</w:t>
      </w:r>
      <w:r w:rsidR="005A6B21">
        <w:rPr>
          <w:lang w:val="de-DE"/>
        </w:rPr>
        <w:fldChar w:fldCharType="begin"/>
      </w:r>
      <w:r>
        <w:rPr>
          <w:lang w:val="de-DE"/>
        </w:rPr>
        <w:instrText xml:space="preserve"> SEQ Figure \* ARABIC </w:instrText>
      </w:r>
      <w:r w:rsidR="005A6B21">
        <w:rPr>
          <w:lang w:val="de-DE"/>
        </w:rPr>
        <w:fldChar w:fldCharType="separate"/>
      </w:r>
      <w:r>
        <w:rPr>
          <w:lang w:val="de-DE"/>
        </w:rPr>
        <w:t>12</w:t>
      </w:r>
      <w:r w:rsidR="005A6B21">
        <w:rPr>
          <w:lang w:val="de-DE"/>
        </w:rPr>
        <w:fldChar w:fldCharType="end"/>
      </w:r>
      <w:r>
        <w:rPr>
          <w:lang w:val="de-DE"/>
        </w:rPr>
        <w:t>: Entwicklung des Primärenergieverbrauchs in der Wallonie (GWh)</w:t>
      </w:r>
    </w:p>
    <w:p w:rsidR="000B433A" w:rsidRPr="005F5D9D" w:rsidRDefault="000B433A" w:rsidP="008F6F57">
      <w:pPr>
        <w:spacing w:after="200"/>
        <w:rPr>
          <w:rFonts w:cs="Calibri"/>
          <w:lang w:val="de-DE"/>
        </w:rPr>
      </w:pPr>
    </w:p>
    <w:p w:rsidR="000B433A" w:rsidRPr="00C33976" w:rsidRDefault="000B433A" w:rsidP="008F6F57">
      <w:pPr>
        <w:spacing w:after="200"/>
        <w:rPr>
          <w:rFonts w:cs="Calibri"/>
          <w:szCs w:val="24"/>
          <w:highlight w:val="yellow"/>
          <w:lang w:val="de-DE"/>
        </w:rPr>
      </w:pPr>
      <w:r>
        <w:rPr>
          <w:rFonts w:cs="Calibri"/>
          <w:lang w:val="de-DE"/>
        </w:rPr>
        <w:t>Der Primärenergieverbrauch ist im Vergleich zu 2005 um 36 % und im Vergleich zu 2015 um 15 % gesunken. Der Primärverbrauch von Erdölprodukten nimmt deutlich ab. Dieser Rückgang wird durch einen Anstieg des Primärverbrauchs von Gas und erneuerbaren Energien ausgeglichen. Der Stromimport des WAM-Szenarios bleibt unter der Annahme relativ begrenzt (1.600 GWh).</w:t>
      </w:r>
    </w:p>
    <w:p w:rsidR="000B433A" w:rsidRDefault="000B433A">
      <w:pPr>
        <w:pStyle w:val="Titre4"/>
        <w:numPr>
          <w:ilvl w:val="0"/>
          <w:numId w:val="43"/>
        </w:numPr>
        <w:spacing w:after="0" w:line="360" w:lineRule="auto"/>
        <w:jc w:val="left"/>
        <w:rPr>
          <w:rFonts w:ascii="Calibri" w:hAnsi="Calibri"/>
          <w:b w:val="0"/>
          <w:lang w:val="de-DE"/>
        </w:rPr>
      </w:pPr>
      <w:r>
        <w:rPr>
          <w:rFonts w:ascii="Calibri" w:hAnsi="Calibri" w:cs="Calibri"/>
          <w:lang w:val="de-DE"/>
        </w:rPr>
        <w:t>Konkrete Situation in der Wallonie</w:t>
      </w:r>
    </w:p>
    <w:p w:rsidR="000B433A" w:rsidRPr="00C33976" w:rsidRDefault="000B433A" w:rsidP="008F6F57">
      <w:pPr>
        <w:spacing w:after="200"/>
        <w:rPr>
          <w:rFonts w:cs="Calibri"/>
          <w:szCs w:val="24"/>
          <w:lang w:val="de-DE"/>
        </w:rPr>
      </w:pPr>
      <w:r>
        <w:rPr>
          <w:rFonts w:cs="Calibri"/>
          <w:lang w:val="de-DE"/>
        </w:rPr>
        <w:t xml:space="preserve">Die vorstehend genannten Kürzungen erfordern die Fortsetzung aller laufenden Maßnahmen, wie in Kapitel </w:t>
      </w:r>
      <w:r w:rsidRPr="00A808CE">
        <w:rPr>
          <w:rFonts w:cs="Calibri"/>
          <w:szCs w:val="24"/>
          <w:highlight w:val="yellow"/>
          <w:lang w:val="de-DE"/>
        </w:rPr>
        <w:t>2</w:t>
      </w:r>
      <w:r>
        <w:rPr>
          <w:rFonts w:cs="Calibri"/>
          <w:lang w:val="de-DE"/>
        </w:rPr>
        <w:t xml:space="preserve"> beschrieben, und die Umsetzung der neuen Maßnahmen in Kapitel </w:t>
      </w:r>
      <w:r w:rsidRPr="00A808CE">
        <w:rPr>
          <w:rFonts w:cs="Calibri"/>
          <w:szCs w:val="24"/>
          <w:highlight w:val="yellow"/>
          <w:lang w:val="de-DE"/>
        </w:rPr>
        <w:t>4.</w:t>
      </w:r>
    </w:p>
    <w:p w:rsidR="000B433A" w:rsidRPr="00C33976" w:rsidRDefault="000B433A" w:rsidP="008F6F57">
      <w:pPr>
        <w:spacing w:after="200"/>
        <w:rPr>
          <w:rFonts w:cs="Calibri"/>
          <w:szCs w:val="24"/>
          <w:lang w:val="de-DE"/>
        </w:rPr>
      </w:pPr>
      <w:r>
        <w:rPr>
          <w:rFonts w:cs="Calibri"/>
          <w:lang w:val="de-DE"/>
        </w:rPr>
        <w:t>Der gemäß Artikel 7 der Europäischen Richtlinie 2012/27/EG eingeführte Mechanismus der Verpflichtung zur Senkung des Energieverbrauchs, der die Auswirkungen eines großen Teils dieser Maßnahmen abdeckt</w:t>
      </w:r>
      <w:r w:rsidRPr="00C33976">
        <w:rPr>
          <w:rStyle w:val="Appelnotedebasdep"/>
          <w:rFonts w:cs="Calibri"/>
          <w:szCs w:val="24"/>
          <w:lang w:val="de-DE"/>
        </w:rPr>
        <w:footnoteReference w:id="11"/>
      </w:r>
      <w:r>
        <w:rPr>
          <w:rFonts w:cs="Calibri"/>
          <w:lang w:val="de-DE"/>
        </w:rPr>
        <w:t xml:space="preserve">, ist einer der Hauptbeteiligten, da er allein zwischen 2021 und 2030 eine Verringerung des Endverbrauchs um 0,8 % pro Jahr vorsieht. </w:t>
      </w:r>
    </w:p>
    <w:p w:rsidR="000B433A" w:rsidRPr="00C33976" w:rsidRDefault="000B433A" w:rsidP="008F6F57">
      <w:pPr>
        <w:rPr>
          <w:rFonts w:cs="Calibri"/>
          <w:szCs w:val="24"/>
          <w:lang w:val="de-DE"/>
        </w:rPr>
      </w:pPr>
      <w:r>
        <w:rPr>
          <w:rFonts w:cs="Calibri"/>
          <w:lang w:val="de-DE"/>
        </w:rPr>
        <w:t>Dies entspricht nach erster Schätzung</w:t>
      </w:r>
      <w:r w:rsidRPr="00C33976">
        <w:rPr>
          <w:rStyle w:val="Appelnotedebasdep"/>
          <w:rFonts w:cs="Calibri"/>
          <w:szCs w:val="24"/>
          <w:lang w:val="de-DE"/>
        </w:rPr>
        <w:footnoteReference w:id="12"/>
      </w:r>
      <w:r>
        <w:rPr>
          <w:rFonts w:cs="Calibri"/>
          <w:lang w:val="de-DE"/>
        </w:rPr>
        <w:t>:</w:t>
      </w:r>
    </w:p>
    <w:p w:rsidR="000B433A" w:rsidRDefault="000B433A">
      <w:pPr>
        <w:pStyle w:val="Paragraphedeliste"/>
        <w:numPr>
          <w:ilvl w:val="0"/>
          <w:numId w:val="42"/>
        </w:numPr>
        <w:spacing w:after="200"/>
        <w:rPr>
          <w:rFonts w:cs="Calibri"/>
          <w:szCs w:val="24"/>
          <w:lang w:val="de-DE"/>
        </w:rPr>
      </w:pPr>
      <w:r>
        <w:rPr>
          <w:rFonts w:cs="Calibri"/>
          <w:lang w:val="de-DE"/>
        </w:rPr>
        <w:t>Einer zusätzlichen Energieeinsparung von 980 GWh pro Jahr zwischen 2021 und 2030.</w:t>
      </w:r>
    </w:p>
    <w:p w:rsidR="000B433A" w:rsidRDefault="000B433A">
      <w:pPr>
        <w:pStyle w:val="Paragraphedeliste"/>
        <w:numPr>
          <w:ilvl w:val="0"/>
          <w:numId w:val="42"/>
        </w:numPr>
        <w:spacing w:after="200"/>
        <w:rPr>
          <w:rFonts w:cs="Calibri"/>
          <w:szCs w:val="24"/>
          <w:lang w:val="de-DE"/>
        </w:rPr>
      </w:pPr>
      <w:r>
        <w:rPr>
          <w:rFonts w:cs="Calibri"/>
          <w:lang w:val="de-DE"/>
        </w:rPr>
        <w:t>Einer geschätzten Auswirkung im Jahr 2030 von 9.804 GWh Reduktion im Vergleich zu einem Szenario ohne diese Verpflichtung.</w:t>
      </w:r>
    </w:p>
    <w:p w:rsidR="000B433A" w:rsidRDefault="000B433A">
      <w:pPr>
        <w:pStyle w:val="Paragraphedeliste"/>
        <w:numPr>
          <w:ilvl w:val="0"/>
          <w:numId w:val="42"/>
        </w:numPr>
        <w:ind w:left="714" w:hanging="357"/>
        <w:rPr>
          <w:rFonts w:cs="Calibri"/>
          <w:szCs w:val="24"/>
          <w:lang w:val="de-DE"/>
        </w:rPr>
      </w:pPr>
      <w:r>
        <w:rPr>
          <w:rFonts w:cs="Calibri"/>
          <w:lang w:val="de-DE"/>
        </w:rPr>
        <w:t>Einem wallonischen Ziel von 53.920 GWh über den Zeitraum 2021 - 2030.</w:t>
      </w:r>
    </w:p>
    <w:p w:rsidR="000B433A" w:rsidRPr="00C33976" w:rsidRDefault="000B433A" w:rsidP="00464B0A">
      <w:pPr>
        <w:pStyle w:val="Titre3"/>
        <w:numPr>
          <w:ilvl w:val="2"/>
          <w:numId w:val="1"/>
        </w:numPr>
        <w:ind w:left="851" w:hanging="851"/>
        <w:rPr>
          <w:rFonts w:ascii="Calibri" w:hAnsi="Calibri" w:cs="Calibri"/>
          <w:color w:val="1F497D"/>
          <w:lang w:val="de-DE"/>
        </w:rPr>
      </w:pPr>
      <w:r>
        <w:rPr>
          <w:rFonts w:ascii="Calibri" w:hAnsi="Calibri" w:cs="Calibri"/>
          <w:color w:val="1F497D"/>
          <w:lang w:val="de-DE"/>
        </w:rPr>
        <w:t xml:space="preserve">Sonstige sektorale Zielvorgaben </w:t>
      </w:r>
    </w:p>
    <w:p w:rsidR="000B433A" w:rsidRDefault="000B433A">
      <w:pPr>
        <w:pStyle w:val="Titre4"/>
        <w:numPr>
          <w:ilvl w:val="0"/>
          <w:numId w:val="59"/>
        </w:numPr>
        <w:ind w:left="851" w:hanging="851"/>
        <w:rPr>
          <w:rFonts w:ascii="Calibri" w:hAnsi="Calibri" w:cs="Calibri"/>
          <w:lang w:val="de-DE"/>
        </w:rPr>
      </w:pPr>
      <w:r>
        <w:rPr>
          <w:rFonts w:ascii="Calibri" w:hAnsi="Calibri" w:cs="Calibri"/>
          <w:lang w:val="de-DE"/>
        </w:rPr>
        <w:t>Transport</w:t>
      </w:r>
    </w:p>
    <w:p w:rsidR="000B433A" w:rsidRPr="00C33976" w:rsidRDefault="000B433A" w:rsidP="008F6F57">
      <w:pPr>
        <w:rPr>
          <w:rFonts w:cs="Calibri"/>
          <w:szCs w:val="24"/>
          <w:lang w:val="de-DE"/>
        </w:rPr>
      </w:pPr>
      <w:r>
        <w:rPr>
          <w:rFonts w:cs="Calibri"/>
          <w:lang w:val="de-DE"/>
        </w:rPr>
        <w:t>Die wallonische Regierung hat sich ehrgeizige Mobilitätsziele gesetzt. Diese werden durch die FAST-Vision ausgedrückt, insbesondere in Bezug auf die gefahrenen Kilometer für Menschen und Tonnen*km für Güter. Die folgenden Tabellen verdeutlichen diese Ziele.</w:t>
      </w:r>
    </w:p>
    <w:p w:rsidR="000B433A" w:rsidRPr="00C33976" w:rsidRDefault="000B433A" w:rsidP="008F6F57">
      <w:pPr>
        <w:rPr>
          <w:rFonts w:cs="Calibri"/>
          <w:szCs w:val="24"/>
          <w:lang w:val="de-DE"/>
        </w:rPr>
      </w:pPr>
      <w:r>
        <w:rPr>
          <w:rFonts w:cs="Calibri"/>
          <w:lang w:val="de-DE"/>
        </w:rPr>
        <w:t>In Bezug auf Personen (km*Passagiere):</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0A0"/>
      </w:tblPr>
      <w:tblGrid>
        <w:gridCol w:w="3252"/>
        <w:gridCol w:w="1321"/>
        <w:gridCol w:w="1321"/>
      </w:tblGrid>
      <w:tr w:rsidR="000B433A" w:rsidRPr="005759E4" w:rsidTr="00464B0A">
        <w:tc>
          <w:tcPr>
            <w:tcW w:w="0" w:type="auto"/>
            <w:tcBorders>
              <w:top w:val="single" w:sz="6" w:space="0" w:color="CCCCCC"/>
              <w:bottom w:val="single" w:sz="6" w:space="0" w:color="CCCCCC"/>
              <w:right w:val="single" w:sz="6" w:space="0" w:color="CCCCCC"/>
            </w:tcBorders>
            <w:shd w:val="clear" w:color="auto" w:fill="E4E4E4"/>
            <w:tcMar>
              <w:top w:w="75" w:type="dxa"/>
              <w:left w:w="75" w:type="dxa"/>
              <w:bottom w:w="75" w:type="dxa"/>
              <w:right w:w="75" w:type="dxa"/>
            </w:tcMar>
          </w:tcPr>
          <w:p w:rsidR="000B433A" w:rsidRPr="005759E4" w:rsidRDefault="000B433A" w:rsidP="008F6F57">
            <w:pPr>
              <w:rPr>
                <w:rFonts w:cs="Calibri"/>
                <w:lang w:val="de-DE"/>
              </w:rPr>
            </w:pPr>
            <w:r w:rsidRPr="005759E4">
              <w:rPr>
                <w:rFonts w:cs="Calibri"/>
                <w:sz w:val="22"/>
                <w:lang w:val="de-DE"/>
              </w:rPr>
              <w:t> </w:t>
            </w:r>
          </w:p>
        </w:tc>
        <w:tc>
          <w:tcPr>
            <w:tcW w:w="0" w:type="auto"/>
            <w:tcBorders>
              <w:top w:val="single" w:sz="6" w:space="0" w:color="CCCCCC"/>
              <w:left w:val="single" w:sz="6" w:space="0" w:color="CCCCCC"/>
              <w:bottom w:val="single" w:sz="6" w:space="0" w:color="CCCCCC"/>
              <w:right w:val="single" w:sz="6" w:space="0" w:color="CCCCCC"/>
            </w:tcBorders>
            <w:shd w:val="clear" w:color="auto" w:fill="E4E4E4"/>
            <w:tcMar>
              <w:top w:w="75" w:type="dxa"/>
              <w:left w:w="75" w:type="dxa"/>
              <w:bottom w:w="75" w:type="dxa"/>
              <w:right w:w="75" w:type="dxa"/>
            </w:tcMar>
          </w:tcPr>
          <w:p w:rsidR="000B433A" w:rsidRPr="005759E4" w:rsidRDefault="000B433A" w:rsidP="008F6F57">
            <w:pPr>
              <w:rPr>
                <w:rFonts w:cs="Calibri"/>
                <w:lang w:val="de-DE"/>
              </w:rPr>
            </w:pPr>
            <w:r w:rsidRPr="005759E4">
              <w:rPr>
                <w:rFonts w:cs="Calibri"/>
                <w:sz w:val="22"/>
                <w:lang w:val="de-DE"/>
              </w:rPr>
              <w:t>2017</w:t>
            </w:r>
          </w:p>
        </w:tc>
        <w:tc>
          <w:tcPr>
            <w:tcW w:w="0" w:type="auto"/>
            <w:tcBorders>
              <w:top w:val="single" w:sz="6" w:space="0" w:color="CCCCCC"/>
              <w:left w:val="single" w:sz="6" w:space="0" w:color="CCCCCC"/>
              <w:bottom w:val="single" w:sz="6" w:space="0" w:color="CCCCCC"/>
            </w:tcBorders>
            <w:shd w:val="clear" w:color="auto" w:fill="E4E4E4"/>
            <w:tcMar>
              <w:top w:w="75" w:type="dxa"/>
              <w:left w:w="75" w:type="dxa"/>
              <w:bottom w:w="75" w:type="dxa"/>
              <w:right w:w="75" w:type="dxa"/>
            </w:tcMar>
          </w:tcPr>
          <w:p w:rsidR="000B433A" w:rsidRPr="005759E4" w:rsidRDefault="000B433A" w:rsidP="008F6F57">
            <w:pPr>
              <w:rPr>
                <w:rFonts w:cs="Calibri"/>
                <w:lang w:val="de-DE"/>
              </w:rPr>
            </w:pPr>
            <w:r w:rsidRPr="005759E4">
              <w:rPr>
                <w:rFonts w:cs="Calibri"/>
                <w:sz w:val="22"/>
                <w:lang w:val="de-DE"/>
              </w:rPr>
              <w:t>2030</w:t>
            </w:r>
          </w:p>
        </w:tc>
      </w:tr>
      <w:tr w:rsidR="000B433A" w:rsidRPr="005759E4" w:rsidTr="00464B0A">
        <w:trPr>
          <w:trHeight w:val="326"/>
        </w:trPr>
        <w:tc>
          <w:tcPr>
            <w:tcW w:w="0" w:type="auto"/>
            <w:tcBorders>
              <w:top w:val="single" w:sz="6" w:space="0" w:color="CCCCCC"/>
              <w:bottom w:val="single" w:sz="6" w:space="0" w:color="CCCCCC"/>
              <w:right w:val="single" w:sz="6" w:space="0" w:color="CCCCCC"/>
            </w:tcBorders>
            <w:shd w:val="clear" w:color="auto" w:fill="E4E4E4"/>
            <w:tcMar>
              <w:top w:w="75" w:type="dxa"/>
              <w:left w:w="75" w:type="dxa"/>
              <w:bottom w:w="75" w:type="dxa"/>
              <w:right w:w="75" w:type="dxa"/>
            </w:tcMar>
          </w:tcPr>
          <w:p w:rsidR="000B433A" w:rsidRPr="005759E4" w:rsidRDefault="000B433A" w:rsidP="008F6F57">
            <w:pPr>
              <w:rPr>
                <w:rFonts w:cs="Calibri"/>
                <w:lang w:val="de-DE"/>
              </w:rPr>
            </w:pPr>
            <w:r w:rsidRPr="005759E4">
              <w:rPr>
                <w:rFonts w:cs="Calibri"/>
                <w:sz w:val="22"/>
                <w:lang w:val="de-DE"/>
              </w:rPr>
              <w:t>Zu Fuß</w:t>
            </w:r>
          </w:p>
        </w:tc>
        <w:tc>
          <w:tcPr>
            <w:tcW w:w="0" w:type="auto"/>
            <w:tcBorders>
              <w:top w:val="single" w:sz="6" w:space="0" w:color="CCCCCC"/>
              <w:left w:val="single" w:sz="6" w:space="0" w:color="CCCCCC"/>
              <w:bottom w:val="single" w:sz="6" w:space="0" w:color="CCCCCC"/>
              <w:right w:val="single" w:sz="6" w:space="0" w:color="CCCCCC"/>
            </w:tcBorders>
            <w:shd w:val="clear" w:color="auto" w:fill="E4E4E4"/>
            <w:tcMar>
              <w:top w:w="75" w:type="dxa"/>
              <w:left w:w="75" w:type="dxa"/>
              <w:bottom w:w="75" w:type="dxa"/>
              <w:right w:w="75" w:type="dxa"/>
            </w:tcMar>
          </w:tcPr>
          <w:p w:rsidR="000B433A" w:rsidRPr="005759E4" w:rsidRDefault="000B433A" w:rsidP="008F6F57">
            <w:pPr>
              <w:rPr>
                <w:rFonts w:cs="Calibri"/>
                <w:lang w:val="de-DE"/>
              </w:rPr>
            </w:pPr>
            <w:r w:rsidRPr="005759E4">
              <w:rPr>
                <w:rFonts w:cs="Calibri"/>
                <w:sz w:val="22"/>
                <w:lang w:val="de-DE"/>
              </w:rPr>
              <w:t>3 %</w:t>
            </w:r>
          </w:p>
        </w:tc>
        <w:tc>
          <w:tcPr>
            <w:tcW w:w="0" w:type="auto"/>
            <w:tcBorders>
              <w:top w:val="single" w:sz="6" w:space="0" w:color="CCCCCC"/>
              <w:left w:val="single" w:sz="6" w:space="0" w:color="CCCCCC"/>
              <w:bottom w:val="single" w:sz="6" w:space="0" w:color="CCCCCC"/>
            </w:tcBorders>
            <w:shd w:val="clear" w:color="auto" w:fill="E4E4E4"/>
            <w:tcMar>
              <w:top w:w="75" w:type="dxa"/>
              <w:left w:w="75" w:type="dxa"/>
              <w:bottom w:w="75" w:type="dxa"/>
              <w:right w:w="75" w:type="dxa"/>
            </w:tcMar>
          </w:tcPr>
          <w:p w:rsidR="000B433A" w:rsidRPr="005759E4" w:rsidRDefault="000B433A" w:rsidP="008F6F57">
            <w:pPr>
              <w:rPr>
                <w:rFonts w:cs="Calibri"/>
                <w:lang w:val="de-DE"/>
              </w:rPr>
            </w:pPr>
            <w:r w:rsidRPr="005759E4">
              <w:rPr>
                <w:rFonts w:cs="Calibri"/>
                <w:sz w:val="22"/>
                <w:lang w:val="de-DE"/>
              </w:rPr>
              <w:t>5 %</w:t>
            </w:r>
          </w:p>
        </w:tc>
      </w:tr>
      <w:tr w:rsidR="000B433A" w:rsidRPr="005759E4" w:rsidTr="00464B0A">
        <w:tc>
          <w:tcPr>
            <w:tcW w:w="0" w:type="auto"/>
            <w:tcBorders>
              <w:top w:val="single" w:sz="6" w:space="0" w:color="CCCCCC"/>
              <w:bottom w:val="single" w:sz="6" w:space="0" w:color="CCCCCC"/>
              <w:right w:val="single" w:sz="6" w:space="0" w:color="CCCCCC"/>
            </w:tcBorders>
            <w:shd w:val="clear" w:color="auto" w:fill="E4E4E4"/>
            <w:tcMar>
              <w:top w:w="75" w:type="dxa"/>
              <w:left w:w="75" w:type="dxa"/>
              <w:bottom w:w="75" w:type="dxa"/>
              <w:right w:w="75" w:type="dxa"/>
            </w:tcMar>
          </w:tcPr>
          <w:p w:rsidR="000B433A" w:rsidRPr="005759E4" w:rsidRDefault="000B433A" w:rsidP="008F6F57">
            <w:pPr>
              <w:rPr>
                <w:rFonts w:cs="Calibri"/>
                <w:lang w:val="de-DE"/>
              </w:rPr>
            </w:pPr>
            <w:r w:rsidRPr="005759E4">
              <w:rPr>
                <w:rFonts w:cs="Calibri"/>
                <w:sz w:val="22"/>
                <w:lang w:val="de-DE"/>
              </w:rPr>
              <w:t>Fahrrad</w:t>
            </w:r>
          </w:p>
        </w:tc>
        <w:tc>
          <w:tcPr>
            <w:tcW w:w="0" w:type="auto"/>
            <w:tcBorders>
              <w:top w:val="single" w:sz="6" w:space="0" w:color="CCCCCC"/>
              <w:left w:val="single" w:sz="6" w:space="0" w:color="CCCCCC"/>
              <w:bottom w:val="single" w:sz="6" w:space="0" w:color="CCCCCC"/>
              <w:right w:val="single" w:sz="6" w:space="0" w:color="CCCCCC"/>
            </w:tcBorders>
            <w:shd w:val="clear" w:color="auto" w:fill="E4E4E4"/>
            <w:tcMar>
              <w:top w:w="75" w:type="dxa"/>
              <w:left w:w="75" w:type="dxa"/>
              <w:bottom w:w="75" w:type="dxa"/>
              <w:right w:w="75" w:type="dxa"/>
            </w:tcMar>
          </w:tcPr>
          <w:p w:rsidR="000B433A" w:rsidRPr="005759E4" w:rsidRDefault="000B433A" w:rsidP="008F6F57">
            <w:pPr>
              <w:rPr>
                <w:rFonts w:cs="Calibri"/>
                <w:lang w:val="de-DE"/>
              </w:rPr>
            </w:pPr>
            <w:r w:rsidRPr="005759E4">
              <w:rPr>
                <w:rFonts w:cs="Calibri"/>
                <w:sz w:val="22"/>
                <w:lang w:val="de-DE"/>
              </w:rPr>
              <w:t>1 %</w:t>
            </w:r>
          </w:p>
        </w:tc>
        <w:tc>
          <w:tcPr>
            <w:tcW w:w="0" w:type="auto"/>
            <w:tcBorders>
              <w:top w:val="single" w:sz="6" w:space="0" w:color="CCCCCC"/>
              <w:left w:val="single" w:sz="6" w:space="0" w:color="CCCCCC"/>
              <w:bottom w:val="single" w:sz="6" w:space="0" w:color="CCCCCC"/>
            </w:tcBorders>
            <w:shd w:val="clear" w:color="auto" w:fill="E4E4E4"/>
            <w:tcMar>
              <w:top w:w="75" w:type="dxa"/>
              <w:left w:w="75" w:type="dxa"/>
              <w:bottom w:w="75" w:type="dxa"/>
              <w:right w:w="75" w:type="dxa"/>
            </w:tcMar>
          </w:tcPr>
          <w:p w:rsidR="000B433A" w:rsidRPr="005759E4" w:rsidRDefault="000B433A" w:rsidP="008F6F57">
            <w:pPr>
              <w:rPr>
                <w:rFonts w:cs="Calibri"/>
                <w:lang w:val="de-DE"/>
              </w:rPr>
            </w:pPr>
            <w:r w:rsidRPr="005759E4">
              <w:rPr>
                <w:rFonts w:cs="Calibri"/>
                <w:sz w:val="22"/>
                <w:lang w:val="de-DE"/>
              </w:rPr>
              <w:t>5 %</w:t>
            </w:r>
          </w:p>
        </w:tc>
      </w:tr>
      <w:tr w:rsidR="000B433A" w:rsidRPr="005759E4" w:rsidTr="00464B0A">
        <w:tc>
          <w:tcPr>
            <w:tcW w:w="0" w:type="auto"/>
            <w:tcBorders>
              <w:top w:val="single" w:sz="6" w:space="0" w:color="CCCCCC"/>
              <w:bottom w:val="single" w:sz="6" w:space="0" w:color="CCCCCC"/>
              <w:right w:val="single" w:sz="6" w:space="0" w:color="CCCCCC"/>
            </w:tcBorders>
            <w:shd w:val="clear" w:color="auto" w:fill="E4E4E4"/>
            <w:tcMar>
              <w:top w:w="75" w:type="dxa"/>
              <w:left w:w="75" w:type="dxa"/>
              <w:bottom w:w="75" w:type="dxa"/>
              <w:right w:w="75" w:type="dxa"/>
            </w:tcMar>
          </w:tcPr>
          <w:p w:rsidR="000B433A" w:rsidRPr="005759E4" w:rsidRDefault="000B433A" w:rsidP="008F6F57">
            <w:pPr>
              <w:rPr>
                <w:rFonts w:cs="Calibri"/>
                <w:lang w:val="de-DE"/>
              </w:rPr>
            </w:pPr>
            <w:r w:rsidRPr="005759E4">
              <w:rPr>
                <w:rFonts w:cs="Calibri"/>
                <w:sz w:val="22"/>
                <w:lang w:val="de-DE"/>
              </w:rPr>
              <w:t>Bus</w:t>
            </w:r>
          </w:p>
        </w:tc>
        <w:tc>
          <w:tcPr>
            <w:tcW w:w="0" w:type="auto"/>
            <w:tcBorders>
              <w:top w:val="single" w:sz="6" w:space="0" w:color="CCCCCC"/>
              <w:left w:val="single" w:sz="6" w:space="0" w:color="CCCCCC"/>
              <w:bottom w:val="single" w:sz="6" w:space="0" w:color="CCCCCC"/>
              <w:right w:val="single" w:sz="6" w:space="0" w:color="CCCCCC"/>
            </w:tcBorders>
            <w:shd w:val="clear" w:color="auto" w:fill="E4E4E4"/>
            <w:tcMar>
              <w:top w:w="75" w:type="dxa"/>
              <w:left w:w="75" w:type="dxa"/>
              <w:bottom w:w="75" w:type="dxa"/>
              <w:right w:w="75" w:type="dxa"/>
            </w:tcMar>
          </w:tcPr>
          <w:p w:rsidR="000B433A" w:rsidRPr="005759E4" w:rsidRDefault="000B433A" w:rsidP="008F6F57">
            <w:pPr>
              <w:rPr>
                <w:rFonts w:cs="Calibri"/>
                <w:lang w:val="de-DE"/>
              </w:rPr>
            </w:pPr>
            <w:r w:rsidRPr="005759E4">
              <w:rPr>
                <w:rFonts w:cs="Calibri"/>
                <w:sz w:val="22"/>
                <w:lang w:val="de-DE"/>
              </w:rPr>
              <w:t>4 %</w:t>
            </w:r>
          </w:p>
        </w:tc>
        <w:tc>
          <w:tcPr>
            <w:tcW w:w="0" w:type="auto"/>
            <w:tcBorders>
              <w:top w:val="single" w:sz="6" w:space="0" w:color="CCCCCC"/>
              <w:left w:val="single" w:sz="6" w:space="0" w:color="CCCCCC"/>
              <w:bottom w:val="single" w:sz="6" w:space="0" w:color="CCCCCC"/>
            </w:tcBorders>
            <w:shd w:val="clear" w:color="auto" w:fill="E4E4E4"/>
            <w:tcMar>
              <w:top w:w="75" w:type="dxa"/>
              <w:left w:w="75" w:type="dxa"/>
              <w:bottom w:w="75" w:type="dxa"/>
              <w:right w:w="75" w:type="dxa"/>
            </w:tcMar>
          </w:tcPr>
          <w:p w:rsidR="000B433A" w:rsidRPr="005759E4" w:rsidRDefault="000B433A" w:rsidP="008F6F57">
            <w:pPr>
              <w:rPr>
                <w:rFonts w:cs="Calibri"/>
                <w:lang w:val="de-DE"/>
              </w:rPr>
            </w:pPr>
            <w:r w:rsidRPr="005759E4">
              <w:rPr>
                <w:rFonts w:cs="Calibri"/>
                <w:sz w:val="22"/>
                <w:lang w:val="de-DE"/>
              </w:rPr>
              <w:t>10 %</w:t>
            </w:r>
          </w:p>
        </w:tc>
      </w:tr>
      <w:tr w:rsidR="000B433A" w:rsidRPr="005759E4" w:rsidTr="00464B0A">
        <w:tc>
          <w:tcPr>
            <w:tcW w:w="0" w:type="auto"/>
            <w:tcBorders>
              <w:top w:val="single" w:sz="6" w:space="0" w:color="CCCCCC"/>
              <w:bottom w:val="single" w:sz="6" w:space="0" w:color="CCCCCC"/>
              <w:right w:val="single" w:sz="6" w:space="0" w:color="CCCCCC"/>
            </w:tcBorders>
            <w:shd w:val="clear" w:color="auto" w:fill="E4E4E4"/>
            <w:tcMar>
              <w:top w:w="75" w:type="dxa"/>
              <w:left w:w="75" w:type="dxa"/>
              <w:bottom w:w="75" w:type="dxa"/>
              <w:right w:w="75" w:type="dxa"/>
            </w:tcMar>
          </w:tcPr>
          <w:p w:rsidR="000B433A" w:rsidRPr="005759E4" w:rsidRDefault="000B433A" w:rsidP="008F6F57">
            <w:pPr>
              <w:rPr>
                <w:rFonts w:cs="Calibri"/>
                <w:lang w:val="de-DE"/>
              </w:rPr>
            </w:pPr>
            <w:r w:rsidRPr="005759E4">
              <w:rPr>
                <w:rFonts w:cs="Calibri"/>
                <w:sz w:val="22"/>
                <w:lang w:val="de-DE"/>
              </w:rPr>
              <w:t>Zug</w:t>
            </w:r>
          </w:p>
        </w:tc>
        <w:tc>
          <w:tcPr>
            <w:tcW w:w="0" w:type="auto"/>
            <w:tcBorders>
              <w:top w:val="single" w:sz="6" w:space="0" w:color="CCCCCC"/>
              <w:left w:val="single" w:sz="6" w:space="0" w:color="CCCCCC"/>
              <w:bottom w:val="single" w:sz="6" w:space="0" w:color="CCCCCC"/>
              <w:right w:val="single" w:sz="6" w:space="0" w:color="CCCCCC"/>
            </w:tcBorders>
            <w:shd w:val="clear" w:color="auto" w:fill="E4E4E4"/>
            <w:tcMar>
              <w:top w:w="75" w:type="dxa"/>
              <w:left w:w="75" w:type="dxa"/>
              <w:bottom w:w="75" w:type="dxa"/>
              <w:right w:w="75" w:type="dxa"/>
            </w:tcMar>
          </w:tcPr>
          <w:p w:rsidR="000B433A" w:rsidRPr="005759E4" w:rsidRDefault="000B433A" w:rsidP="008F6F57">
            <w:pPr>
              <w:rPr>
                <w:rFonts w:cs="Calibri"/>
                <w:lang w:val="de-DE"/>
              </w:rPr>
            </w:pPr>
            <w:r w:rsidRPr="005759E4">
              <w:rPr>
                <w:rFonts w:cs="Calibri"/>
                <w:sz w:val="22"/>
                <w:lang w:val="de-DE"/>
              </w:rPr>
              <w:t>9 %</w:t>
            </w:r>
          </w:p>
        </w:tc>
        <w:tc>
          <w:tcPr>
            <w:tcW w:w="0" w:type="auto"/>
            <w:tcBorders>
              <w:top w:val="single" w:sz="6" w:space="0" w:color="CCCCCC"/>
              <w:left w:val="single" w:sz="6" w:space="0" w:color="CCCCCC"/>
              <w:bottom w:val="single" w:sz="6" w:space="0" w:color="CCCCCC"/>
            </w:tcBorders>
            <w:shd w:val="clear" w:color="auto" w:fill="E4E4E4"/>
            <w:tcMar>
              <w:top w:w="75" w:type="dxa"/>
              <w:left w:w="75" w:type="dxa"/>
              <w:bottom w:w="75" w:type="dxa"/>
              <w:right w:w="75" w:type="dxa"/>
            </w:tcMar>
          </w:tcPr>
          <w:p w:rsidR="000B433A" w:rsidRPr="005759E4" w:rsidRDefault="000B433A" w:rsidP="008F6F57">
            <w:pPr>
              <w:rPr>
                <w:rFonts w:cs="Calibri"/>
                <w:lang w:val="de-DE"/>
              </w:rPr>
            </w:pPr>
            <w:r w:rsidRPr="005759E4">
              <w:rPr>
                <w:rFonts w:cs="Calibri"/>
                <w:sz w:val="22"/>
                <w:lang w:val="de-DE"/>
              </w:rPr>
              <w:t>15 %</w:t>
            </w:r>
          </w:p>
        </w:tc>
      </w:tr>
      <w:tr w:rsidR="000B433A" w:rsidRPr="005759E4" w:rsidTr="00464B0A">
        <w:tc>
          <w:tcPr>
            <w:tcW w:w="0" w:type="auto"/>
            <w:tcBorders>
              <w:top w:val="single" w:sz="6" w:space="0" w:color="CCCCCC"/>
              <w:bottom w:val="single" w:sz="6" w:space="0" w:color="CCCCCC"/>
              <w:right w:val="single" w:sz="6" w:space="0" w:color="CCCCCC"/>
            </w:tcBorders>
            <w:shd w:val="clear" w:color="auto" w:fill="E4E4E4"/>
            <w:tcMar>
              <w:top w:w="75" w:type="dxa"/>
              <w:left w:w="75" w:type="dxa"/>
              <w:bottom w:w="75" w:type="dxa"/>
              <w:right w:w="75" w:type="dxa"/>
            </w:tcMar>
          </w:tcPr>
          <w:p w:rsidR="000B433A" w:rsidRPr="005759E4" w:rsidRDefault="000B433A" w:rsidP="008F6F57">
            <w:pPr>
              <w:rPr>
                <w:rFonts w:cs="Calibri"/>
                <w:lang w:val="de-DE"/>
              </w:rPr>
            </w:pPr>
            <w:r w:rsidRPr="005759E4">
              <w:rPr>
                <w:rFonts w:cs="Calibri"/>
                <w:sz w:val="22"/>
                <w:lang w:val="de-DE"/>
              </w:rPr>
              <w:t>Auto</w:t>
            </w:r>
          </w:p>
        </w:tc>
        <w:tc>
          <w:tcPr>
            <w:tcW w:w="0" w:type="auto"/>
            <w:tcBorders>
              <w:top w:val="single" w:sz="6" w:space="0" w:color="CCCCCC"/>
              <w:left w:val="single" w:sz="6" w:space="0" w:color="CCCCCC"/>
              <w:bottom w:val="single" w:sz="6" w:space="0" w:color="CCCCCC"/>
              <w:right w:val="single" w:sz="6" w:space="0" w:color="CCCCCC"/>
            </w:tcBorders>
            <w:shd w:val="clear" w:color="auto" w:fill="E4E4E4"/>
            <w:tcMar>
              <w:top w:w="75" w:type="dxa"/>
              <w:left w:w="75" w:type="dxa"/>
              <w:bottom w:w="75" w:type="dxa"/>
              <w:right w:w="75" w:type="dxa"/>
            </w:tcMar>
          </w:tcPr>
          <w:p w:rsidR="000B433A" w:rsidRPr="005759E4" w:rsidRDefault="000B433A" w:rsidP="008F6F57">
            <w:pPr>
              <w:rPr>
                <w:rFonts w:cs="Calibri"/>
                <w:lang w:val="de-DE"/>
              </w:rPr>
            </w:pPr>
            <w:r w:rsidRPr="005759E4">
              <w:rPr>
                <w:rFonts w:cs="Calibri"/>
                <w:sz w:val="22"/>
                <w:lang w:val="de-DE"/>
              </w:rPr>
              <w:t>83 %</w:t>
            </w:r>
          </w:p>
        </w:tc>
        <w:tc>
          <w:tcPr>
            <w:tcW w:w="0" w:type="auto"/>
            <w:tcBorders>
              <w:top w:val="single" w:sz="6" w:space="0" w:color="CCCCCC"/>
              <w:left w:val="single" w:sz="6" w:space="0" w:color="CCCCCC"/>
              <w:bottom w:val="single" w:sz="6" w:space="0" w:color="CCCCCC"/>
            </w:tcBorders>
            <w:shd w:val="clear" w:color="auto" w:fill="E4E4E4"/>
            <w:tcMar>
              <w:top w:w="75" w:type="dxa"/>
              <w:left w:w="75" w:type="dxa"/>
              <w:bottom w:w="75" w:type="dxa"/>
              <w:right w:w="75" w:type="dxa"/>
            </w:tcMar>
          </w:tcPr>
          <w:p w:rsidR="000B433A" w:rsidRPr="005759E4" w:rsidRDefault="000B433A" w:rsidP="008F6F57">
            <w:pPr>
              <w:rPr>
                <w:rFonts w:cs="Calibri"/>
                <w:lang w:val="de-DE"/>
              </w:rPr>
            </w:pPr>
            <w:r w:rsidRPr="005759E4">
              <w:rPr>
                <w:rFonts w:cs="Calibri"/>
                <w:sz w:val="22"/>
                <w:lang w:val="de-DE"/>
              </w:rPr>
              <w:t>60 %</w:t>
            </w:r>
          </w:p>
        </w:tc>
      </w:tr>
      <w:tr w:rsidR="000B433A" w:rsidRPr="005759E4" w:rsidTr="00464B0A">
        <w:tc>
          <w:tcPr>
            <w:tcW w:w="0" w:type="auto"/>
            <w:tcBorders>
              <w:top w:val="single" w:sz="6" w:space="0" w:color="CCCCCC"/>
              <w:bottom w:val="single" w:sz="6" w:space="0" w:color="CCCCCC"/>
              <w:right w:val="single" w:sz="6" w:space="0" w:color="CCCCCC"/>
            </w:tcBorders>
            <w:shd w:val="clear" w:color="auto" w:fill="E4E4E4"/>
            <w:tcMar>
              <w:top w:w="75" w:type="dxa"/>
              <w:left w:w="75" w:type="dxa"/>
              <w:bottom w:w="75" w:type="dxa"/>
              <w:right w:w="75" w:type="dxa"/>
            </w:tcMar>
          </w:tcPr>
          <w:p w:rsidR="000B433A" w:rsidRPr="005759E4" w:rsidRDefault="000B433A" w:rsidP="008F6F57">
            <w:pPr>
              <w:rPr>
                <w:rFonts w:cs="Calibri"/>
                <w:lang w:val="de-DE"/>
              </w:rPr>
            </w:pPr>
            <w:r w:rsidRPr="005759E4">
              <w:rPr>
                <w:rFonts w:cs="Calibri"/>
                <w:sz w:val="22"/>
                <w:lang w:val="de-DE"/>
              </w:rPr>
              <w:t>Durchschnittliche Ladung pro Auto</w:t>
            </w:r>
          </w:p>
        </w:tc>
        <w:tc>
          <w:tcPr>
            <w:tcW w:w="0" w:type="auto"/>
            <w:tcBorders>
              <w:top w:val="single" w:sz="6" w:space="0" w:color="CCCCCC"/>
              <w:left w:val="single" w:sz="6" w:space="0" w:color="CCCCCC"/>
              <w:bottom w:val="single" w:sz="6" w:space="0" w:color="CCCCCC"/>
              <w:right w:val="single" w:sz="6" w:space="0" w:color="CCCCCC"/>
            </w:tcBorders>
            <w:shd w:val="clear" w:color="auto" w:fill="E4E4E4"/>
            <w:tcMar>
              <w:top w:w="75" w:type="dxa"/>
              <w:left w:w="75" w:type="dxa"/>
              <w:bottom w:w="75" w:type="dxa"/>
              <w:right w:w="75" w:type="dxa"/>
            </w:tcMar>
          </w:tcPr>
          <w:p w:rsidR="000B433A" w:rsidRPr="005759E4" w:rsidRDefault="000B433A" w:rsidP="008F6F57">
            <w:pPr>
              <w:rPr>
                <w:rFonts w:cs="Calibri"/>
                <w:lang w:val="de-DE"/>
              </w:rPr>
            </w:pPr>
            <w:r w:rsidRPr="005759E4">
              <w:rPr>
                <w:rFonts w:cs="Calibri"/>
                <w:sz w:val="22"/>
                <w:lang w:val="de-DE"/>
              </w:rPr>
              <w:t>1,3 Personen</w:t>
            </w:r>
          </w:p>
        </w:tc>
        <w:tc>
          <w:tcPr>
            <w:tcW w:w="0" w:type="auto"/>
            <w:tcBorders>
              <w:top w:val="single" w:sz="6" w:space="0" w:color="CCCCCC"/>
              <w:left w:val="single" w:sz="6" w:space="0" w:color="CCCCCC"/>
              <w:bottom w:val="single" w:sz="6" w:space="0" w:color="CCCCCC"/>
            </w:tcBorders>
            <w:shd w:val="clear" w:color="auto" w:fill="E4E4E4"/>
            <w:tcMar>
              <w:top w:w="75" w:type="dxa"/>
              <w:left w:w="75" w:type="dxa"/>
              <w:bottom w:w="75" w:type="dxa"/>
              <w:right w:w="75" w:type="dxa"/>
            </w:tcMar>
          </w:tcPr>
          <w:p w:rsidR="000B433A" w:rsidRPr="005759E4" w:rsidRDefault="000B433A" w:rsidP="008F6F57">
            <w:pPr>
              <w:keepNext/>
              <w:rPr>
                <w:rFonts w:cs="Calibri"/>
                <w:lang w:val="de-DE"/>
              </w:rPr>
            </w:pPr>
            <w:r w:rsidRPr="005759E4">
              <w:rPr>
                <w:rFonts w:cs="Calibri"/>
                <w:sz w:val="22"/>
                <w:lang w:val="de-DE"/>
              </w:rPr>
              <w:t>1,8 Personen</w:t>
            </w:r>
          </w:p>
        </w:tc>
      </w:tr>
    </w:tbl>
    <w:p w:rsidR="000B433A" w:rsidRPr="005F5D9D" w:rsidRDefault="000B433A" w:rsidP="008F6F57">
      <w:pPr>
        <w:pStyle w:val="Lgende"/>
        <w:rPr>
          <w:rFonts w:cs="Calibri"/>
          <w:sz w:val="22"/>
          <w:lang w:val="de-DE"/>
        </w:rPr>
      </w:pPr>
      <w:r>
        <w:rPr>
          <w:rFonts w:cs="Calibri"/>
          <w:lang w:val="de-DE"/>
        </w:rPr>
        <w:t xml:space="preserve">Tabelle </w:t>
      </w:r>
      <w:r w:rsidR="005A6B21" w:rsidRPr="005F5D9D">
        <w:rPr>
          <w:rFonts w:cs="Calibri"/>
          <w:lang w:val="de-DE"/>
        </w:rPr>
        <w:fldChar w:fldCharType="begin"/>
      </w:r>
      <w:r w:rsidRPr="005F5D9D">
        <w:rPr>
          <w:rFonts w:cs="Calibri"/>
          <w:lang w:val="de-DE"/>
        </w:rPr>
        <w:instrText xml:space="preserve"> SEQ Tableau \* ARABIC </w:instrText>
      </w:r>
      <w:r w:rsidR="005A6B21" w:rsidRPr="005F5D9D">
        <w:rPr>
          <w:rFonts w:cs="Calibri"/>
          <w:lang w:val="de-DE"/>
        </w:rPr>
        <w:fldChar w:fldCharType="separate"/>
      </w:r>
      <w:r>
        <w:rPr>
          <w:rFonts w:cs="Calibri"/>
          <w:lang w:val="de-DE"/>
        </w:rPr>
        <w:t>10</w:t>
      </w:r>
      <w:r w:rsidR="005A6B21" w:rsidRPr="005F5D9D">
        <w:rPr>
          <w:rFonts w:cs="Calibri"/>
          <w:lang w:val="de-DE"/>
        </w:rPr>
        <w:fldChar w:fldCharType="end"/>
      </w:r>
      <w:r>
        <w:rPr>
          <w:rFonts w:cs="Calibri"/>
          <w:lang w:val="de-DE"/>
        </w:rPr>
        <w:t xml:space="preserve"> Verteilung der gefahrenen Kilometer pro Person</w:t>
      </w:r>
    </w:p>
    <w:p w:rsidR="000B433A" w:rsidRPr="005F5D9D" w:rsidRDefault="000B433A" w:rsidP="008F6F57">
      <w:pPr>
        <w:rPr>
          <w:rFonts w:cs="Calibri"/>
          <w:sz w:val="22"/>
          <w:lang w:val="de-DE"/>
        </w:rPr>
      </w:pPr>
      <w:r>
        <w:rPr>
          <w:rFonts w:cs="Calibri"/>
          <w:sz w:val="22"/>
          <w:lang w:val="de-DE"/>
        </w:rPr>
        <w:t>In Bezug auf die Mobilität von Gütern (in Tonnen*km):</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0A0"/>
      </w:tblPr>
      <w:tblGrid>
        <w:gridCol w:w="845"/>
        <w:gridCol w:w="597"/>
        <w:gridCol w:w="597"/>
      </w:tblGrid>
      <w:tr w:rsidR="000B433A" w:rsidRPr="005759E4" w:rsidTr="00464B0A">
        <w:tc>
          <w:tcPr>
            <w:tcW w:w="0" w:type="auto"/>
            <w:tcBorders>
              <w:top w:val="single" w:sz="6" w:space="0" w:color="CCCCCC"/>
              <w:bottom w:val="single" w:sz="6" w:space="0" w:color="CCCCCC"/>
              <w:right w:val="single" w:sz="6" w:space="0" w:color="CCCCCC"/>
            </w:tcBorders>
            <w:shd w:val="clear" w:color="auto" w:fill="E4E4E4"/>
            <w:tcMar>
              <w:top w:w="75" w:type="dxa"/>
              <w:left w:w="75" w:type="dxa"/>
              <w:bottom w:w="75" w:type="dxa"/>
              <w:right w:w="75" w:type="dxa"/>
            </w:tcMar>
          </w:tcPr>
          <w:p w:rsidR="000B433A" w:rsidRPr="005759E4" w:rsidRDefault="000B433A" w:rsidP="008F6F57">
            <w:pPr>
              <w:rPr>
                <w:rFonts w:cs="Calibri"/>
                <w:lang w:val="de-DE"/>
              </w:rPr>
            </w:pPr>
            <w:r w:rsidRPr="005759E4">
              <w:rPr>
                <w:rFonts w:cs="Calibri"/>
                <w:sz w:val="22"/>
                <w:lang w:val="de-DE"/>
              </w:rPr>
              <w:t> </w:t>
            </w:r>
          </w:p>
        </w:tc>
        <w:tc>
          <w:tcPr>
            <w:tcW w:w="0" w:type="auto"/>
            <w:tcBorders>
              <w:top w:val="single" w:sz="6" w:space="0" w:color="CCCCCC"/>
              <w:left w:val="single" w:sz="6" w:space="0" w:color="CCCCCC"/>
              <w:bottom w:val="single" w:sz="6" w:space="0" w:color="CCCCCC"/>
              <w:right w:val="single" w:sz="6" w:space="0" w:color="CCCCCC"/>
            </w:tcBorders>
            <w:shd w:val="clear" w:color="auto" w:fill="E4E4E4"/>
            <w:tcMar>
              <w:top w:w="75" w:type="dxa"/>
              <w:left w:w="75" w:type="dxa"/>
              <w:bottom w:w="75" w:type="dxa"/>
              <w:right w:w="75" w:type="dxa"/>
            </w:tcMar>
          </w:tcPr>
          <w:p w:rsidR="000B433A" w:rsidRPr="005759E4" w:rsidRDefault="000B433A" w:rsidP="008F6F57">
            <w:pPr>
              <w:rPr>
                <w:rFonts w:cs="Calibri"/>
                <w:lang w:val="de-DE"/>
              </w:rPr>
            </w:pPr>
            <w:r w:rsidRPr="005759E4">
              <w:rPr>
                <w:rFonts w:cs="Calibri"/>
                <w:sz w:val="22"/>
                <w:lang w:val="de-DE"/>
              </w:rPr>
              <w:t>2017</w:t>
            </w:r>
          </w:p>
        </w:tc>
        <w:tc>
          <w:tcPr>
            <w:tcW w:w="0" w:type="auto"/>
            <w:tcBorders>
              <w:top w:val="single" w:sz="6" w:space="0" w:color="CCCCCC"/>
              <w:left w:val="single" w:sz="6" w:space="0" w:color="CCCCCC"/>
              <w:bottom w:val="single" w:sz="6" w:space="0" w:color="CCCCCC"/>
            </w:tcBorders>
            <w:shd w:val="clear" w:color="auto" w:fill="E4E4E4"/>
            <w:tcMar>
              <w:top w:w="75" w:type="dxa"/>
              <w:left w:w="75" w:type="dxa"/>
              <w:bottom w:w="75" w:type="dxa"/>
              <w:right w:w="75" w:type="dxa"/>
            </w:tcMar>
          </w:tcPr>
          <w:p w:rsidR="000B433A" w:rsidRPr="005759E4" w:rsidRDefault="000B433A" w:rsidP="008F6F57">
            <w:pPr>
              <w:rPr>
                <w:rFonts w:cs="Calibri"/>
                <w:lang w:val="de-DE"/>
              </w:rPr>
            </w:pPr>
            <w:r w:rsidRPr="005759E4">
              <w:rPr>
                <w:rFonts w:cs="Calibri"/>
                <w:sz w:val="22"/>
                <w:lang w:val="de-DE"/>
              </w:rPr>
              <w:t>2030</w:t>
            </w:r>
          </w:p>
        </w:tc>
      </w:tr>
      <w:tr w:rsidR="000B433A" w:rsidRPr="005759E4" w:rsidTr="00464B0A">
        <w:tc>
          <w:tcPr>
            <w:tcW w:w="0" w:type="auto"/>
            <w:tcBorders>
              <w:top w:val="single" w:sz="6" w:space="0" w:color="CCCCCC"/>
              <w:bottom w:val="single" w:sz="6" w:space="0" w:color="CCCCCC"/>
              <w:right w:val="single" w:sz="6" w:space="0" w:color="CCCCCC"/>
            </w:tcBorders>
            <w:shd w:val="clear" w:color="auto" w:fill="E4E4E4"/>
            <w:tcMar>
              <w:top w:w="75" w:type="dxa"/>
              <w:left w:w="75" w:type="dxa"/>
              <w:bottom w:w="75" w:type="dxa"/>
              <w:right w:w="75" w:type="dxa"/>
            </w:tcMar>
          </w:tcPr>
          <w:p w:rsidR="000B433A" w:rsidRPr="005759E4" w:rsidRDefault="000B433A" w:rsidP="008F6F57">
            <w:pPr>
              <w:rPr>
                <w:rFonts w:cs="Calibri"/>
                <w:lang w:val="de-DE"/>
              </w:rPr>
            </w:pPr>
            <w:r w:rsidRPr="005759E4">
              <w:rPr>
                <w:rFonts w:cs="Calibri"/>
                <w:sz w:val="22"/>
                <w:lang w:val="de-DE"/>
              </w:rPr>
              <w:t>Schiene</w:t>
            </w:r>
          </w:p>
        </w:tc>
        <w:tc>
          <w:tcPr>
            <w:tcW w:w="0" w:type="auto"/>
            <w:tcBorders>
              <w:top w:val="single" w:sz="6" w:space="0" w:color="CCCCCC"/>
              <w:left w:val="single" w:sz="6" w:space="0" w:color="CCCCCC"/>
              <w:bottom w:val="single" w:sz="6" w:space="0" w:color="CCCCCC"/>
              <w:right w:val="single" w:sz="6" w:space="0" w:color="CCCCCC"/>
            </w:tcBorders>
            <w:shd w:val="clear" w:color="auto" w:fill="E4E4E4"/>
            <w:tcMar>
              <w:top w:w="75" w:type="dxa"/>
              <w:left w:w="75" w:type="dxa"/>
              <w:bottom w:w="75" w:type="dxa"/>
              <w:right w:w="75" w:type="dxa"/>
            </w:tcMar>
          </w:tcPr>
          <w:p w:rsidR="000B433A" w:rsidRPr="005759E4" w:rsidRDefault="000B433A" w:rsidP="008F6F57">
            <w:pPr>
              <w:rPr>
                <w:rFonts w:cs="Calibri"/>
                <w:lang w:val="de-DE"/>
              </w:rPr>
            </w:pPr>
            <w:r w:rsidRPr="005759E4">
              <w:rPr>
                <w:rFonts w:cs="Calibri"/>
                <w:sz w:val="22"/>
                <w:lang w:val="de-DE"/>
              </w:rPr>
              <w:t>4 %</w:t>
            </w:r>
          </w:p>
        </w:tc>
        <w:tc>
          <w:tcPr>
            <w:tcW w:w="0" w:type="auto"/>
            <w:tcBorders>
              <w:top w:val="single" w:sz="6" w:space="0" w:color="CCCCCC"/>
              <w:left w:val="single" w:sz="6" w:space="0" w:color="CCCCCC"/>
              <w:bottom w:val="single" w:sz="6" w:space="0" w:color="CCCCCC"/>
            </w:tcBorders>
            <w:shd w:val="clear" w:color="auto" w:fill="E4E4E4"/>
            <w:tcMar>
              <w:top w:w="75" w:type="dxa"/>
              <w:left w:w="75" w:type="dxa"/>
              <w:bottom w:w="75" w:type="dxa"/>
              <w:right w:w="75" w:type="dxa"/>
            </w:tcMar>
          </w:tcPr>
          <w:p w:rsidR="000B433A" w:rsidRPr="005759E4" w:rsidRDefault="000B433A" w:rsidP="008F6F57">
            <w:pPr>
              <w:rPr>
                <w:rFonts w:cs="Calibri"/>
                <w:lang w:val="de-DE"/>
              </w:rPr>
            </w:pPr>
            <w:r w:rsidRPr="005759E4">
              <w:rPr>
                <w:rFonts w:cs="Calibri"/>
                <w:sz w:val="22"/>
                <w:lang w:val="de-DE"/>
              </w:rPr>
              <w:t>7 %</w:t>
            </w:r>
          </w:p>
        </w:tc>
      </w:tr>
      <w:tr w:rsidR="000B433A" w:rsidRPr="005759E4" w:rsidTr="00464B0A">
        <w:tc>
          <w:tcPr>
            <w:tcW w:w="0" w:type="auto"/>
            <w:tcBorders>
              <w:top w:val="single" w:sz="6" w:space="0" w:color="CCCCCC"/>
              <w:bottom w:val="single" w:sz="6" w:space="0" w:color="CCCCCC"/>
              <w:right w:val="single" w:sz="6" w:space="0" w:color="CCCCCC"/>
            </w:tcBorders>
            <w:shd w:val="clear" w:color="auto" w:fill="E4E4E4"/>
            <w:tcMar>
              <w:top w:w="75" w:type="dxa"/>
              <w:left w:w="75" w:type="dxa"/>
              <w:bottom w:w="75" w:type="dxa"/>
              <w:right w:w="75" w:type="dxa"/>
            </w:tcMar>
          </w:tcPr>
          <w:p w:rsidR="000B433A" w:rsidRPr="005759E4" w:rsidRDefault="000B433A" w:rsidP="008F6F57">
            <w:pPr>
              <w:rPr>
                <w:rFonts w:cs="Calibri"/>
                <w:lang w:val="de-DE"/>
              </w:rPr>
            </w:pPr>
            <w:r w:rsidRPr="005759E4">
              <w:rPr>
                <w:rFonts w:cs="Calibri"/>
                <w:sz w:val="22"/>
                <w:lang w:val="de-DE"/>
              </w:rPr>
              <w:t>Wasser</w:t>
            </w:r>
          </w:p>
        </w:tc>
        <w:tc>
          <w:tcPr>
            <w:tcW w:w="0" w:type="auto"/>
            <w:tcBorders>
              <w:top w:val="single" w:sz="6" w:space="0" w:color="CCCCCC"/>
              <w:left w:val="single" w:sz="6" w:space="0" w:color="CCCCCC"/>
              <w:bottom w:val="single" w:sz="6" w:space="0" w:color="CCCCCC"/>
              <w:right w:val="single" w:sz="6" w:space="0" w:color="CCCCCC"/>
            </w:tcBorders>
            <w:shd w:val="clear" w:color="auto" w:fill="E4E4E4"/>
            <w:tcMar>
              <w:top w:w="75" w:type="dxa"/>
              <w:left w:w="75" w:type="dxa"/>
              <w:bottom w:w="75" w:type="dxa"/>
              <w:right w:w="75" w:type="dxa"/>
            </w:tcMar>
          </w:tcPr>
          <w:p w:rsidR="000B433A" w:rsidRPr="005759E4" w:rsidRDefault="000B433A" w:rsidP="008F6F57">
            <w:pPr>
              <w:rPr>
                <w:rFonts w:cs="Calibri"/>
                <w:lang w:val="de-DE"/>
              </w:rPr>
            </w:pPr>
            <w:r w:rsidRPr="005759E4">
              <w:rPr>
                <w:rFonts w:cs="Calibri"/>
                <w:sz w:val="22"/>
                <w:lang w:val="de-DE"/>
              </w:rPr>
              <w:t>14 %</w:t>
            </w:r>
          </w:p>
        </w:tc>
        <w:tc>
          <w:tcPr>
            <w:tcW w:w="0" w:type="auto"/>
            <w:tcBorders>
              <w:top w:val="single" w:sz="6" w:space="0" w:color="CCCCCC"/>
              <w:left w:val="single" w:sz="6" w:space="0" w:color="CCCCCC"/>
              <w:bottom w:val="single" w:sz="6" w:space="0" w:color="CCCCCC"/>
            </w:tcBorders>
            <w:shd w:val="clear" w:color="auto" w:fill="E4E4E4"/>
            <w:tcMar>
              <w:top w:w="75" w:type="dxa"/>
              <w:left w:w="75" w:type="dxa"/>
              <w:bottom w:w="75" w:type="dxa"/>
              <w:right w:w="75" w:type="dxa"/>
            </w:tcMar>
          </w:tcPr>
          <w:p w:rsidR="000B433A" w:rsidRPr="005759E4" w:rsidRDefault="000B433A" w:rsidP="008F6F57">
            <w:pPr>
              <w:rPr>
                <w:rFonts w:cs="Calibri"/>
                <w:lang w:val="de-DE"/>
              </w:rPr>
            </w:pPr>
            <w:r w:rsidRPr="005759E4">
              <w:rPr>
                <w:rFonts w:cs="Calibri"/>
                <w:sz w:val="22"/>
                <w:lang w:val="de-DE"/>
              </w:rPr>
              <w:t>18 %</w:t>
            </w:r>
          </w:p>
        </w:tc>
      </w:tr>
      <w:tr w:rsidR="000B433A" w:rsidRPr="005759E4" w:rsidTr="00464B0A">
        <w:tc>
          <w:tcPr>
            <w:tcW w:w="0" w:type="auto"/>
            <w:tcBorders>
              <w:top w:val="single" w:sz="6" w:space="0" w:color="CCCCCC"/>
              <w:bottom w:val="single" w:sz="6" w:space="0" w:color="CCCCCC"/>
              <w:right w:val="single" w:sz="6" w:space="0" w:color="CCCCCC"/>
            </w:tcBorders>
            <w:shd w:val="clear" w:color="auto" w:fill="E4E4E4"/>
            <w:tcMar>
              <w:top w:w="75" w:type="dxa"/>
              <w:left w:w="75" w:type="dxa"/>
              <w:bottom w:w="75" w:type="dxa"/>
              <w:right w:w="75" w:type="dxa"/>
            </w:tcMar>
          </w:tcPr>
          <w:p w:rsidR="000B433A" w:rsidRPr="005759E4" w:rsidRDefault="000B433A" w:rsidP="008F6F57">
            <w:pPr>
              <w:rPr>
                <w:rFonts w:cs="Calibri"/>
                <w:lang w:val="de-DE"/>
              </w:rPr>
            </w:pPr>
            <w:r w:rsidRPr="005759E4">
              <w:rPr>
                <w:rFonts w:cs="Calibri"/>
                <w:sz w:val="22"/>
                <w:lang w:val="de-DE"/>
              </w:rPr>
              <w:t>Straße</w:t>
            </w:r>
          </w:p>
        </w:tc>
        <w:tc>
          <w:tcPr>
            <w:tcW w:w="0" w:type="auto"/>
            <w:tcBorders>
              <w:top w:val="single" w:sz="6" w:space="0" w:color="CCCCCC"/>
              <w:left w:val="single" w:sz="6" w:space="0" w:color="CCCCCC"/>
              <w:bottom w:val="single" w:sz="6" w:space="0" w:color="CCCCCC"/>
              <w:right w:val="single" w:sz="6" w:space="0" w:color="CCCCCC"/>
            </w:tcBorders>
            <w:shd w:val="clear" w:color="auto" w:fill="E4E4E4"/>
            <w:tcMar>
              <w:top w:w="75" w:type="dxa"/>
              <w:left w:w="75" w:type="dxa"/>
              <w:bottom w:w="75" w:type="dxa"/>
              <w:right w:w="75" w:type="dxa"/>
            </w:tcMar>
          </w:tcPr>
          <w:p w:rsidR="000B433A" w:rsidRPr="005759E4" w:rsidRDefault="000B433A" w:rsidP="008F6F57">
            <w:pPr>
              <w:rPr>
                <w:rFonts w:cs="Calibri"/>
                <w:lang w:val="de-DE"/>
              </w:rPr>
            </w:pPr>
            <w:r w:rsidRPr="005759E4">
              <w:rPr>
                <w:rFonts w:cs="Calibri"/>
                <w:sz w:val="22"/>
                <w:lang w:val="de-DE"/>
              </w:rPr>
              <w:t>82 %</w:t>
            </w:r>
          </w:p>
        </w:tc>
        <w:tc>
          <w:tcPr>
            <w:tcW w:w="0" w:type="auto"/>
            <w:tcBorders>
              <w:top w:val="single" w:sz="6" w:space="0" w:color="CCCCCC"/>
              <w:left w:val="single" w:sz="6" w:space="0" w:color="CCCCCC"/>
              <w:bottom w:val="single" w:sz="6" w:space="0" w:color="CCCCCC"/>
            </w:tcBorders>
            <w:shd w:val="clear" w:color="auto" w:fill="E4E4E4"/>
            <w:tcMar>
              <w:top w:w="75" w:type="dxa"/>
              <w:left w:w="75" w:type="dxa"/>
              <w:bottom w:w="75" w:type="dxa"/>
              <w:right w:w="75" w:type="dxa"/>
            </w:tcMar>
          </w:tcPr>
          <w:p w:rsidR="000B433A" w:rsidRPr="005759E4" w:rsidRDefault="000B433A" w:rsidP="008F6F57">
            <w:pPr>
              <w:keepNext/>
              <w:rPr>
                <w:rFonts w:cs="Calibri"/>
                <w:lang w:val="de-DE"/>
              </w:rPr>
            </w:pPr>
            <w:r w:rsidRPr="005759E4">
              <w:rPr>
                <w:rFonts w:cs="Calibri"/>
                <w:sz w:val="22"/>
                <w:lang w:val="de-DE"/>
              </w:rPr>
              <w:t>75 %</w:t>
            </w:r>
          </w:p>
        </w:tc>
      </w:tr>
    </w:tbl>
    <w:p w:rsidR="000B433A" w:rsidRPr="00A808CE" w:rsidRDefault="000B433A" w:rsidP="008F6F57">
      <w:pPr>
        <w:pStyle w:val="Lgende"/>
        <w:rPr>
          <w:rFonts w:cs="Calibri"/>
          <w:sz w:val="22"/>
          <w:lang w:val="de-DE"/>
        </w:rPr>
      </w:pPr>
      <w:r>
        <w:rPr>
          <w:rFonts w:cs="Calibri"/>
          <w:lang w:val="de-DE"/>
        </w:rPr>
        <w:t xml:space="preserve">Tabelle </w:t>
      </w:r>
      <w:r w:rsidR="005A6B21" w:rsidRPr="00A808CE">
        <w:rPr>
          <w:rFonts w:cs="Calibri"/>
          <w:lang w:val="de-DE"/>
        </w:rPr>
        <w:fldChar w:fldCharType="begin"/>
      </w:r>
      <w:r w:rsidRPr="00A808CE">
        <w:rPr>
          <w:rFonts w:cs="Calibri"/>
          <w:lang w:val="de-DE"/>
        </w:rPr>
        <w:instrText xml:space="preserve"> SEQ Tableau \* ARABIC </w:instrText>
      </w:r>
      <w:r w:rsidR="005A6B21" w:rsidRPr="00A808CE">
        <w:rPr>
          <w:rFonts w:cs="Calibri"/>
          <w:lang w:val="de-DE"/>
        </w:rPr>
        <w:fldChar w:fldCharType="separate"/>
      </w:r>
      <w:r>
        <w:rPr>
          <w:rFonts w:cs="Calibri"/>
          <w:lang w:val="de-DE"/>
        </w:rPr>
        <w:t>11</w:t>
      </w:r>
      <w:r w:rsidR="005A6B21" w:rsidRPr="00A808CE">
        <w:rPr>
          <w:rFonts w:cs="Calibri"/>
          <w:lang w:val="de-DE"/>
        </w:rPr>
        <w:fldChar w:fldCharType="end"/>
      </w:r>
      <w:r>
        <w:rPr>
          <w:rFonts w:cs="Calibri"/>
          <w:lang w:val="de-DE"/>
        </w:rPr>
        <w:t xml:space="preserve"> Verteilung der Kilometer auf Güter</w:t>
      </w:r>
    </w:p>
    <w:p w:rsidR="000B433A" w:rsidRPr="00573E6F" w:rsidRDefault="000B433A" w:rsidP="008F6F57">
      <w:pPr>
        <w:rPr>
          <w:rFonts w:cs="Calibri"/>
          <w:szCs w:val="24"/>
          <w:lang w:val="de-DE"/>
        </w:rPr>
      </w:pPr>
      <w:r>
        <w:rPr>
          <w:rFonts w:cs="Calibri"/>
          <w:lang w:val="de-DE"/>
        </w:rPr>
        <w:t>Diese Ambitionen garantieren eine Verringerung der Treibhausgasemissionen des Verkehrs um mindestens 24 % gegenüber 2005, einem im Rahmen des nationalen Energie- und Klimaplans festgelegten Ziel.</w:t>
      </w:r>
    </w:p>
    <w:p w:rsidR="000B433A" w:rsidRPr="005F5D9D" w:rsidRDefault="000B433A" w:rsidP="008F6F57">
      <w:pPr>
        <w:rPr>
          <w:rStyle w:val="Emphaseintense"/>
          <w:rFonts w:eastAsia="MS Mincho" w:cs="Calibri"/>
          <w:szCs w:val="24"/>
          <w:lang w:val="de-DE"/>
        </w:rPr>
      </w:pPr>
      <w:r>
        <w:rPr>
          <w:rStyle w:val="Emphaseintense"/>
          <w:rFonts w:cs="Calibri"/>
          <w:lang w:val="de-DE"/>
        </w:rPr>
        <w:t>Ökologisierung des Fuhrparks</w:t>
      </w:r>
    </w:p>
    <w:p w:rsidR="000B433A" w:rsidRPr="00573E6F" w:rsidRDefault="000B433A" w:rsidP="008F6F57">
      <w:pPr>
        <w:rPr>
          <w:rFonts w:cs="Calibri"/>
          <w:szCs w:val="24"/>
          <w:lang w:val="de-DE"/>
        </w:rPr>
      </w:pPr>
      <w:r>
        <w:rPr>
          <w:rFonts w:cs="Calibri"/>
          <w:lang w:val="de-DE"/>
        </w:rPr>
        <w:t>Das Ziel für die Zusammensetzung des Parks bis 2030, wie nachstehend dargestellt, muss an mittelfristige Veränderungen angepasst werden können, denen man heute nicht vorausgreifen kann, wie Änderungen der Technologie, der Gerätepreise, der Preise für verschiedene Energieträger, die Einführung neuer Produkte auf dem Markt usw.</w:t>
      </w:r>
    </w:p>
    <w:p w:rsidR="000B433A" w:rsidRPr="00573E6F" w:rsidRDefault="000B433A" w:rsidP="008F6F57">
      <w:pPr>
        <w:rPr>
          <w:rFonts w:cs="Calibri"/>
          <w:szCs w:val="24"/>
          <w:lang w:val="de-DE"/>
        </w:rPr>
      </w:pPr>
      <w:r>
        <w:rPr>
          <w:rFonts w:cs="Calibri"/>
          <w:lang w:val="de-DE"/>
        </w:rPr>
        <w:t>Derzeit verbraucht der Transportsektor fast ausschließlich Mineralölprodukte, wobei ein erheblicher Anteil an Dieselkraftstoff, der 2018 56 % der Fahrzeugflotte ausmacht, 1,8 Millionen Fahrzeuge in der Wallonischen Region umfasst. Darüber hinaus treiben Dieselmotoren fast alle anderen Fahrzeuge (Lkw, Busse, Lieferwagen, Traktoren usw.) an. Seit einigen Jahren investieren die Automobilhersteller in die Entwicklung von Elektrofahrzeugen, die viel energieeffizienter sind und die, sofern sie zu 100 % mit Strom angetrieben werden, während des Betriebs kein Gas ausstoßen.</w:t>
      </w:r>
    </w:p>
    <w:p w:rsidR="000B433A" w:rsidRPr="00573E6F" w:rsidRDefault="000B433A" w:rsidP="008F6F57">
      <w:pPr>
        <w:rPr>
          <w:rFonts w:cs="Calibri"/>
          <w:szCs w:val="24"/>
          <w:lang w:val="de-DE"/>
        </w:rPr>
      </w:pPr>
      <w:r>
        <w:rPr>
          <w:rFonts w:cs="Calibri"/>
          <w:lang w:val="de-DE"/>
        </w:rPr>
        <w:t xml:space="preserve">Aus diesem Grund arbeitet die Europäische Union derzeit, ebenso wie nach dem Diesel-Gate-Skandal, an der Neufassung der Abgasvorschriften für Fahrzeuge. Darüber hinaus hat sie die Initiative für die europäische Batterie ins Leben gerufen, um zu versuchen, den Verzug in Europa aufzuholen. Eine Studie schätzt, dass ein Viertel der europäischen Arbeitskräfte in den kommenden Jahren verschwinden könnte, wenn Fahrzeuge importiert und nicht vor Ort hergestellt werden, und dass Europa 206.000 neue Arbeitsplätze verlieren könnte, wenn eine proaktive Politik beschlossen wird. Zwei Hersteller werden in Belgien montierte vollelektrische Fahrzeuge vermarkten, Volvo Gand und Audi Forest. Mit chinesischen Herstellern werden derzeit Verhandlungen über einen möglichen Standort in der Wallonie geführt. </w:t>
      </w:r>
    </w:p>
    <w:p w:rsidR="000B433A" w:rsidRPr="005F5D9D" w:rsidRDefault="000B433A" w:rsidP="008F6F57">
      <w:pPr>
        <w:rPr>
          <w:rStyle w:val="Emphaseintense"/>
          <w:rFonts w:cs="Calibri"/>
          <w:szCs w:val="24"/>
          <w:lang w:val="de-DE"/>
        </w:rPr>
      </w:pPr>
      <w:r>
        <w:rPr>
          <w:rStyle w:val="Emphaseintense"/>
          <w:rFonts w:cs="Calibri"/>
          <w:lang w:val="de-DE"/>
        </w:rPr>
        <w:t>Der Einsatz von Elektrofahrzeugen</w:t>
      </w:r>
    </w:p>
    <w:p w:rsidR="000B433A" w:rsidRPr="00573E6F" w:rsidRDefault="000B433A" w:rsidP="008F6F57">
      <w:pPr>
        <w:rPr>
          <w:rFonts w:cs="Calibri"/>
          <w:szCs w:val="24"/>
          <w:lang w:val="de-DE"/>
        </w:rPr>
      </w:pPr>
      <w:r>
        <w:rPr>
          <w:rFonts w:cs="Calibri"/>
          <w:lang w:val="de-DE"/>
        </w:rPr>
        <w:t>Obwohl „vollelektrische“ Fahrzeuge, „Plug-in-Hybride“ (die aus dem Netz aufgeladen werden können) im Jahr 2017 weniger als 0,3 % des wallonischen Fahrzeugsparks ausmachen und Direkthybride (die ausschließlich durch Rückgewinnung von Bremsenergie aufgeladen werden) noch wenig vorzufinden sind, steigt der Absatz von Elektrofahrzeugen stetig. Verschiedene Faktoren deuten darauf hin, dass sich dieses Wachstum kurzfristig fortsetzen wird:</w:t>
      </w:r>
    </w:p>
    <w:p w:rsidR="000B433A" w:rsidRDefault="000B433A">
      <w:pPr>
        <w:pStyle w:val="Paragraphedeliste"/>
        <w:numPr>
          <w:ilvl w:val="0"/>
          <w:numId w:val="39"/>
        </w:numPr>
        <w:rPr>
          <w:rFonts w:cs="Calibri"/>
          <w:szCs w:val="24"/>
          <w:lang w:val="de-DE"/>
        </w:rPr>
      </w:pPr>
      <w:r>
        <w:rPr>
          <w:rFonts w:cs="Calibri"/>
          <w:lang w:val="de-DE"/>
        </w:rPr>
        <w:t>Die Demokratisierung der Technologie (vor allem die Senkung der Batteriepreise und die Volumenproduktion). Es wird allgemein geschätzt, dass bis 2023 die Kostendifferenz zwischen einem konventionellen Fahrzeug mit Verbrennungsmotor und seinem elektrischen Pendant reduziert und dann sehr schnell auf Null reduziert wird. Bereits heute sind die Gesamtbetriebskosten (</w:t>
      </w:r>
      <w:r w:rsidRPr="00573E6F">
        <w:rPr>
          <w:rFonts w:cs="Calibri"/>
          <w:i/>
          <w:szCs w:val="24"/>
          <w:lang w:val="de-DE"/>
        </w:rPr>
        <w:t>Total Cost of Ownership</w:t>
      </w:r>
      <w:r>
        <w:rPr>
          <w:rFonts w:cs="Calibri"/>
          <w:lang w:val="de-DE"/>
        </w:rPr>
        <w:t>) von Elektroautos niedriger (trotz höherer Anschaffungskosten). Hinsichtlich der Lebensdauer mechanischer Komponenten sollte die durchschnittliche Lebensdauer dieser Fahrzeuge höher sein als die von Fahrzeugen mit Verbrennungsmotor.</w:t>
      </w:r>
    </w:p>
    <w:p w:rsidR="000B433A" w:rsidRDefault="000B433A">
      <w:pPr>
        <w:pStyle w:val="Paragraphedeliste"/>
        <w:numPr>
          <w:ilvl w:val="0"/>
          <w:numId w:val="39"/>
        </w:numPr>
        <w:rPr>
          <w:rFonts w:cs="Calibri"/>
          <w:szCs w:val="24"/>
          <w:lang w:val="de-DE"/>
        </w:rPr>
      </w:pPr>
      <w:r>
        <w:rPr>
          <w:rFonts w:cs="Calibri"/>
          <w:lang w:val="de-DE"/>
        </w:rPr>
        <w:t>Die Diversifizierung der Modelle. Mehrere große historische Automobilkonzerne haben kürzlich ihre Bereitschaft angekündigt, ihre Fahrzeuge in extrem kurzen Zeiträumen zu elektrifizieren. Diese Änderung der Politik dieser Gruppen wird es ermöglichen, ein günstigeres wirtschaftliches Umfeld für den Einsatz von Elektrofahrzeugen zu schaffen.</w:t>
      </w:r>
    </w:p>
    <w:p w:rsidR="000B433A" w:rsidRDefault="000B433A">
      <w:pPr>
        <w:pStyle w:val="Paragraphedeliste"/>
        <w:numPr>
          <w:ilvl w:val="0"/>
          <w:numId w:val="39"/>
        </w:numPr>
        <w:rPr>
          <w:rFonts w:cs="Calibri"/>
          <w:szCs w:val="24"/>
          <w:lang w:val="de-DE"/>
        </w:rPr>
      </w:pPr>
      <w:r>
        <w:rPr>
          <w:rFonts w:cs="Calibri"/>
          <w:lang w:val="de-DE"/>
        </w:rPr>
        <w:t>Die Entwicklung von kleinen Elektrofahrzeugen. Diese Entwicklung, die bereits vor einigen Jahren eingeleitet wurde, bestätigt sich tendenziell. Diese Umwandlung des Ansatzes der Hersteller (historisch oder nicht) entmystifiziert das Label „Luxus“, das oft an Elektrofahrzeugen angebracht wird.</w:t>
      </w:r>
    </w:p>
    <w:p w:rsidR="000B433A" w:rsidRPr="00573E6F" w:rsidRDefault="000B433A" w:rsidP="008F6F57">
      <w:pPr>
        <w:rPr>
          <w:rFonts w:cs="Calibri"/>
          <w:szCs w:val="24"/>
          <w:lang w:val="de-DE"/>
        </w:rPr>
      </w:pPr>
      <w:r>
        <w:rPr>
          <w:rFonts w:cs="Calibri"/>
          <w:lang w:val="de-DE"/>
        </w:rPr>
        <w:t xml:space="preserve">Darüber hinaus werden die europäischen Vorschriften die Hersteller dazu bringen, de facto eine Hybridisierung einzubeziehen, um niedrigere Emissionswerte zu erreichen. </w:t>
      </w:r>
    </w:p>
    <w:p w:rsidR="000B433A" w:rsidRPr="00573E6F" w:rsidRDefault="000B433A" w:rsidP="008F6F57">
      <w:pPr>
        <w:rPr>
          <w:rFonts w:cs="Calibri"/>
          <w:szCs w:val="24"/>
          <w:lang w:val="de-DE"/>
        </w:rPr>
      </w:pPr>
      <w:r>
        <w:rPr>
          <w:rFonts w:cs="Calibri"/>
          <w:lang w:val="de-DE"/>
        </w:rPr>
        <w:t xml:space="preserve">Aus ökologischer Sicht bietet das vollelektrische Auto die größten Vorteile: keine Emissionen während der Nutzung (Achtung: das bedeutet nicht, dass das Fahrzeug neutral ist, da seine Herstellung und vor allem die seiner Batterien viel Energie und Rohstoffe verbraucht) und die Möglichkeit, aus erneuerbaren Energiequellen aufgeladen zu werden. Die Ergebnisse von Plug-in-Hybriden variieren je nach Nutzerverhalten stark (ein Nutzer kann durchaus nur den Verbrennungsmotor nutzen). Die Wallonie strebt daher einen begrenzten Einsatz von Plug-in-Hybriden an. Darüber hinaus wird die Neufassung der europäischen Emissionsvorschriften zu einer breiten Anwendung der Fahrzeughybridisierung führen. Schließlich konzentriert sich der Sektor auch auf den Einsatz von Fahrzeugen mit Brennstoffzellen, die mit Wasserstoff betrieben werden (die, zur Erinnerung, auch elektrisch betrieben werden), aber erst ab 2025, da die Technologie noch nicht vollständig ausgereift ist. </w:t>
      </w:r>
    </w:p>
    <w:p w:rsidR="000B433A" w:rsidRPr="00573E6F" w:rsidRDefault="000B433A" w:rsidP="008F6F57">
      <w:pPr>
        <w:rPr>
          <w:rFonts w:cs="Calibri"/>
          <w:szCs w:val="24"/>
          <w:lang w:val="de-DE"/>
        </w:rPr>
      </w:pPr>
      <w:r>
        <w:rPr>
          <w:rFonts w:cs="Calibri"/>
          <w:lang w:val="de-DE"/>
        </w:rPr>
        <w:t xml:space="preserve">Der </w:t>
      </w:r>
      <w:r>
        <w:rPr>
          <w:rFonts w:cs="Calibri"/>
          <w:b/>
          <w:szCs w:val="24"/>
          <w:lang w:val="de-DE"/>
        </w:rPr>
        <w:t>Park</w:t>
      </w:r>
      <w:r w:rsidRPr="00573E6F">
        <w:rPr>
          <w:rFonts w:cs="Calibri"/>
          <w:b/>
          <w:szCs w:val="24"/>
          <w:lang w:val="de-DE"/>
        </w:rPr>
        <w:t xml:space="preserve"> der Elektro-, Plug-in-Hybrid- und Wasserstoffautos wird voraussichtlich bis 2030 auf 19 %, 5 % bzw. 1 %</w:t>
      </w:r>
      <w:r>
        <w:rPr>
          <w:rFonts w:cs="Calibri"/>
          <w:lang w:val="de-DE"/>
        </w:rPr>
        <w:t xml:space="preserve"> ansteigen.</w:t>
      </w:r>
    </w:p>
    <w:p w:rsidR="000B433A" w:rsidRPr="00573E6F" w:rsidRDefault="000B433A" w:rsidP="008F6F57">
      <w:pPr>
        <w:rPr>
          <w:rFonts w:cs="Calibri"/>
          <w:szCs w:val="24"/>
          <w:lang w:val="de-DE"/>
        </w:rPr>
      </w:pPr>
      <w:r>
        <w:rPr>
          <w:rFonts w:cs="Calibri"/>
          <w:lang w:val="de-DE"/>
        </w:rPr>
        <w:t>Ein Park von 19 % vollelektischen Fahrzeugen (370.000 Fahrzeuge im Jahr 2030) dürfte zu einem Anstieg des Stromverbrauchs auf belgischer Ebene um 1,5 % führen (basierend auf den Zahlen der CREG). Langfristig sollten bidirektionale Batterien eine Optimierung des Netzes ermöglichen, indem sie die Flexibilität bieten, die es ermöglicht, Energie zu speichern und dann in das Netz einzuspeisen (wodurch die Intermittenz der erneuerbaren Energiequellen ausgeglichen werden kann).</w:t>
      </w:r>
    </w:p>
    <w:p w:rsidR="000B433A" w:rsidRPr="005F5D9D" w:rsidRDefault="000B433A" w:rsidP="008F6F57">
      <w:pPr>
        <w:rPr>
          <w:rStyle w:val="Emphaseintense"/>
          <w:rFonts w:eastAsia="MS Mincho" w:cs="Calibri"/>
          <w:szCs w:val="24"/>
          <w:lang w:val="de-DE"/>
        </w:rPr>
      </w:pPr>
      <w:r>
        <w:rPr>
          <w:rStyle w:val="Emphaseintense"/>
          <w:rFonts w:cs="Calibri"/>
          <w:lang w:val="de-DE"/>
        </w:rPr>
        <w:t>Der Rückgang der Verbrennungsmotoren und die Diversifizierung hin zu erdgasbetriebenen Fahrzeugen</w:t>
      </w:r>
    </w:p>
    <w:p w:rsidR="000B433A" w:rsidRPr="00573E6F" w:rsidRDefault="000B433A" w:rsidP="008F6F57">
      <w:pPr>
        <w:rPr>
          <w:rFonts w:cs="Calibri"/>
          <w:szCs w:val="24"/>
          <w:lang w:val="de-DE"/>
        </w:rPr>
      </w:pPr>
      <w:r>
        <w:rPr>
          <w:rFonts w:cs="Calibri"/>
          <w:lang w:val="de-DE"/>
        </w:rPr>
        <w:t xml:space="preserve">Die Dekarbonisierung des Transports führt de facto zu einem Rückgang des Einsatzes von Verbrennungsmotoren. Für eine Reihe von Anwendungen werden jedoch bis 2030 noch mit Verbrennungsmotor angetriebene Fahrzeuge im Einsatz sein. </w:t>
      </w:r>
      <w:r w:rsidRPr="00573E6F">
        <w:rPr>
          <w:rFonts w:cs="Calibri"/>
          <w:b/>
          <w:szCs w:val="24"/>
          <w:lang w:val="de-DE"/>
        </w:rPr>
        <w:t>Es wird erwartet, dass Diesel-, Benzin- und Non-Plug-in-Hybridfahrzeuge (hauptsächlich Benziner) weiterhin 17 %, 27 % bzw. 13 % de</w:t>
      </w:r>
      <w:r>
        <w:rPr>
          <w:rFonts w:cs="Calibri"/>
          <w:b/>
          <w:szCs w:val="24"/>
          <w:lang w:val="de-DE"/>
        </w:rPr>
        <w:t>s</w:t>
      </w:r>
      <w:r w:rsidRPr="00573E6F">
        <w:rPr>
          <w:rFonts w:cs="Calibri"/>
          <w:b/>
          <w:szCs w:val="24"/>
          <w:lang w:val="de-DE"/>
        </w:rPr>
        <w:t xml:space="preserve"> </w:t>
      </w:r>
      <w:r>
        <w:rPr>
          <w:rFonts w:cs="Calibri"/>
          <w:b/>
          <w:szCs w:val="24"/>
          <w:lang w:val="de-DE"/>
        </w:rPr>
        <w:t>Parks</w:t>
      </w:r>
      <w:r w:rsidRPr="00573E6F">
        <w:rPr>
          <w:rFonts w:cs="Calibri"/>
          <w:b/>
          <w:szCs w:val="24"/>
          <w:lang w:val="de-DE"/>
        </w:rPr>
        <w:t xml:space="preserve"> ausmachen.</w:t>
      </w:r>
      <w:r>
        <w:rPr>
          <w:rFonts w:cs="Calibri"/>
          <w:lang w:val="de-DE"/>
        </w:rPr>
        <w:t xml:space="preserve"> Kraftfahrzeuge mit Verbrennungsmotor, die im Jahr 2030 im Einsatz sind, werden leichter und umweltfreundlicher sein, dank neuer Vorschriften zur Verringerung der Luftverschmutzung durch den Fahrzeugverkehr und der Einrichtung von emissionsarmen Zonen. </w:t>
      </w:r>
    </w:p>
    <w:p w:rsidR="000B433A" w:rsidRPr="00573E6F" w:rsidRDefault="000B433A" w:rsidP="008F6F57">
      <w:pPr>
        <w:rPr>
          <w:rFonts w:cs="Calibri"/>
          <w:szCs w:val="24"/>
          <w:lang w:val="de-DE"/>
        </w:rPr>
      </w:pPr>
      <w:r>
        <w:rPr>
          <w:rFonts w:cs="Calibri"/>
          <w:lang w:val="de-DE"/>
        </w:rPr>
        <w:t xml:space="preserve">Eine Umstellung auf </w:t>
      </w:r>
      <w:r w:rsidRPr="00573E6F">
        <w:rPr>
          <w:rFonts w:cs="Calibri"/>
          <w:b/>
          <w:szCs w:val="24"/>
          <w:lang w:val="de-DE"/>
        </w:rPr>
        <w:t>Motoren, die mit CNG (oder Druckgas) betrieben werden, ist geplant, wobei die Fahrzeuge 18 % des Fahrzeugparks erreichen soll</w:t>
      </w:r>
      <w:r>
        <w:rPr>
          <w:rFonts w:cs="Calibri"/>
          <w:lang w:val="de-DE"/>
        </w:rPr>
        <w:t>. CNG ist eine zuverlässige und ausgereifte Alternative mit geringen Mehrkosten beim Kauf des Fahrzeugs, die durch den niedrigeren Kraftstoffpreis schnell ausgeglichen werden. Darüber hinaus sind die Emissionen von Fahrzeugen, die mit CNG fahren, in Bezug auf die Luftqualität deutlich geringer (u. a. Reduzierung von NOx und Feinstaub) und in Bezug auf CO2 etwas geringer. Schließlich könnte lokal produziertes Biomethan in das Netz eingespeist werden oder einige Fahrzeuge in kurzen Lieferketten versorgen.</w:t>
      </w:r>
    </w:p>
    <w:p w:rsidR="000B433A" w:rsidRPr="005F5D9D" w:rsidRDefault="000B433A" w:rsidP="008F6F57">
      <w:pPr>
        <w:rPr>
          <w:rStyle w:val="Emphaseintense"/>
          <w:rFonts w:eastAsia="MS Mincho" w:cs="Calibri"/>
          <w:szCs w:val="24"/>
          <w:lang w:val="de-DE"/>
        </w:rPr>
      </w:pPr>
      <w:r>
        <w:rPr>
          <w:rStyle w:val="Emphaseintense"/>
          <w:rFonts w:cs="Calibri"/>
          <w:lang w:val="de-DE"/>
        </w:rPr>
        <w:t>Diversifizierung der Busflotte</w:t>
      </w:r>
    </w:p>
    <w:p w:rsidR="000B433A" w:rsidRPr="00573E6F" w:rsidRDefault="000B433A" w:rsidP="008F6F57">
      <w:pPr>
        <w:rPr>
          <w:rFonts w:cs="Calibri"/>
          <w:szCs w:val="24"/>
          <w:lang w:val="de-DE"/>
        </w:rPr>
      </w:pPr>
      <w:r>
        <w:rPr>
          <w:rFonts w:cs="Calibri"/>
          <w:lang w:val="de-DE"/>
        </w:rPr>
        <w:t xml:space="preserve">Die TEC-Gruppe hat bereits mit der Ökologisierung ihrer Flotte begonnen, zu der rund 1850 Busse gehören. Diese Änderung führte zum Kauf von 11 Plug-in-Hybridbussen im Jahr 2016 und 71 im Jahr 2017. Bis 2020 werden in der Wallonie 298 Hybridbusse eingesetzt (d. h. 15 % der staatlich kontrollierten Busflotte). Bis 2030 soll der Großteil der Flotte entweder durch Elektrobusse (Batterie oder Wasserstoff), durch Hybride oder Druckgas ersetzt werden. Es werden nur noch konventionelle Dieselbusse im Einsatz sein, für die keine Infrastruktur zu vertretbaren Kosten aufgebaut werden kann, zum Beispiel in ländlichen Gebieten, die zu weit von CNG- oder Wasserstofftankstellen oder Stromladeinfrastrukturen entfernt sind. </w:t>
      </w:r>
    </w:p>
    <w:p w:rsidR="000B433A" w:rsidRPr="00573E6F" w:rsidRDefault="000B433A" w:rsidP="008F6F57">
      <w:pPr>
        <w:rPr>
          <w:rFonts w:cs="Calibri"/>
          <w:color w:val="000000"/>
          <w:szCs w:val="24"/>
          <w:lang w:val="de-DE"/>
        </w:rPr>
      </w:pPr>
      <w:r>
        <w:rPr>
          <w:rFonts w:cs="Calibri"/>
          <w:color w:val="000000"/>
          <w:lang w:val="de-DE"/>
        </w:rPr>
        <w:t>Für Behörden und den öffentlichen Verkehr (Busse) werden alle Neuanschaffungen von Autos und Bussen ab 2025 „emissionsfrei“ sein.</w:t>
      </w:r>
    </w:p>
    <w:p w:rsidR="000B433A" w:rsidRPr="005F5D9D" w:rsidRDefault="000B433A" w:rsidP="008F6F57">
      <w:pPr>
        <w:rPr>
          <w:rStyle w:val="Emphaseintense"/>
          <w:rFonts w:eastAsia="MS Mincho" w:cs="Calibri"/>
          <w:szCs w:val="24"/>
          <w:lang w:val="de-DE"/>
        </w:rPr>
      </w:pPr>
      <w:r>
        <w:rPr>
          <w:rStyle w:val="Emphaseintense"/>
          <w:rFonts w:cs="Calibri"/>
          <w:lang w:val="de-DE"/>
        </w:rPr>
        <w:t>Der Durchbruch des LNG im Güterverkehr per LKW</w:t>
      </w:r>
    </w:p>
    <w:p w:rsidR="000B433A" w:rsidRPr="00573E6F" w:rsidRDefault="000B433A" w:rsidP="008F6F57">
      <w:pPr>
        <w:rPr>
          <w:rFonts w:cs="Calibri"/>
          <w:szCs w:val="24"/>
          <w:lang w:val="de-DE"/>
        </w:rPr>
      </w:pPr>
      <w:r>
        <w:rPr>
          <w:rFonts w:cs="Calibri"/>
          <w:lang w:val="de-DE"/>
        </w:rPr>
        <w:t xml:space="preserve">Da Lkw über weite Strecken fahren können müssen, ist die alternative Technologie, die diese Anforderung am ehesten erfüllt, LNG. Sie verursacht zum Zeitpunkt des Kaufs erhebliche Mehrkosten (fast 25.000 Euro pro LKW), die anschließend durch die niedrigeren Kraftstoffpreise kompensiert werden. Die Elektrifizierung (Batterie und Wasserstoff) ist ebenfalls im Gange, wobei die Technologie noch nicht wettbewerbsfähig ist. Bei Transportern wird eine stärkere und schnellere Diversifizierung erwartet als bei Lkws. </w:t>
      </w:r>
    </w:p>
    <w:p w:rsidR="000B433A" w:rsidRPr="005F5D9D" w:rsidRDefault="000B433A" w:rsidP="008F6F57">
      <w:pPr>
        <w:rPr>
          <w:rStyle w:val="Emphaseintense"/>
          <w:rFonts w:cs="Calibri"/>
          <w:szCs w:val="24"/>
          <w:lang w:val="de-DE"/>
        </w:rPr>
      </w:pPr>
      <w:r>
        <w:rPr>
          <w:rStyle w:val="Emphaseintense"/>
          <w:rFonts w:cs="Calibri"/>
          <w:lang w:val="de-DE"/>
        </w:rPr>
        <w:t>Die Entwicklung der Transportinfrastrukturen</w:t>
      </w:r>
    </w:p>
    <w:p w:rsidR="000B433A" w:rsidRPr="00573E6F" w:rsidRDefault="000B433A" w:rsidP="008F6F57">
      <w:pPr>
        <w:rPr>
          <w:rFonts w:cs="Calibri"/>
          <w:szCs w:val="24"/>
          <w:lang w:val="de-DE"/>
        </w:rPr>
      </w:pPr>
      <w:r>
        <w:rPr>
          <w:rFonts w:cs="Calibri"/>
          <w:lang w:val="de-DE"/>
        </w:rPr>
        <w:t>Im Bereich der Infrastrukturen ist es notwendig, folgenden Ausbau sicherzustellen:</w:t>
      </w:r>
    </w:p>
    <w:p w:rsidR="000B433A" w:rsidRDefault="000B433A">
      <w:pPr>
        <w:pStyle w:val="Paragraphedeliste"/>
        <w:numPr>
          <w:ilvl w:val="0"/>
          <w:numId w:val="40"/>
        </w:numPr>
        <w:rPr>
          <w:rFonts w:cs="Calibri"/>
          <w:szCs w:val="24"/>
          <w:lang w:val="de-DE"/>
        </w:rPr>
      </w:pPr>
      <w:r>
        <w:rPr>
          <w:rFonts w:cs="Calibri"/>
          <w:lang w:val="de-DE"/>
        </w:rPr>
        <w:t xml:space="preserve">LNG-Stationen: Bis 2030 müssen 25 LNG-Stationen in Betrieb sein. Diese Stationen werden sich entlang von Autobahnen sowie in Logistikzentren befinden, von denen einige an eine Plattform für die Binnenschifffahrt angeschlossen sind. Einige Stationen (2 oder 3) werden dezentralisiert, um Gas direkt aus lokalen Biomethanisierungsanlagen verteilen zu können. </w:t>
      </w:r>
    </w:p>
    <w:p w:rsidR="000B433A" w:rsidRDefault="000B433A">
      <w:pPr>
        <w:pStyle w:val="Paragraphedeliste"/>
        <w:numPr>
          <w:ilvl w:val="0"/>
          <w:numId w:val="40"/>
        </w:numPr>
        <w:rPr>
          <w:rFonts w:cs="Calibri"/>
          <w:szCs w:val="24"/>
          <w:lang w:val="de-DE"/>
        </w:rPr>
      </w:pPr>
      <w:r>
        <w:rPr>
          <w:rFonts w:cs="Calibri"/>
          <w:lang w:val="de-DE"/>
        </w:rPr>
        <w:t xml:space="preserve">LNG-Stationen: Bis 2030 müssen 220 LNG-Stationen in der Wallonie in Betrieb sein. Einige Stationen (2 oder 3) werden dezentralisiert, um Gas direkt aus lokalen Biomethanisierungsanlagen verteilen zu können. </w:t>
      </w:r>
    </w:p>
    <w:p w:rsidR="000B433A" w:rsidRDefault="000B433A">
      <w:pPr>
        <w:pStyle w:val="Paragraphedeliste"/>
        <w:numPr>
          <w:ilvl w:val="0"/>
          <w:numId w:val="40"/>
        </w:numPr>
        <w:ind w:left="708"/>
        <w:rPr>
          <w:rFonts w:cs="Calibri"/>
          <w:szCs w:val="24"/>
          <w:lang w:val="de-DE"/>
        </w:rPr>
      </w:pPr>
      <w:r>
        <w:rPr>
          <w:rFonts w:cs="Calibri"/>
          <w:lang w:val="de-DE"/>
        </w:rPr>
        <w:t>Der Biogassektor wird unterstützt, um auf kurzen Handelswegen einen signifikanten und wachsenden Gasanteil mit 5 % Biogas im Jahr 2025 und 15 % im Jahr 2030 bereitzustellen. Auch wenn das Erdgasnetz in der Wallonie gut strukturiert ist, wird die Nutzung von Biogas es ermöglichen, den Bedarf in nicht ausgestatteten Zonen zu decken.</w:t>
      </w:r>
    </w:p>
    <w:p w:rsidR="000B433A" w:rsidRDefault="000B433A">
      <w:pPr>
        <w:pStyle w:val="Paragraphedeliste"/>
        <w:numPr>
          <w:ilvl w:val="0"/>
          <w:numId w:val="40"/>
        </w:numPr>
        <w:rPr>
          <w:rFonts w:cs="Calibri"/>
          <w:szCs w:val="24"/>
          <w:lang w:val="de-DE"/>
        </w:rPr>
      </w:pPr>
      <w:r>
        <w:rPr>
          <w:rFonts w:cs="Calibri"/>
          <w:lang w:val="de-DE"/>
        </w:rPr>
        <w:t>Ladestationen für Elektrofahrzeuge: Es werden 6.900 öffentliche Ladestationen eingerichtet. Ein Terminal verfügt in der Regel über 2 Ladestationen. Auf Unternehmensebene werden 185.000 Ladestationen benötigt (mehrere Typen: klassischer Stecker und Stecker für schnelleres Aufladen). Dieser Einsatz sollte mit dem Mobilitätsplan des Unternehmens vereinbar sein, indem er den Einsatz von emissionsarmen oder nicht emittierenden Fahrzeugen in den Flotten der Unternehmen fördert. Der Einsatz von „Superladern“ auf dem Autobahnnetz ist Gegenstand eines weiteren Plans, der von privaten Betreibern umgesetzt wird.</w:t>
      </w:r>
    </w:p>
    <w:p w:rsidR="000B433A" w:rsidRDefault="000B433A">
      <w:pPr>
        <w:pStyle w:val="Paragraphedeliste"/>
        <w:numPr>
          <w:ilvl w:val="0"/>
          <w:numId w:val="40"/>
        </w:numPr>
        <w:rPr>
          <w:rFonts w:cs="Calibri"/>
          <w:szCs w:val="24"/>
          <w:lang w:val="de-DE"/>
        </w:rPr>
      </w:pPr>
      <w:r>
        <w:rPr>
          <w:rFonts w:cs="Calibri"/>
          <w:lang w:val="de-DE"/>
        </w:rPr>
        <w:t>Wasserstoff-Stationen: Der nationale Aktionsrahmen der Richtlinie 2014/94/EG über den Aufbau einer Infrastruktur für alternative Kraftstoffe sieht die Einrichtung von zwei Stationen bis 2020 vor. Das europäische H2BENELUX-Projekt wird den Aufbau einer ersten Station ermöglichen. Der wallonische Investitionsplan sieht 2 bis 2020 vor. Es wird geschätzt, dass der Übergang zu Wasserstoff, hauptsächlich im Schwerlastverkehr, 10 Stationen im Jahr 2025 und 20 im Jahr 2030 notwendig machen wird.</w:t>
      </w:r>
    </w:p>
    <w:p w:rsidR="000B433A" w:rsidRDefault="000B433A">
      <w:pPr>
        <w:pStyle w:val="Titre4"/>
        <w:numPr>
          <w:ilvl w:val="0"/>
          <w:numId w:val="59"/>
        </w:numPr>
        <w:ind w:left="851" w:hanging="851"/>
        <w:rPr>
          <w:rFonts w:ascii="Calibri" w:hAnsi="Calibri" w:cs="Calibri"/>
          <w:lang w:val="de-DE"/>
        </w:rPr>
      </w:pPr>
      <w:r>
        <w:rPr>
          <w:rFonts w:ascii="Calibri" w:hAnsi="Calibri" w:cs="Calibri"/>
          <w:lang w:val="de-DE"/>
        </w:rPr>
        <w:t>Fluorierte Gase</w:t>
      </w:r>
    </w:p>
    <w:p w:rsidR="000B433A" w:rsidRPr="00D44D10" w:rsidRDefault="000B433A" w:rsidP="008F6F57">
      <w:pPr>
        <w:rPr>
          <w:rFonts w:cs="Calibri"/>
          <w:lang w:val="de-DE"/>
        </w:rPr>
      </w:pPr>
      <w:r>
        <w:rPr>
          <w:rFonts w:cs="Calibri"/>
          <w:lang w:val="de-DE"/>
        </w:rPr>
        <w:t xml:space="preserve">Die Emissionen fluorierter Treibhausgase machen 3 % der wallonischen Treibhausgasemissionen aus. Einige Geräte können sehr hohe Emissionen aufweisen. Dies gilt insbesondere für bestimmte Kälteerzeugungsanlagen im Verbrauchermarktsektor, die große Mengen eines Kältemittelgases enthalten können, das sich durch eine Heizleistung von fast 4000 und hohe Leckraten auszeichnet. So emittieren beispielsweise Geräte, die 1 Tonne dieses Gases enthalten und eine jährliche Leckrate von 5 % aufweisen, eine Gasmenge, deren Auswirkung auf die globale Erwärmung der Verbrennung von 75.000 Liter Heizöl entspricht. Daher sollten Maßnahmen gegen diese Emissionsquellen ergriffen werden, insbesondere da alternative Technologien zur Verwendung von Kältemitteln mit geringer oder gar keiner Wärmeleistung verfügbar sind. Maßnahmen zur Verringerung der Treibhausgasemissionen im Bereich der fluorierten Gase gelten als kosteneffizient. </w:t>
      </w:r>
    </w:p>
    <w:p w:rsidR="000B433A" w:rsidRPr="006124BE" w:rsidRDefault="000B433A" w:rsidP="008F6F57">
      <w:pPr>
        <w:rPr>
          <w:rFonts w:cs="Calibri"/>
          <w:szCs w:val="24"/>
          <w:lang w:val="de-DE"/>
        </w:rPr>
      </w:pPr>
      <w:r>
        <w:rPr>
          <w:rFonts w:cs="Calibri"/>
          <w:lang w:val="de-DE"/>
        </w:rPr>
        <w:t>Das übergeordnete Ziel ist es, die Treibhausgasemissionen bis 2030 gegenüber 2005 (gemäß dem Abkommen von Kigali</w:t>
      </w:r>
      <w:r w:rsidRPr="00573E6F">
        <w:rPr>
          <w:rStyle w:val="Appelnotedebasdep"/>
          <w:rFonts w:cs="Calibri"/>
          <w:szCs w:val="24"/>
          <w:lang w:val="de-DE"/>
        </w:rPr>
        <w:footnoteReference w:id="13"/>
      </w:r>
      <w:r>
        <w:rPr>
          <w:rFonts w:cs="Calibri"/>
          <w:lang w:val="de-DE"/>
        </w:rPr>
        <w:t xml:space="preserve">) um 70 % zu senken. </w:t>
      </w:r>
    </w:p>
    <w:p w:rsidR="000B433A" w:rsidRDefault="000B433A">
      <w:pPr>
        <w:pStyle w:val="Titre4"/>
        <w:numPr>
          <w:ilvl w:val="0"/>
          <w:numId w:val="59"/>
        </w:numPr>
        <w:ind w:left="851" w:hanging="851"/>
        <w:rPr>
          <w:rFonts w:ascii="Calibri" w:hAnsi="Calibri" w:cs="Calibri"/>
          <w:lang w:val="de-DE"/>
        </w:rPr>
      </w:pPr>
      <w:r>
        <w:rPr>
          <w:rFonts w:ascii="Calibri" w:hAnsi="Calibri" w:cs="Calibri"/>
          <w:lang w:val="de-DE"/>
        </w:rPr>
        <w:t>Verpflichtungen im Rahmen von LULUCF</w:t>
      </w:r>
    </w:p>
    <w:p w:rsidR="000B433A" w:rsidRPr="005F5D9D" w:rsidRDefault="000B433A" w:rsidP="008F6F57">
      <w:pPr>
        <w:rPr>
          <w:rFonts w:cs="Calibri"/>
          <w:lang w:val="de-DE"/>
        </w:rPr>
      </w:pPr>
      <w:r>
        <w:rPr>
          <w:rFonts w:cs="Calibri"/>
          <w:lang w:val="de-DE"/>
        </w:rPr>
        <w:t>Die vom Europäischen Parlament am 17. April 2018 verabschiedete Verordnung LULUCF 2018/841 schreibt die Erfassung mehrerer Sektoren wie Aufforstung, Entwaldung, Bewirtschaftung von Waldflächen, landwirtschaftliche und Grünlandflächen sowie Kohlenstoff in Holzerzeugnissen vor. Die Erfassung erfolgt nach komplexen Regeln. Für die Forstwirtschaft, die die wichtigste Kohlenstoffsenke in der Wallonischen Region darstellt, basiert die Erfassung auf einer Differenz zu einem Referenzwert, der eine BAU-Projektion bis 2030 darstellt.</w:t>
      </w:r>
    </w:p>
    <w:p w:rsidR="000B433A" w:rsidRPr="005F5D9D" w:rsidRDefault="000B433A" w:rsidP="008F6F57">
      <w:pPr>
        <w:rPr>
          <w:rFonts w:cs="Calibri"/>
          <w:lang w:val="de-DE"/>
        </w:rPr>
      </w:pPr>
      <w:r>
        <w:rPr>
          <w:rFonts w:cs="Calibri"/>
          <w:lang w:val="de-DE"/>
        </w:rPr>
        <w:t>Ziel des Sektors ist es nicht, eine Nettoquelle für Emissionen zu sein (Nicht-Durchfluss-Regel). Wenn die Summe dieser Sektoren zu einer Netto-Kohlenstoffsenke führt, kann sie zum Ausgleich von ESR-Emissionen mit einer Nutzungsobergrenze verwendet werden. Führt dagegen die Summe dieser Sektoren zu einem Nettoemissionsergebnis, könnte dies innerhalb des Sektors teilweise ausgeglichen werden. Darüber hinaus müssen AEA</w:t>
      </w:r>
      <w:r w:rsidRPr="00951A81">
        <w:rPr>
          <w:rFonts w:cs="Calibri"/>
          <w:b/>
          <w:vertAlign w:val="superscript"/>
          <w:lang w:val="de-DE"/>
        </w:rPr>
        <w:footnoteReference w:id="14"/>
      </w:r>
      <w:r>
        <w:rPr>
          <w:rFonts w:cs="Calibri"/>
          <w:lang w:val="de-DE"/>
        </w:rPr>
        <w:t xml:space="preserve"> aus der ESR oder externen Einkäufen zum Ausgleich von Emissionen verwendet werden. </w:t>
      </w:r>
    </w:p>
    <w:p w:rsidR="000B433A" w:rsidRPr="005F5D9D" w:rsidRDefault="000B433A" w:rsidP="00481BA1">
      <w:pPr>
        <w:rPr>
          <w:rFonts w:cs="Calibri"/>
          <w:b/>
          <w:bCs/>
          <w:i/>
          <w:szCs w:val="24"/>
          <w:lang w:val="de-DE"/>
        </w:rPr>
      </w:pPr>
      <w:r>
        <w:rPr>
          <w:rFonts w:cs="Calibri"/>
          <w:lang w:val="de-DE"/>
        </w:rPr>
        <w:t>Die Unsicherheit ist im Vergleich zu 2030 hoch, da die Referenzebene für die Waldbewirtschaftung erst Ende 2018 vorgelegt und 2019 zur endgültigen Annahme im Jahr 2020 überprüft wird. Andererseits würde die Summe der anderen Sektoren (Aufforstung, Entwaldung, Pflanzen- und Grünlandbewirtschaftung) nach den Erfassungsvorschriften derzeit eine Nettoemission für die Jahre 2013 - 2016 in Höhe von 535 kt CO</w:t>
      </w:r>
      <w:r w:rsidRPr="00951A81">
        <w:rPr>
          <w:rFonts w:cs="Calibri"/>
          <w:vertAlign w:val="subscript"/>
          <w:lang w:val="de-DE"/>
        </w:rPr>
        <w:t>2</w:t>
      </w:r>
      <w:r>
        <w:rPr>
          <w:rFonts w:cs="Calibri"/>
          <w:lang w:val="de-DE"/>
        </w:rPr>
        <w:t>-Äquivalent pro Jahr darstellen, von denen 446 kt auf die Aufforstungs-/ Entwaldungsbilanz entfallen, wobei der Rest insbesondere mit der Umwandlung von Grasland in Kulturen oder Lebensräume zusammenhängt. Die Waldfläche ist in der Wallonie relativ stabil. Was das Ungleichgewicht verursacht und den wallonischen Wald zu einer - niedrigen - Netto-Emissionsquelle macht, ist die Art und Weise, wie die tatsächlichen Emissionen berücksichtigt werden: Emissionen durch Entwaldung werden innerhalb des Jahres berücksichtigt, während die Wiederaufforstung nur zu einer progressiven Kohlenstoffspeicherung führt. Abhängig von zukünftigen Landnutzungsänderungen, insbesondere bei der Umwandlung von Wäldern und Grünland, kann sich diese Situation im Zeitraum 2021 - 2030 durchaus fortsetzen, sodass der Sektor eher als (relativ geringe) Emission als eine Kohlenstoffsenke eingestuft werden kann.</w:t>
      </w:r>
    </w:p>
    <w:p w:rsidR="000B433A" w:rsidRPr="00A808CE" w:rsidRDefault="000B433A" w:rsidP="00464B0A">
      <w:pPr>
        <w:pStyle w:val="Titre2"/>
        <w:numPr>
          <w:ilvl w:val="1"/>
          <w:numId w:val="1"/>
        </w:numPr>
        <w:ind w:left="851" w:hanging="851"/>
        <w:rPr>
          <w:rFonts w:ascii="Calibri" w:hAnsi="Calibri" w:cs="Calibri"/>
          <w:color w:val="1F497D"/>
          <w:sz w:val="28"/>
          <w:szCs w:val="28"/>
          <w:lang w:val="de-DE"/>
        </w:rPr>
      </w:pPr>
      <w:bookmarkStart w:id="18" w:name="_Toc7802433"/>
      <w:r>
        <w:rPr>
          <w:rFonts w:ascii="Calibri" w:hAnsi="Calibri" w:cs="Calibri"/>
          <w:color w:val="1F497D"/>
          <w:sz w:val="28"/>
          <w:lang w:val="de-DE"/>
        </w:rPr>
        <w:t>Quantifizierte Verpflichtungen zur Verringerung der Luftschadstoffe</w:t>
      </w:r>
      <w:bookmarkEnd w:id="18"/>
      <w:r>
        <w:rPr>
          <w:rFonts w:ascii="Calibri" w:hAnsi="Calibri" w:cs="Calibri"/>
          <w:color w:val="1F497D"/>
          <w:sz w:val="28"/>
          <w:lang w:val="de-DE"/>
        </w:rPr>
        <w:t xml:space="preserve"> </w:t>
      </w:r>
    </w:p>
    <w:p w:rsidR="000B433A" w:rsidRPr="005F5D9D" w:rsidRDefault="000B433A" w:rsidP="008F6F57">
      <w:pPr>
        <w:pStyle w:val="Sansinterligne"/>
        <w:rPr>
          <w:rFonts w:ascii="Calibri" w:hAnsi="Calibri" w:cs="Calibri"/>
          <w:sz w:val="24"/>
          <w:szCs w:val="24"/>
          <w:lang w:val="de-DE"/>
        </w:rPr>
      </w:pPr>
      <w:r>
        <w:rPr>
          <w:rFonts w:ascii="Calibri" w:hAnsi="Calibri" w:cs="Calibri"/>
          <w:sz w:val="24"/>
          <w:lang w:val="de-DE"/>
        </w:rPr>
        <w:t xml:space="preserve">Die Richtlinie NEC II 2016/2284 verpflichtet die Mitgliedstaaten, ein nationales Programm zur Verringerung bestimmter Luftschadstoffe durchzuführen, um die nach Mitgliedstaaten differenzierten nationalen Ziele bis 2020 und 2030 gegenüber 2005 zu erreichen. </w:t>
      </w:r>
    </w:p>
    <w:p w:rsidR="000B433A" w:rsidRPr="005F5D9D" w:rsidRDefault="000B433A" w:rsidP="008F6F57">
      <w:pPr>
        <w:pStyle w:val="Sansinterligne"/>
        <w:rPr>
          <w:rFonts w:ascii="Calibri" w:hAnsi="Calibri" w:cs="Calibri"/>
          <w:sz w:val="24"/>
          <w:szCs w:val="24"/>
          <w:lang w:val="de-DE"/>
        </w:rPr>
      </w:pPr>
    </w:p>
    <w:p w:rsidR="000B433A" w:rsidRPr="005F5D9D" w:rsidRDefault="000B433A" w:rsidP="008F6F57">
      <w:pPr>
        <w:pStyle w:val="Sansinterligne"/>
        <w:rPr>
          <w:rFonts w:ascii="Calibri" w:hAnsi="Calibri" w:cs="Calibri"/>
          <w:sz w:val="24"/>
          <w:szCs w:val="24"/>
          <w:lang w:val="de-DE"/>
        </w:rPr>
      </w:pPr>
      <w:r>
        <w:rPr>
          <w:rFonts w:ascii="Calibri" w:hAnsi="Calibri" w:cs="Calibri"/>
          <w:sz w:val="24"/>
          <w:lang w:val="de-DE"/>
        </w:rPr>
        <w:t>Dazu gehören die Emissionen von Schwefeloxiden (SO</w:t>
      </w:r>
      <w:r w:rsidRPr="005F5D9D">
        <w:rPr>
          <w:rFonts w:ascii="Calibri" w:hAnsi="Calibri" w:cs="Calibri"/>
          <w:sz w:val="24"/>
          <w:szCs w:val="24"/>
          <w:vertAlign w:val="subscript"/>
          <w:lang w:val="de-DE"/>
        </w:rPr>
        <w:t>2</w:t>
      </w:r>
      <w:r>
        <w:rPr>
          <w:rFonts w:ascii="Calibri" w:hAnsi="Calibri" w:cs="Calibri"/>
          <w:sz w:val="24"/>
          <w:lang w:val="de-DE"/>
        </w:rPr>
        <w:t>), Stickoxiden (NO</w:t>
      </w:r>
      <w:r w:rsidRPr="00951A81">
        <w:rPr>
          <w:rFonts w:ascii="Calibri" w:hAnsi="Calibri" w:cs="Calibri"/>
          <w:sz w:val="24"/>
          <w:szCs w:val="24"/>
          <w:vertAlign w:val="subscript"/>
          <w:lang w:val="de-DE"/>
        </w:rPr>
        <w:t>x</w:t>
      </w:r>
      <w:r>
        <w:rPr>
          <w:rFonts w:ascii="Calibri" w:hAnsi="Calibri" w:cs="Calibri"/>
          <w:sz w:val="24"/>
          <w:lang w:val="de-DE"/>
        </w:rPr>
        <w:t>), flüchtigen organischen Verbindungen (NMVOC), Ammoniak (NH</w:t>
      </w:r>
      <w:r w:rsidRPr="005F5D9D">
        <w:rPr>
          <w:rFonts w:ascii="Calibri" w:hAnsi="Calibri" w:cs="Calibri"/>
          <w:sz w:val="24"/>
          <w:szCs w:val="24"/>
          <w:vertAlign w:val="subscript"/>
          <w:lang w:val="de-DE"/>
        </w:rPr>
        <w:t>3</w:t>
      </w:r>
      <w:r>
        <w:rPr>
          <w:rFonts w:ascii="Calibri" w:hAnsi="Calibri" w:cs="Calibri"/>
          <w:sz w:val="24"/>
          <w:lang w:val="de-DE"/>
        </w:rPr>
        <w:t>) und Feinstaub (PM</w:t>
      </w:r>
      <w:r w:rsidRPr="005F5D9D">
        <w:rPr>
          <w:rFonts w:ascii="Calibri" w:hAnsi="Calibri" w:cs="Calibri"/>
          <w:sz w:val="24"/>
          <w:szCs w:val="24"/>
          <w:vertAlign w:val="subscript"/>
          <w:lang w:val="de-DE"/>
        </w:rPr>
        <w:t>2</w:t>
      </w:r>
      <w:proofErr w:type="gramStart"/>
      <w:r w:rsidRPr="005F5D9D">
        <w:rPr>
          <w:rFonts w:ascii="Calibri" w:hAnsi="Calibri" w:cs="Calibri"/>
          <w:sz w:val="24"/>
          <w:szCs w:val="24"/>
          <w:vertAlign w:val="subscript"/>
          <w:lang w:val="de-DE"/>
        </w:rPr>
        <w:t>,5</w:t>
      </w:r>
      <w:proofErr w:type="gramEnd"/>
      <w:r>
        <w:rPr>
          <w:rFonts w:ascii="Calibri" w:hAnsi="Calibri" w:cs="Calibri"/>
          <w:sz w:val="24"/>
          <w:lang w:val="de-DE"/>
        </w:rPr>
        <w:t>).</w:t>
      </w:r>
    </w:p>
    <w:p w:rsidR="000B433A" w:rsidRPr="005F5D9D" w:rsidRDefault="000B433A" w:rsidP="008F6F57">
      <w:pPr>
        <w:pStyle w:val="Sansinterligne"/>
        <w:rPr>
          <w:rFonts w:ascii="Calibri" w:hAnsi="Calibri" w:cs="Calibri"/>
          <w:sz w:val="24"/>
          <w:szCs w:val="24"/>
          <w:lang w:val="de-DE"/>
        </w:rPr>
      </w:pPr>
    </w:p>
    <w:p w:rsidR="000B433A" w:rsidRPr="009264C7" w:rsidRDefault="000B433A" w:rsidP="008F6F57">
      <w:pPr>
        <w:pStyle w:val="Sansinterligne"/>
        <w:rPr>
          <w:rFonts w:ascii="Calibri" w:hAnsi="Calibri"/>
          <w:sz w:val="24"/>
          <w:szCs w:val="24"/>
          <w:lang w:val="de-DE"/>
        </w:rPr>
      </w:pPr>
      <w:r>
        <w:rPr>
          <w:rFonts w:ascii="Calibri" w:hAnsi="Calibri"/>
          <w:sz w:val="24"/>
          <w:lang w:val="de-DE"/>
        </w:rPr>
        <w:t>Bei den Verpflichtungen in Bezug auf NO</w:t>
      </w:r>
      <w:r w:rsidRPr="009264C7">
        <w:rPr>
          <w:rFonts w:ascii="Calibri" w:hAnsi="Calibri"/>
          <w:sz w:val="24"/>
          <w:szCs w:val="24"/>
          <w:vertAlign w:val="subscript"/>
          <w:lang w:val="de-DE"/>
        </w:rPr>
        <w:t>x</w:t>
      </w:r>
      <w:r>
        <w:rPr>
          <w:rFonts w:ascii="Calibri" w:hAnsi="Calibri"/>
          <w:sz w:val="24"/>
          <w:lang w:val="de-DE"/>
        </w:rPr>
        <w:t>- und VOC-Emissionen werden die Emissionen aus der Düngewirtschaft und landwirtschaftlichen Flächen nicht berücksichtigt.</w:t>
      </w:r>
    </w:p>
    <w:p w:rsidR="000B433A" w:rsidRPr="009264C7" w:rsidRDefault="000B433A" w:rsidP="008F6F57">
      <w:pPr>
        <w:pStyle w:val="Sansinterligne"/>
        <w:rPr>
          <w:rFonts w:ascii="Calibri" w:hAnsi="Calibri"/>
          <w:sz w:val="24"/>
          <w:szCs w:val="24"/>
          <w:lang w:val="de-DE"/>
        </w:rPr>
      </w:pPr>
      <w:r>
        <w:rPr>
          <w:rFonts w:ascii="Calibri" w:hAnsi="Calibri"/>
          <w:sz w:val="24"/>
          <w:lang w:val="de-DE"/>
        </w:rPr>
        <w:t>Im Rahmen der Maßnahmen zur Feinstaubbekämpfung fördert die Richtlinie auch die Verringerung der Rußemissionen (schwarzer Kohlenstoff), die besonders schädlich für die Gesundheit sind.  Jedoch besteht kein quantifiziertes Reduktionsziel für diesen Schadstoff.</w:t>
      </w:r>
    </w:p>
    <w:p w:rsidR="000B433A" w:rsidRPr="005F5D9D" w:rsidRDefault="000B433A" w:rsidP="008F6F57">
      <w:pPr>
        <w:pStyle w:val="Sansinterligne"/>
        <w:rPr>
          <w:rFonts w:ascii="Calibri" w:hAnsi="Calibri" w:cs="Calibri"/>
          <w:sz w:val="24"/>
          <w:szCs w:val="24"/>
          <w:lang w:val="de-DE"/>
        </w:rPr>
      </w:pPr>
    </w:p>
    <w:p w:rsidR="000B433A" w:rsidRPr="005F5D9D" w:rsidRDefault="000B433A" w:rsidP="008F6F57">
      <w:pPr>
        <w:pStyle w:val="Sansinterligne"/>
        <w:rPr>
          <w:rFonts w:ascii="Calibri" w:hAnsi="Calibri" w:cs="Calibri"/>
          <w:sz w:val="24"/>
          <w:szCs w:val="24"/>
          <w:lang w:val="de-DE"/>
        </w:rPr>
      </w:pPr>
      <w:r>
        <w:rPr>
          <w:rFonts w:ascii="Calibri" w:hAnsi="Calibri" w:cs="Calibri"/>
          <w:sz w:val="24"/>
          <w:lang w:val="de-DE"/>
        </w:rPr>
        <w:t xml:space="preserve">Die Belgien gegenüber 2005 auferlegten Verpflichtungen stellen sich wie folgt dar: </w:t>
      </w:r>
    </w:p>
    <w:p w:rsidR="000B433A" w:rsidRPr="005F5D9D" w:rsidRDefault="000B433A" w:rsidP="008F6F57">
      <w:pPr>
        <w:pStyle w:val="Sansinterligne"/>
        <w:rPr>
          <w:rFonts w:ascii="Calibri" w:hAnsi="Calibri" w:cs="Calibri"/>
          <w:sz w:val="24"/>
          <w:szCs w:val="24"/>
          <w:lang w:val="de-DE"/>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36"/>
        <w:gridCol w:w="2592"/>
        <w:gridCol w:w="2552"/>
      </w:tblGrid>
      <w:tr w:rsidR="000B433A" w:rsidRPr="005759E4" w:rsidTr="005759E4">
        <w:tc>
          <w:tcPr>
            <w:tcW w:w="1436" w:type="dxa"/>
            <w:shd w:val="clear" w:color="auto" w:fill="548DD4"/>
          </w:tcPr>
          <w:p w:rsidR="000B433A" w:rsidRPr="005759E4" w:rsidRDefault="000B433A" w:rsidP="005759E4">
            <w:pPr>
              <w:pStyle w:val="Sansinterligne"/>
              <w:rPr>
                <w:rFonts w:ascii="Calibri" w:hAnsi="Calibri" w:cs="Calibri"/>
                <w:sz w:val="24"/>
                <w:szCs w:val="24"/>
                <w:lang w:val="de-DE"/>
              </w:rPr>
            </w:pPr>
            <w:r w:rsidRPr="005759E4">
              <w:rPr>
                <w:rFonts w:ascii="Calibri" w:hAnsi="Calibri" w:cs="Calibri"/>
                <w:sz w:val="24"/>
                <w:lang w:val="de-DE"/>
              </w:rPr>
              <w:t>Dir 2016/2284</w:t>
            </w:r>
          </w:p>
          <w:p w:rsidR="000B433A" w:rsidRPr="005759E4" w:rsidRDefault="000B433A" w:rsidP="005759E4">
            <w:pPr>
              <w:pStyle w:val="Sansinterligne"/>
              <w:rPr>
                <w:rFonts w:ascii="Calibri" w:hAnsi="Calibri" w:cs="Calibri"/>
                <w:sz w:val="24"/>
                <w:szCs w:val="24"/>
                <w:lang w:val="de-DE"/>
              </w:rPr>
            </w:pPr>
          </w:p>
        </w:tc>
        <w:tc>
          <w:tcPr>
            <w:tcW w:w="2592" w:type="dxa"/>
            <w:shd w:val="clear" w:color="auto" w:fill="548DD4"/>
          </w:tcPr>
          <w:p w:rsidR="000B433A" w:rsidRPr="005759E4" w:rsidRDefault="000B433A" w:rsidP="005759E4">
            <w:pPr>
              <w:pStyle w:val="Sansinterligne"/>
              <w:jc w:val="center"/>
              <w:rPr>
                <w:rFonts w:ascii="Calibri" w:hAnsi="Calibri" w:cs="Calibri"/>
                <w:sz w:val="24"/>
                <w:szCs w:val="24"/>
                <w:lang w:val="de-DE"/>
              </w:rPr>
            </w:pPr>
            <w:r w:rsidRPr="005759E4">
              <w:rPr>
                <w:rFonts w:ascii="Calibri" w:hAnsi="Calibri" w:cs="Calibri"/>
                <w:sz w:val="24"/>
                <w:lang w:val="de-DE"/>
              </w:rPr>
              <w:t xml:space="preserve">Reduktionszielvorgaben </w:t>
            </w:r>
            <w:r w:rsidRPr="005759E4">
              <w:rPr>
                <w:rFonts w:ascii="Calibri" w:hAnsi="Calibri" w:cs="Calibri"/>
                <w:b/>
                <w:sz w:val="24"/>
                <w:szCs w:val="24"/>
                <w:lang w:val="de-DE"/>
              </w:rPr>
              <w:t>2020</w:t>
            </w:r>
          </w:p>
        </w:tc>
        <w:tc>
          <w:tcPr>
            <w:tcW w:w="2551" w:type="dxa"/>
            <w:shd w:val="clear" w:color="auto" w:fill="548DD4"/>
          </w:tcPr>
          <w:p w:rsidR="000B433A" w:rsidRPr="005759E4" w:rsidRDefault="000B433A" w:rsidP="005759E4">
            <w:pPr>
              <w:pStyle w:val="Sansinterligne"/>
              <w:jc w:val="center"/>
              <w:rPr>
                <w:rFonts w:ascii="Calibri" w:hAnsi="Calibri" w:cs="Calibri"/>
                <w:sz w:val="24"/>
                <w:szCs w:val="24"/>
                <w:lang w:val="de-DE"/>
              </w:rPr>
            </w:pPr>
            <w:r w:rsidRPr="005759E4">
              <w:rPr>
                <w:rFonts w:ascii="Calibri" w:hAnsi="Calibri" w:cs="Calibri"/>
                <w:sz w:val="24"/>
                <w:lang w:val="de-DE"/>
              </w:rPr>
              <w:t xml:space="preserve">Reduktionszielvorgaben </w:t>
            </w:r>
            <w:r w:rsidRPr="005759E4">
              <w:rPr>
                <w:rFonts w:ascii="Calibri" w:hAnsi="Calibri" w:cs="Calibri"/>
                <w:b/>
                <w:sz w:val="24"/>
                <w:szCs w:val="24"/>
                <w:lang w:val="de-DE"/>
              </w:rPr>
              <w:t>2030</w:t>
            </w:r>
          </w:p>
        </w:tc>
      </w:tr>
      <w:tr w:rsidR="000B433A" w:rsidRPr="005759E4" w:rsidTr="005759E4">
        <w:trPr>
          <w:trHeight w:val="454"/>
        </w:trPr>
        <w:tc>
          <w:tcPr>
            <w:tcW w:w="1436" w:type="dxa"/>
          </w:tcPr>
          <w:p w:rsidR="000B433A" w:rsidRPr="005759E4" w:rsidRDefault="000B433A" w:rsidP="005759E4">
            <w:pPr>
              <w:pStyle w:val="Sansinterligne"/>
              <w:rPr>
                <w:rFonts w:ascii="Calibri" w:hAnsi="Calibri" w:cs="Calibri"/>
                <w:b/>
                <w:i/>
                <w:sz w:val="24"/>
                <w:szCs w:val="24"/>
                <w:lang w:val="de-DE"/>
              </w:rPr>
            </w:pPr>
            <w:r w:rsidRPr="005759E4">
              <w:rPr>
                <w:rFonts w:ascii="Calibri" w:hAnsi="Calibri" w:cs="Calibri"/>
                <w:b/>
                <w:i/>
                <w:sz w:val="24"/>
                <w:lang w:val="de-DE"/>
              </w:rPr>
              <w:t>SO</w:t>
            </w:r>
            <w:r w:rsidRPr="005759E4">
              <w:rPr>
                <w:rFonts w:ascii="Calibri" w:hAnsi="Calibri" w:cs="Calibri"/>
                <w:b/>
                <w:i/>
                <w:sz w:val="24"/>
                <w:szCs w:val="24"/>
                <w:vertAlign w:val="subscript"/>
                <w:lang w:val="de-DE"/>
              </w:rPr>
              <w:t>2</w:t>
            </w:r>
          </w:p>
        </w:tc>
        <w:tc>
          <w:tcPr>
            <w:tcW w:w="2592" w:type="dxa"/>
          </w:tcPr>
          <w:p w:rsidR="000B433A" w:rsidRPr="005759E4" w:rsidRDefault="000B433A" w:rsidP="005759E4">
            <w:pPr>
              <w:pStyle w:val="Sansinterligne"/>
              <w:jc w:val="center"/>
              <w:rPr>
                <w:rFonts w:ascii="Calibri" w:hAnsi="Calibri" w:cs="Calibri"/>
                <w:b/>
                <w:sz w:val="24"/>
                <w:szCs w:val="24"/>
                <w:lang w:val="de-DE"/>
              </w:rPr>
            </w:pPr>
            <w:r w:rsidRPr="005759E4">
              <w:rPr>
                <w:rFonts w:ascii="Calibri" w:hAnsi="Calibri" w:cs="Calibri"/>
                <w:b/>
                <w:sz w:val="24"/>
                <w:lang w:val="de-DE"/>
              </w:rPr>
              <w:t>43 %</w:t>
            </w:r>
          </w:p>
        </w:tc>
        <w:tc>
          <w:tcPr>
            <w:tcW w:w="2551" w:type="dxa"/>
          </w:tcPr>
          <w:p w:rsidR="000B433A" w:rsidRPr="005759E4" w:rsidRDefault="000B433A" w:rsidP="005759E4">
            <w:pPr>
              <w:pStyle w:val="Sansinterligne"/>
              <w:jc w:val="center"/>
              <w:rPr>
                <w:rFonts w:ascii="Calibri" w:hAnsi="Calibri" w:cs="Calibri"/>
                <w:b/>
                <w:sz w:val="24"/>
                <w:szCs w:val="24"/>
                <w:lang w:val="de-DE"/>
              </w:rPr>
            </w:pPr>
            <w:r w:rsidRPr="005759E4">
              <w:rPr>
                <w:rFonts w:ascii="Calibri" w:hAnsi="Calibri" w:cs="Calibri"/>
                <w:b/>
                <w:sz w:val="24"/>
                <w:lang w:val="de-DE"/>
              </w:rPr>
              <w:t>66 %</w:t>
            </w:r>
          </w:p>
        </w:tc>
      </w:tr>
      <w:tr w:rsidR="000B433A" w:rsidRPr="005759E4" w:rsidTr="005759E4">
        <w:trPr>
          <w:trHeight w:val="454"/>
        </w:trPr>
        <w:tc>
          <w:tcPr>
            <w:tcW w:w="1436" w:type="dxa"/>
            <w:shd w:val="pct15" w:color="auto" w:fill="C6D9F1"/>
          </w:tcPr>
          <w:p w:rsidR="000B433A" w:rsidRPr="005759E4" w:rsidRDefault="000B433A" w:rsidP="005759E4">
            <w:pPr>
              <w:pStyle w:val="Sansinterligne"/>
              <w:rPr>
                <w:rFonts w:ascii="Calibri" w:hAnsi="Calibri" w:cs="Calibri"/>
                <w:b/>
                <w:i/>
                <w:sz w:val="24"/>
                <w:szCs w:val="24"/>
                <w:lang w:val="de-DE"/>
              </w:rPr>
            </w:pPr>
            <w:r w:rsidRPr="005759E4">
              <w:rPr>
                <w:rFonts w:ascii="Calibri" w:hAnsi="Calibri" w:cs="Calibri"/>
                <w:b/>
                <w:i/>
                <w:sz w:val="24"/>
                <w:lang w:val="de-DE"/>
              </w:rPr>
              <w:t>NO</w:t>
            </w:r>
            <w:r w:rsidRPr="005759E4">
              <w:rPr>
                <w:rFonts w:ascii="Calibri" w:hAnsi="Calibri" w:cs="Calibri"/>
                <w:b/>
                <w:i/>
                <w:sz w:val="24"/>
                <w:szCs w:val="24"/>
                <w:vertAlign w:val="subscript"/>
                <w:lang w:val="de-DE"/>
              </w:rPr>
              <w:t>x</w:t>
            </w:r>
          </w:p>
        </w:tc>
        <w:tc>
          <w:tcPr>
            <w:tcW w:w="2592" w:type="dxa"/>
            <w:shd w:val="pct15" w:color="auto" w:fill="C6D9F1"/>
          </w:tcPr>
          <w:p w:rsidR="000B433A" w:rsidRPr="005759E4" w:rsidRDefault="000B433A" w:rsidP="005759E4">
            <w:pPr>
              <w:pStyle w:val="Sansinterligne"/>
              <w:jc w:val="center"/>
              <w:rPr>
                <w:rFonts w:ascii="Calibri" w:hAnsi="Calibri" w:cs="Calibri"/>
                <w:b/>
                <w:sz w:val="24"/>
                <w:szCs w:val="24"/>
                <w:lang w:val="de-DE"/>
              </w:rPr>
            </w:pPr>
            <w:r w:rsidRPr="005759E4">
              <w:rPr>
                <w:rFonts w:ascii="Calibri" w:hAnsi="Calibri" w:cs="Calibri"/>
                <w:b/>
                <w:sz w:val="24"/>
                <w:lang w:val="de-DE"/>
              </w:rPr>
              <w:t>41 %</w:t>
            </w:r>
          </w:p>
        </w:tc>
        <w:tc>
          <w:tcPr>
            <w:tcW w:w="2551" w:type="dxa"/>
            <w:shd w:val="pct15" w:color="auto" w:fill="C6D9F1"/>
          </w:tcPr>
          <w:p w:rsidR="000B433A" w:rsidRPr="005759E4" w:rsidRDefault="000B433A" w:rsidP="005759E4">
            <w:pPr>
              <w:pStyle w:val="Sansinterligne"/>
              <w:jc w:val="center"/>
              <w:rPr>
                <w:rFonts w:ascii="Calibri" w:hAnsi="Calibri" w:cs="Calibri"/>
                <w:b/>
                <w:sz w:val="24"/>
                <w:szCs w:val="24"/>
                <w:lang w:val="de-DE"/>
              </w:rPr>
            </w:pPr>
            <w:r w:rsidRPr="005759E4">
              <w:rPr>
                <w:rFonts w:ascii="Calibri" w:hAnsi="Calibri" w:cs="Calibri"/>
                <w:b/>
                <w:sz w:val="24"/>
                <w:lang w:val="de-DE"/>
              </w:rPr>
              <w:t>59 %</w:t>
            </w:r>
          </w:p>
        </w:tc>
      </w:tr>
      <w:tr w:rsidR="000B433A" w:rsidRPr="005759E4" w:rsidTr="008F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436" w:type="dxa"/>
            <w:tcBorders>
              <w:top w:val="single" w:sz="4" w:space="0" w:color="auto"/>
              <w:left w:val="single" w:sz="4" w:space="0" w:color="auto"/>
              <w:bottom w:val="single" w:sz="4" w:space="0" w:color="auto"/>
              <w:right w:val="single" w:sz="4" w:space="0" w:color="auto"/>
            </w:tcBorders>
          </w:tcPr>
          <w:p w:rsidR="000B433A" w:rsidRPr="005759E4" w:rsidRDefault="000B433A" w:rsidP="008F6F57">
            <w:pPr>
              <w:pStyle w:val="Sansinterligne"/>
              <w:rPr>
                <w:rFonts w:ascii="Calibri" w:hAnsi="Calibri" w:cs="Calibri"/>
                <w:b/>
                <w:i/>
                <w:sz w:val="24"/>
                <w:szCs w:val="24"/>
                <w:lang w:val="de-DE"/>
              </w:rPr>
            </w:pPr>
            <w:r w:rsidRPr="005759E4">
              <w:rPr>
                <w:rFonts w:ascii="Calibri" w:hAnsi="Calibri" w:cs="Calibri"/>
                <w:b/>
                <w:i/>
                <w:sz w:val="24"/>
                <w:lang w:val="de-DE"/>
              </w:rPr>
              <w:t>VOC</w:t>
            </w:r>
          </w:p>
        </w:tc>
        <w:tc>
          <w:tcPr>
            <w:tcW w:w="2592" w:type="dxa"/>
            <w:tcBorders>
              <w:top w:val="single" w:sz="4" w:space="0" w:color="auto"/>
              <w:left w:val="single" w:sz="4" w:space="0" w:color="auto"/>
              <w:bottom w:val="single" w:sz="4" w:space="0" w:color="auto"/>
              <w:right w:val="single" w:sz="4" w:space="0" w:color="auto"/>
            </w:tcBorders>
          </w:tcPr>
          <w:p w:rsidR="000B433A" w:rsidRPr="005759E4" w:rsidRDefault="000B433A" w:rsidP="008F6F57">
            <w:pPr>
              <w:pStyle w:val="Sansinterligne"/>
              <w:jc w:val="center"/>
              <w:rPr>
                <w:rFonts w:ascii="Calibri" w:hAnsi="Calibri" w:cs="Calibri"/>
                <w:b/>
                <w:sz w:val="24"/>
                <w:szCs w:val="24"/>
                <w:lang w:val="de-DE"/>
              </w:rPr>
            </w:pPr>
            <w:r w:rsidRPr="005759E4">
              <w:rPr>
                <w:rFonts w:ascii="Calibri" w:hAnsi="Calibri" w:cs="Calibri"/>
                <w:b/>
                <w:sz w:val="24"/>
                <w:lang w:val="de-DE"/>
              </w:rPr>
              <w:t>21 %</w:t>
            </w:r>
          </w:p>
        </w:tc>
        <w:tc>
          <w:tcPr>
            <w:tcW w:w="2551" w:type="dxa"/>
            <w:tcBorders>
              <w:top w:val="single" w:sz="4" w:space="0" w:color="auto"/>
              <w:left w:val="single" w:sz="4" w:space="0" w:color="auto"/>
              <w:bottom w:val="single" w:sz="4" w:space="0" w:color="auto"/>
              <w:right w:val="single" w:sz="4" w:space="0" w:color="auto"/>
            </w:tcBorders>
          </w:tcPr>
          <w:p w:rsidR="000B433A" w:rsidRPr="005759E4" w:rsidRDefault="000B433A" w:rsidP="008F6F57">
            <w:pPr>
              <w:pStyle w:val="Sansinterligne"/>
              <w:jc w:val="center"/>
              <w:rPr>
                <w:rFonts w:ascii="Calibri" w:hAnsi="Calibri" w:cs="Calibri"/>
                <w:b/>
                <w:sz w:val="24"/>
                <w:szCs w:val="24"/>
                <w:lang w:val="de-DE"/>
              </w:rPr>
            </w:pPr>
            <w:r w:rsidRPr="005759E4">
              <w:rPr>
                <w:rFonts w:ascii="Calibri" w:hAnsi="Calibri" w:cs="Calibri"/>
                <w:b/>
                <w:sz w:val="24"/>
                <w:lang w:val="de-DE"/>
              </w:rPr>
              <w:t>35 %</w:t>
            </w:r>
          </w:p>
        </w:tc>
      </w:tr>
      <w:tr w:rsidR="000B433A" w:rsidRPr="005759E4" w:rsidTr="008F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436" w:type="dxa"/>
            <w:tcBorders>
              <w:top w:val="single" w:sz="4" w:space="0" w:color="auto"/>
              <w:left w:val="single" w:sz="4" w:space="0" w:color="auto"/>
              <w:bottom w:val="single" w:sz="4" w:space="0" w:color="auto"/>
              <w:right w:val="single" w:sz="4" w:space="0" w:color="auto"/>
            </w:tcBorders>
            <w:shd w:val="pct15" w:color="auto" w:fill="C6D9F1"/>
          </w:tcPr>
          <w:p w:rsidR="000B433A" w:rsidRPr="005759E4" w:rsidRDefault="000B433A" w:rsidP="008F6F57">
            <w:pPr>
              <w:pStyle w:val="Sansinterligne"/>
              <w:rPr>
                <w:rFonts w:ascii="Calibri" w:hAnsi="Calibri" w:cs="Calibri"/>
                <w:b/>
                <w:i/>
                <w:sz w:val="24"/>
                <w:szCs w:val="24"/>
                <w:lang w:val="de-DE"/>
              </w:rPr>
            </w:pPr>
            <w:r w:rsidRPr="005759E4">
              <w:rPr>
                <w:rFonts w:ascii="Calibri" w:hAnsi="Calibri" w:cs="Calibri"/>
                <w:b/>
                <w:i/>
                <w:sz w:val="24"/>
                <w:lang w:val="de-DE"/>
              </w:rPr>
              <w:t>NH</w:t>
            </w:r>
            <w:r w:rsidRPr="005759E4">
              <w:rPr>
                <w:rFonts w:ascii="Calibri" w:hAnsi="Calibri"/>
                <w:b/>
                <w:i/>
                <w:sz w:val="24"/>
                <w:vertAlign w:val="subscript"/>
                <w:lang w:val="de-DE"/>
              </w:rPr>
              <w:t>3</w:t>
            </w:r>
          </w:p>
        </w:tc>
        <w:tc>
          <w:tcPr>
            <w:tcW w:w="2592" w:type="dxa"/>
            <w:tcBorders>
              <w:top w:val="single" w:sz="4" w:space="0" w:color="auto"/>
              <w:left w:val="single" w:sz="4" w:space="0" w:color="auto"/>
              <w:bottom w:val="single" w:sz="4" w:space="0" w:color="auto"/>
              <w:right w:val="single" w:sz="4" w:space="0" w:color="auto"/>
            </w:tcBorders>
            <w:shd w:val="pct15" w:color="auto" w:fill="C6D9F1"/>
          </w:tcPr>
          <w:p w:rsidR="000B433A" w:rsidRPr="005759E4" w:rsidRDefault="000B433A" w:rsidP="008F6F57">
            <w:pPr>
              <w:pStyle w:val="Sansinterligne"/>
              <w:jc w:val="center"/>
              <w:rPr>
                <w:rFonts w:ascii="Calibri" w:hAnsi="Calibri" w:cs="Calibri"/>
                <w:b/>
                <w:sz w:val="24"/>
                <w:szCs w:val="24"/>
                <w:lang w:val="de-DE"/>
              </w:rPr>
            </w:pPr>
            <w:r w:rsidRPr="005759E4">
              <w:rPr>
                <w:rFonts w:ascii="Calibri" w:hAnsi="Calibri" w:cs="Calibri"/>
                <w:b/>
                <w:sz w:val="24"/>
                <w:lang w:val="de-DE"/>
              </w:rPr>
              <w:t>2 %</w:t>
            </w:r>
          </w:p>
        </w:tc>
        <w:tc>
          <w:tcPr>
            <w:tcW w:w="2551" w:type="dxa"/>
            <w:tcBorders>
              <w:top w:val="single" w:sz="4" w:space="0" w:color="auto"/>
              <w:left w:val="single" w:sz="4" w:space="0" w:color="auto"/>
              <w:bottom w:val="single" w:sz="4" w:space="0" w:color="auto"/>
              <w:right w:val="single" w:sz="4" w:space="0" w:color="auto"/>
            </w:tcBorders>
            <w:shd w:val="pct15" w:color="auto" w:fill="C6D9F1"/>
          </w:tcPr>
          <w:p w:rsidR="000B433A" w:rsidRPr="005759E4" w:rsidRDefault="000B433A" w:rsidP="008F6F57">
            <w:pPr>
              <w:pStyle w:val="Sansinterligne"/>
              <w:jc w:val="center"/>
              <w:rPr>
                <w:rFonts w:ascii="Calibri" w:hAnsi="Calibri" w:cs="Calibri"/>
                <w:b/>
                <w:sz w:val="24"/>
                <w:szCs w:val="24"/>
                <w:lang w:val="de-DE"/>
              </w:rPr>
            </w:pPr>
            <w:r w:rsidRPr="005759E4">
              <w:rPr>
                <w:rFonts w:ascii="Calibri" w:hAnsi="Calibri" w:cs="Calibri"/>
                <w:b/>
                <w:sz w:val="24"/>
                <w:lang w:val="de-DE"/>
              </w:rPr>
              <w:t>13 %</w:t>
            </w:r>
          </w:p>
        </w:tc>
      </w:tr>
      <w:tr w:rsidR="000B433A" w:rsidRPr="005759E4" w:rsidTr="008F6F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436" w:type="dxa"/>
            <w:tcBorders>
              <w:top w:val="single" w:sz="4" w:space="0" w:color="auto"/>
              <w:left w:val="single" w:sz="4" w:space="0" w:color="auto"/>
              <w:bottom w:val="single" w:sz="4" w:space="0" w:color="auto"/>
              <w:right w:val="single" w:sz="4" w:space="0" w:color="auto"/>
            </w:tcBorders>
          </w:tcPr>
          <w:p w:rsidR="000B433A" w:rsidRPr="005759E4" w:rsidRDefault="000B433A" w:rsidP="008F6F57">
            <w:pPr>
              <w:pStyle w:val="Sansinterligne"/>
              <w:rPr>
                <w:rFonts w:ascii="Calibri" w:hAnsi="Calibri" w:cs="Calibri"/>
                <w:b/>
                <w:i/>
                <w:sz w:val="24"/>
                <w:szCs w:val="24"/>
                <w:lang w:val="de-DE"/>
              </w:rPr>
            </w:pPr>
            <w:r w:rsidRPr="005759E4">
              <w:rPr>
                <w:rFonts w:ascii="Calibri" w:hAnsi="Calibri" w:cs="Calibri"/>
                <w:b/>
                <w:i/>
                <w:sz w:val="24"/>
                <w:lang w:val="de-DE"/>
              </w:rPr>
              <w:t>PM2,5</w:t>
            </w:r>
          </w:p>
        </w:tc>
        <w:tc>
          <w:tcPr>
            <w:tcW w:w="2592" w:type="dxa"/>
            <w:tcBorders>
              <w:top w:val="single" w:sz="4" w:space="0" w:color="auto"/>
              <w:left w:val="single" w:sz="4" w:space="0" w:color="auto"/>
              <w:bottom w:val="single" w:sz="4" w:space="0" w:color="auto"/>
              <w:right w:val="single" w:sz="4" w:space="0" w:color="auto"/>
            </w:tcBorders>
          </w:tcPr>
          <w:p w:rsidR="000B433A" w:rsidRPr="005759E4" w:rsidRDefault="000B433A" w:rsidP="008F6F57">
            <w:pPr>
              <w:pStyle w:val="Sansinterligne"/>
              <w:jc w:val="center"/>
              <w:rPr>
                <w:rFonts w:ascii="Calibri" w:hAnsi="Calibri" w:cs="Calibri"/>
                <w:b/>
                <w:sz w:val="24"/>
                <w:szCs w:val="24"/>
                <w:lang w:val="de-DE"/>
              </w:rPr>
            </w:pPr>
            <w:r w:rsidRPr="005759E4">
              <w:rPr>
                <w:rFonts w:ascii="Calibri" w:hAnsi="Calibri" w:cs="Calibri"/>
                <w:b/>
                <w:sz w:val="24"/>
                <w:lang w:val="de-DE"/>
              </w:rPr>
              <w:t>20 %</w:t>
            </w:r>
          </w:p>
        </w:tc>
        <w:tc>
          <w:tcPr>
            <w:tcW w:w="2551" w:type="dxa"/>
            <w:tcBorders>
              <w:top w:val="single" w:sz="4" w:space="0" w:color="auto"/>
              <w:left w:val="single" w:sz="4" w:space="0" w:color="auto"/>
              <w:bottom w:val="single" w:sz="4" w:space="0" w:color="auto"/>
              <w:right w:val="single" w:sz="4" w:space="0" w:color="auto"/>
            </w:tcBorders>
          </w:tcPr>
          <w:p w:rsidR="000B433A" w:rsidRPr="005759E4" w:rsidRDefault="000B433A" w:rsidP="008F6F57">
            <w:pPr>
              <w:pStyle w:val="Sansinterligne"/>
              <w:jc w:val="center"/>
              <w:rPr>
                <w:rFonts w:ascii="Calibri" w:hAnsi="Calibri" w:cs="Calibri"/>
                <w:b/>
                <w:sz w:val="24"/>
                <w:szCs w:val="24"/>
                <w:lang w:val="de-DE"/>
              </w:rPr>
            </w:pPr>
            <w:r w:rsidRPr="005759E4">
              <w:rPr>
                <w:rFonts w:ascii="Calibri" w:hAnsi="Calibri" w:cs="Calibri"/>
                <w:b/>
                <w:sz w:val="24"/>
                <w:lang w:val="de-DE"/>
              </w:rPr>
              <w:t>39 %</w:t>
            </w:r>
          </w:p>
        </w:tc>
      </w:tr>
    </w:tbl>
    <w:p w:rsidR="000B433A" w:rsidRPr="00EA2B7D" w:rsidRDefault="000B433A" w:rsidP="008F6F57">
      <w:pPr>
        <w:pStyle w:val="Sansinterligne"/>
        <w:rPr>
          <w:rFonts w:ascii="Calibri" w:hAnsi="Calibri"/>
          <w:sz w:val="24"/>
          <w:szCs w:val="24"/>
          <w:lang w:val="de-DE"/>
        </w:rPr>
      </w:pPr>
      <w:r>
        <w:rPr>
          <w:rFonts w:ascii="Calibri" w:hAnsi="Calibri"/>
          <w:sz w:val="24"/>
          <w:szCs w:val="24"/>
          <w:lang w:val="de-DE"/>
        </w:rPr>
        <w:br w:type="textWrapping" w:clear="all"/>
      </w:r>
    </w:p>
    <w:p w:rsidR="000B433A" w:rsidRPr="005F5D9D" w:rsidRDefault="000B433A" w:rsidP="008F6F57">
      <w:pPr>
        <w:pStyle w:val="Sansinterligne"/>
        <w:rPr>
          <w:rFonts w:ascii="Calibri" w:hAnsi="Calibri" w:cs="Calibri"/>
          <w:sz w:val="24"/>
          <w:szCs w:val="24"/>
          <w:lang w:val="de-DE"/>
        </w:rPr>
      </w:pPr>
    </w:p>
    <w:p w:rsidR="000B433A" w:rsidRPr="005F5D9D" w:rsidRDefault="000B433A" w:rsidP="008F6F57">
      <w:pPr>
        <w:pStyle w:val="Sansinterligne"/>
        <w:rPr>
          <w:rFonts w:ascii="Calibri" w:hAnsi="Calibri" w:cs="Calibri"/>
          <w:sz w:val="24"/>
          <w:szCs w:val="24"/>
          <w:lang w:val="de-DE"/>
        </w:rPr>
      </w:pPr>
      <w:r>
        <w:rPr>
          <w:rFonts w:ascii="Calibri" w:hAnsi="Calibri" w:cs="Calibri"/>
          <w:sz w:val="24"/>
          <w:lang w:val="de-DE"/>
        </w:rPr>
        <w:t>Es sei darauf hingewiesen, dass die Ziele für 2020 mit denen des Göteborger Protokolls zum Übereinkommen der Vereinten Nationen über weiträumige grenzüberschreitende Luftverunreinigung (bekannt als LRTAP-Übereinkommen) in der Fassung von 2012 identisch sind.</w:t>
      </w:r>
    </w:p>
    <w:p w:rsidR="000B433A" w:rsidRPr="005F5D9D" w:rsidRDefault="000B433A" w:rsidP="008F6F57">
      <w:pPr>
        <w:pStyle w:val="Sansinterligne"/>
        <w:tabs>
          <w:tab w:val="left" w:pos="1580"/>
        </w:tabs>
        <w:rPr>
          <w:rFonts w:ascii="Calibri" w:hAnsi="Calibri" w:cs="Calibri"/>
          <w:sz w:val="24"/>
          <w:szCs w:val="24"/>
          <w:lang w:val="de-DE"/>
        </w:rPr>
      </w:pPr>
    </w:p>
    <w:p w:rsidR="000B433A" w:rsidRPr="005F5D9D" w:rsidRDefault="000B433A" w:rsidP="008F6F57">
      <w:pPr>
        <w:pStyle w:val="Sansinterligne"/>
        <w:rPr>
          <w:rFonts w:ascii="Calibri" w:hAnsi="Calibri" w:cs="Calibri"/>
          <w:sz w:val="24"/>
          <w:szCs w:val="24"/>
          <w:lang w:val="de-DE"/>
        </w:rPr>
      </w:pPr>
      <w:r>
        <w:rPr>
          <w:rFonts w:ascii="Calibri" w:hAnsi="Calibri" w:cs="Calibri"/>
          <w:sz w:val="24"/>
          <w:lang w:val="de-DE"/>
        </w:rPr>
        <w:t xml:space="preserve">Diese belgischen Ziele wurden im Rahmen von zwei Kooperationsabkommen zwischen den drei Regionen und der Föderalregierung auf die drei Regionen verteilt. </w:t>
      </w:r>
    </w:p>
    <w:p w:rsidR="000B433A" w:rsidRPr="005F5D9D" w:rsidRDefault="000B433A" w:rsidP="008F6F57">
      <w:pPr>
        <w:pStyle w:val="Sansinterligne"/>
        <w:rPr>
          <w:rFonts w:ascii="Calibri" w:hAnsi="Calibri" w:cs="Calibri"/>
          <w:sz w:val="24"/>
          <w:szCs w:val="24"/>
          <w:lang w:val="de-DE"/>
        </w:rPr>
      </w:pPr>
    </w:p>
    <w:p w:rsidR="000B433A" w:rsidRPr="005F5D9D" w:rsidRDefault="000B433A" w:rsidP="008F6F57">
      <w:pPr>
        <w:pStyle w:val="Sansinterligne"/>
        <w:rPr>
          <w:rFonts w:ascii="Calibri" w:hAnsi="Calibri" w:cs="Calibri"/>
          <w:sz w:val="24"/>
          <w:szCs w:val="24"/>
          <w:lang w:val="de-DE"/>
        </w:rPr>
      </w:pPr>
      <w:r>
        <w:rPr>
          <w:rFonts w:ascii="Calibri" w:hAnsi="Calibri" w:cs="Calibri"/>
          <w:sz w:val="24"/>
          <w:lang w:val="de-DE"/>
        </w:rPr>
        <w:t xml:space="preserve">Um auf konkrete Zahlen zurückgreifen zu können, wurden die relativen Ziele (prozentuale Reduzierung) in eine belgische Emissionsobergrenze in absoluten Zahlen (kt) umgewandelt.  Diese belgische Obergrenze wurde dann auf die drei Regionen entsprechend ihrem jeweiligen Beitrag zur belgischen Gesamtmenge für jeden Schadstoff verteilt. </w:t>
      </w:r>
    </w:p>
    <w:p w:rsidR="000B433A" w:rsidRDefault="000B433A" w:rsidP="008F6F57">
      <w:pPr>
        <w:spacing w:after="200"/>
        <w:jc w:val="left"/>
        <w:rPr>
          <w:rFonts w:cs="Calibri"/>
          <w:szCs w:val="24"/>
          <w:lang w:val="de-DE"/>
        </w:rPr>
      </w:pPr>
      <w:r>
        <w:rPr>
          <w:rFonts w:cs="Calibri"/>
          <w:szCs w:val="24"/>
          <w:lang w:val="de-DE"/>
        </w:rPr>
        <w:br w:type="page"/>
      </w:r>
    </w:p>
    <w:p w:rsidR="000B433A" w:rsidRPr="005F5D9D" w:rsidRDefault="000B433A" w:rsidP="008F6F57">
      <w:pPr>
        <w:pStyle w:val="Sansinterligne"/>
        <w:rPr>
          <w:rFonts w:ascii="Calibri" w:hAnsi="Calibri" w:cs="Calibri"/>
          <w:sz w:val="24"/>
          <w:szCs w:val="24"/>
          <w:lang w:val="de-DE"/>
        </w:rPr>
      </w:pPr>
    </w:p>
    <w:tbl>
      <w:tblPr>
        <w:tblW w:w="9420" w:type="dxa"/>
        <w:tblInd w:w="55" w:type="dxa"/>
        <w:tblCellMar>
          <w:left w:w="70" w:type="dxa"/>
          <w:right w:w="70" w:type="dxa"/>
        </w:tblCellMar>
        <w:tblLook w:val="00A0"/>
      </w:tblPr>
      <w:tblGrid>
        <w:gridCol w:w="1192"/>
        <w:gridCol w:w="1199"/>
        <w:gridCol w:w="2281"/>
        <w:gridCol w:w="1188"/>
        <w:gridCol w:w="1186"/>
        <w:gridCol w:w="1188"/>
        <w:gridCol w:w="1186"/>
      </w:tblGrid>
      <w:tr w:rsidR="000B433A" w:rsidRPr="005759E4" w:rsidTr="008F6F57">
        <w:trPr>
          <w:trHeight w:val="615"/>
        </w:trPr>
        <w:tc>
          <w:tcPr>
            <w:tcW w:w="1200" w:type="dxa"/>
            <w:vMerge w:val="restart"/>
            <w:tcBorders>
              <w:top w:val="nil"/>
              <w:left w:val="nil"/>
              <w:bottom w:val="nil"/>
              <w:right w:val="nil"/>
            </w:tcBorders>
          </w:tcPr>
          <w:p w:rsidR="000B433A" w:rsidRPr="008B07AF" w:rsidRDefault="000B433A" w:rsidP="008F6F57">
            <w:pPr>
              <w:spacing w:after="0" w:line="240" w:lineRule="auto"/>
              <w:jc w:val="center"/>
              <w:rPr>
                <w:color w:val="0070C0"/>
                <w:lang w:val="de-DE"/>
              </w:rPr>
            </w:pP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4F81BD"/>
          </w:tcPr>
          <w:p w:rsidR="000B433A" w:rsidRPr="008B07AF" w:rsidRDefault="000B433A" w:rsidP="008F6F57">
            <w:pPr>
              <w:spacing w:after="0" w:line="240" w:lineRule="auto"/>
              <w:jc w:val="center"/>
              <w:rPr>
                <w:color w:val="FFFFFF"/>
                <w:lang w:val="de-DE"/>
              </w:rPr>
            </w:pPr>
            <w:r>
              <w:rPr>
                <w:color w:val="FFFFFF"/>
                <w:sz w:val="22"/>
                <w:lang w:val="de-DE"/>
              </w:rPr>
              <w:t>Emissionen BE 2005 (kt)</w:t>
            </w:r>
          </w:p>
        </w:tc>
        <w:tc>
          <w:tcPr>
            <w:tcW w:w="2220" w:type="dxa"/>
            <w:vMerge w:val="restart"/>
            <w:tcBorders>
              <w:top w:val="single" w:sz="4" w:space="0" w:color="auto"/>
              <w:left w:val="nil"/>
              <w:bottom w:val="single" w:sz="4" w:space="0" w:color="000000"/>
              <w:right w:val="nil"/>
            </w:tcBorders>
            <w:shd w:val="clear" w:color="000000" w:fill="4F81BD"/>
            <w:vAlign w:val="center"/>
          </w:tcPr>
          <w:p w:rsidR="000B433A" w:rsidRPr="008B07AF" w:rsidRDefault="000B433A" w:rsidP="008F6F57">
            <w:pPr>
              <w:spacing w:after="0" w:line="240" w:lineRule="auto"/>
              <w:jc w:val="center"/>
              <w:rPr>
                <w:color w:val="FFFFFF"/>
                <w:lang w:val="de-DE"/>
              </w:rPr>
            </w:pPr>
            <w:r>
              <w:rPr>
                <w:color w:val="FFFFFF"/>
                <w:sz w:val="22"/>
                <w:lang w:val="de-DE"/>
              </w:rPr>
              <w:t>Reduktionszielvorgaben BE 2020 (%)</w:t>
            </w:r>
          </w:p>
        </w:tc>
        <w:tc>
          <w:tcPr>
            <w:tcW w:w="4800" w:type="dxa"/>
            <w:gridSpan w:val="4"/>
            <w:tcBorders>
              <w:top w:val="single" w:sz="4" w:space="0" w:color="auto"/>
              <w:left w:val="single" w:sz="4" w:space="0" w:color="auto"/>
              <w:bottom w:val="nil"/>
              <w:right w:val="single" w:sz="4" w:space="0" w:color="000000"/>
            </w:tcBorders>
            <w:shd w:val="clear" w:color="000000" w:fill="4F81BD"/>
            <w:vAlign w:val="center"/>
          </w:tcPr>
          <w:p w:rsidR="000B433A" w:rsidRPr="008B07AF" w:rsidRDefault="000B433A" w:rsidP="008F6F57">
            <w:pPr>
              <w:spacing w:after="0" w:line="240" w:lineRule="auto"/>
              <w:jc w:val="center"/>
              <w:rPr>
                <w:color w:val="FFFFFF"/>
                <w:lang w:val="de-DE"/>
              </w:rPr>
            </w:pPr>
            <w:r>
              <w:rPr>
                <w:color w:val="FFFFFF"/>
                <w:sz w:val="22"/>
                <w:lang w:val="de-DE"/>
              </w:rPr>
              <w:t>Emissionsobergrenzen 2020 (kt)</w:t>
            </w:r>
          </w:p>
        </w:tc>
      </w:tr>
      <w:tr w:rsidR="000B433A" w:rsidRPr="005759E4" w:rsidTr="008F6F57">
        <w:trPr>
          <w:trHeight w:val="315"/>
        </w:trPr>
        <w:tc>
          <w:tcPr>
            <w:tcW w:w="1200" w:type="dxa"/>
            <w:vMerge/>
            <w:tcBorders>
              <w:top w:val="nil"/>
              <w:left w:val="nil"/>
              <w:bottom w:val="nil"/>
              <w:right w:val="nil"/>
            </w:tcBorders>
            <w:vAlign w:val="center"/>
          </w:tcPr>
          <w:p w:rsidR="000B433A" w:rsidRPr="008B07AF" w:rsidRDefault="000B433A" w:rsidP="008F6F57">
            <w:pPr>
              <w:spacing w:after="0" w:line="240" w:lineRule="auto"/>
              <w:jc w:val="left"/>
              <w:rPr>
                <w:color w:val="0070C0"/>
                <w:lang w:val="de-DE"/>
              </w:rPr>
            </w:pPr>
          </w:p>
        </w:tc>
        <w:tc>
          <w:tcPr>
            <w:tcW w:w="1200" w:type="dxa"/>
            <w:vMerge/>
            <w:tcBorders>
              <w:top w:val="single" w:sz="4" w:space="0" w:color="auto"/>
              <w:left w:val="single" w:sz="4" w:space="0" w:color="auto"/>
              <w:bottom w:val="single" w:sz="4" w:space="0" w:color="000000"/>
              <w:right w:val="single" w:sz="4" w:space="0" w:color="auto"/>
            </w:tcBorders>
            <w:vAlign w:val="center"/>
          </w:tcPr>
          <w:p w:rsidR="000B433A" w:rsidRPr="008B07AF" w:rsidRDefault="000B433A" w:rsidP="008F6F57">
            <w:pPr>
              <w:spacing w:after="0" w:line="240" w:lineRule="auto"/>
              <w:jc w:val="left"/>
              <w:rPr>
                <w:color w:val="FFFFFF"/>
                <w:lang w:val="de-DE"/>
              </w:rPr>
            </w:pPr>
          </w:p>
        </w:tc>
        <w:tc>
          <w:tcPr>
            <w:tcW w:w="2220" w:type="dxa"/>
            <w:vMerge/>
            <w:tcBorders>
              <w:top w:val="single" w:sz="4" w:space="0" w:color="auto"/>
              <w:left w:val="nil"/>
              <w:bottom w:val="single" w:sz="4" w:space="0" w:color="000000"/>
              <w:right w:val="nil"/>
            </w:tcBorders>
            <w:vAlign w:val="center"/>
          </w:tcPr>
          <w:p w:rsidR="000B433A" w:rsidRPr="008B07AF" w:rsidRDefault="000B433A" w:rsidP="008F6F57">
            <w:pPr>
              <w:spacing w:after="0" w:line="240" w:lineRule="auto"/>
              <w:jc w:val="left"/>
              <w:rPr>
                <w:color w:val="FFFFFF"/>
                <w:lang w:val="de-DE"/>
              </w:rPr>
            </w:pPr>
          </w:p>
        </w:tc>
        <w:tc>
          <w:tcPr>
            <w:tcW w:w="1200" w:type="dxa"/>
            <w:tcBorders>
              <w:top w:val="single" w:sz="4" w:space="0" w:color="auto"/>
              <w:left w:val="single" w:sz="4" w:space="0" w:color="auto"/>
              <w:bottom w:val="single" w:sz="4" w:space="0" w:color="auto"/>
              <w:right w:val="single" w:sz="4" w:space="0" w:color="auto"/>
            </w:tcBorders>
            <w:shd w:val="clear" w:color="000000" w:fill="4F81BD"/>
            <w:vAlign w:val="center"/>
          </w:tcPr>
          <w:p w:rsidR="000B433A" w:rsidRPr="008B07AF" w:rsidRDefault="000B433A" w:rsidP="008F6F57">
            <w:pPr>
              <w:spacing w:after="0" w:line="240" w:lineRule="auto"/>
              <w:jc w:val="center"/>
              <w:rPr>
                <w:color w:val="FFFFFF"/>
                <w:lang w:val="de-DE"/>
              </w:rPr>
            </w:pPr>
            <w:r>
              <w:rPr>
                <w:color w:val="FFFFFF"/>
                <w:sz w:val="22"/>
                <w:lang w:val="de-DE"/>
              </w:rPr>
              <w:t>BE</w:t>
            </w:r>
          </w:p>
        </w:tc>
        <w:tc>
          <w:tcPr>
            <w:tcW w:w="1200" w:type="dxa"/>
            <w:tcBorders>
              <w:top w:val="single" w:sz="4" w:space="0" w:color="auto"/>
              <w:left w:val="nil"/>
              <w:bottom w:val="single" w:sz="4" w:space="0" w:color="auto"/>
              <w:right w:val="nil"/>
            </w:tcBorders>
            <w:shd w:val="clear" w:color="000000" w:fill="4F81BD"/>
            <w:vAlign w:val="center"/>
          </w:tcPr>
          <w:p w:rsidR="000B433A" w:rsidRPr="008B07AF" w:rsidRDefault="000B433A" w:rsidP="008F6F57">
            <w:pPr>
              <w:spacing w:after="0" w:line="240" w:lineRule="auto"/>
              <w:jc w:val="center"/>
              <w:rPr>
                <w:color w:val="FFFFFF"/>
                <w:lang w:val="de-DE"/>
              </w:rPr>
            </w:pPr>
            <w:r>
              <w:rPr>
                <w:color w:val="FFFFFF"/>
                <w:sz w:val="22"/>
                <w:lang w:val="de-DE"/>
              </w:rPr>
              <w:t>WAL</w:t>
            </w:r>
          </w:p>
        </w:tc>
        <w:tc>
          <w:tcPr>
            <w:tcW w:w="1200" w:type="dxa"/>
            <w:tcBorders>
              <w:top w:val="single" w:sz="4" w:space="0" w:color="auto"/>
              <w:left w:val="single" w:sz="4" w:space="0" w:color="auto"/>
              <w:bottom w:val="single" w:sz="4" w:space="0" w:color="auto"/>
              <w:right w:val="single" w:sz="4" w:space="0" w:color="auto"/>
            </w:tcBorders>
            <w:shd w:val="clear" w:color="000000" w:fill="4F81BD"/>
            <w:vAlign w:val="center"/>
          </w:tcPr>
          <w:p w:rsidR="000B433A" w:rsidRPr="008B07AF" w:rsidRDefault="000B433A" w:rsidP="008F6F57">
            <w:pPr>
              <w:spacing w:after="0" w:line="240" w:lineRule="auto"/>
              <w:jc w:val="center"/>
              <w:rPr>
                <w:color w:val="FFFFFF"/>
                <w:lang w:val="de-DE"/>
              </w:rPr>
            </w:pPr>
            <w:r>
              <w:rPr>
                <w:color w:val="FFFFFF"/>
                <w:sz w:val="22"/>
                <w:lang w:val="de-DE"/>
              </w:rPr>
              <w:t>VLA</w:t>
            </w:r>
          </w:p>
        </w:tc>
        <w:tc>
          <w:tcPr>
            <w:tcW w:w="1200" w:type="dxa"/>
            <w:tcBorders>
              <w:top w:val="single" w:sz="4" w:space="0" w:color="auto"/>
              <w:left w:val="nil"/>
              <w:bottom w:val="single" w:sz="4" w:space="0" w:color="auto"/>
              <w:right w:val="single" w:sz="4" w:space="0" w:color="auto"/>
            </w:tcBorders>
            <w:shd w:val="clear" w:color="000000" w:fill="4F81BD"/>
            <w:vAlign w:val="center"/>
          </w:tcPr>
          <w:p w:rsidR="000B433A" w:rsidRPr="008B07AF" w:rsidRDefault="000B433A" w:rsidP="008F6F57">
            <w:pPr>
              <w:spacing w:after="0" w:line="240" w:lineRule="auto"/>
              <w:jc w:val="center"/>
              <w:rPr>
                <w:color w:val="FFFFFF"/>
                <w:lang w:val="de-DE"/>
              </w:rPr>
            </w:pPr>
            <w:r>
              <w:rPr>
                <w:color w:val="FFFFFF"/>
                <w:sz w:val="22"/>
                <w:lang w:val="de-DE"/>
              </w:rPr>
              <w:t>BRU</w:t>
            </w:r>
          </w:p>
        </w:tc>
      </w:tr>
      <w:tr w:rsidR="000B433A" w:rsidRPr="005759E4" w:rsidTr="008F6F57">
        <w:trPr>
          <w:trHeight w:val="315"/>
        </w:trPr>
        <w:tc>
          <w:tcPr>
            <w:tcW w:w="1200" w:type="dxa"/>
            <w:vMerge w:val="restart"/>
            <w:tcBorders>
              <w:top w:val="single" w:sz="4" w:space="0" w:color="auto"/>
              <w:left w:val="single" w:sz="4" w:space="0" w:color="auto"/>
              <w:bottom w:val="single" w:sz="4" w:space="0" w:color="000000"/>
              <w:right w:val="nil"/>
            </w:tcBorders>
            <w:shd w:val="clear" w:color="000000" w:fill="4F81BD"/>
            <w:vAlign w:val="center"/>
          </w:tcPr>
          <w:p w:rsidR="000B433A" w:rsidRPr="008B07AF" w:rsidRDefault="000B433A" w:rsidP="008F6F57">
            <w:pPr>
              <w:spacing w:after="0" w:line="240" w:lineRule="auto"/>
              <w:jc w:val="center"/>
              <w:rPr>
                <w:color w:val="FFFFFF"/>
                <w:lang w:val="de-DE"/>
              </w:rPr>
            </w:pPr>
            <w:r>
              <w:rPr>
                <w:color w:val="FFFFFF"/>
                <w:sz w:val="22"/>
                <w:lang w:val="de-DE"/>
              </w:rPr>
              <w:t>NOx</w:t>
            </w:r>
          </w:p>
        </w:tc>
        <w:tc>
          <w:tcPr>
            <w:tcW w:w="1200" w:type="dxa"/>
            <w:vMerge w:val="restart"/>
            <w:tcBorders>
              <w:top w:val="nil"/>
              <w:left w:val="single" w:sz="4" w:space="0" w:color="auto"/>
              <w:bottom w:val="single" w:sz="4" w:space="0" w:color="000000"/>
              <w:right w:val="single" w:sz="4" w:space="0" w:color="auto"/>
            </w:tcBorders>
            <w:vAlign w:val="center"/>
          </w:tcPr>
          <w:p w:rsidR="000B433A" w:rsidRPr="005759E4" w:rsidRDefault="000B433A" w:rsidP="008F6F57">
            <w:pPr>
              <w:spacing w:after="0" w:line="240" w:lineRule="auto"/>
              <w:jc w:val="center"/>
              <w:rPr>
                <w:lang w:val="de-DE"/>
              </w:rPr>
            </w:pPr>
            <w:r w:rsidRPr="005759E4">
              <w:rPr>
                <w:sz w:val="22"/>
                <w:lang w:val="de-DE"/>
              </w:rPr>
              <w:t>303,5</w:t>
            </w:r>
          </w:p>
        </w:tc>
        <w:tc>
          <w:tcPr>
            <w:tcW w:w="2220" w:type="dxa"/>
            <w:vMerge w:val="restart"/>
            <w:tcBorders>
              <w:top w:val="single" w:sz="4" w:space="0" w:color="auto"/>
              <w:left w:val="nil"/>
              <w:bottom w:val="single" w:sz="4" w:space="0" w:color="000000"/>
              <w:right w:val="nil"/>
            </w:tcBorders>
            <w:vAlign w:val="center"/>
          </w:tcPr>
          <w:p w:rsidR="000B433A" w:rsidRPr="005759E4" w:rsidRDefault="000B433A" w:rsidP="008F6F57">
            <w:pPr>
              <w:spacing w:after="0" w:line="240" w:lineRule="auto"/>
              <w:jc w:val="center"/>
              <w:rPr>
                <w:lang w:val="de-DE"/>
              </w:rPr>
            </w:pPr>
            <w:r w:rsidRPr="005759E4">
              <w:rPr>
                <w:sz w:val="22"/>
                <w:lang w:val="de-DE"/>
              </w:rPr>
              <w:t>-41 %</w:t>
            </w:r>
          </w:p>
        </w:tc>
        <w:tc>
          <w:tcPr>
            <w:tcW w:w="1200" w:type="dxa"/>
            <w:vMerge w:val="restart"/>
            <w:tcBorders>
              <w:top w:val="nil"/>
              <w:left w:val="single" w:sz="4" w:space="0" w:color="auto"/>
              <w:bottom w:val="single" w:sz="4" w:space="0" w:color="000000"/>
              <w:right w:val="single" w:sz="4" w:space="0" w:color="auto"/>
            </w:tcBorders>
            <w:vAlign w:val="center"/>
          </w:tcPr>
          <w:p w:rsidR="000B433A" w:rsidRPr="005759E4" w:rsidRDefault="000B433A" w:rsidP="008F6F57">
            <w:pPr>
              <w:spacing w:after="0" w:line="240" w:lineRule="auto"/>
              <w:jc w:val="center"/>
              <w:rPr>
                <w:bCs/>
                <w:lang w:val="de-DE"/>
              </w:rPr>
            </w:pPr>
            <w:r w:rsidRPr="005759E4">
              <w:rPr>
                <w:sz w:val="22"/>
                <w:lang w:val="de-DE"/>
              </w:rPr>
              <w:t>179,1</w:t>
            </w:r>
          </w:p>
        </w:tc>
        <w:tc>
          <w:tcPr>
            <w:tcW w:w="1200" w:type="dxa"/>
            <w:tcBorders>
              <w:top w:val="nil"/>
              <w:left w:val="nil"/>
              <w:bottom w:val="nil"/>
              <w:right w:val="nil"/>
            </w:tcBorders>
            <w:vAlign w:val="center"/>
          </w:tcPr>
          <w:p w:rsidR="000B433A" w:rsidRPr="005759E4" w:rsidRDefault="000B433A" w:rsidP="008F6F57">
            <w:pPr>
              <w:spacing w:after="0" w:line="240" w:lineRule="auto"/>
              <w:jc w:val="center"/>
              <w:rPr>
                <w:bCs/>
                <w:lang w:val="de-DE"/>
              </w:rPr>
            </w:pPr>
            <w:r w:rsidRPr="005759E4">
              <w:rPr>
                <w:sz w:val="22"/>
                <w:lang w:val="de-DE"/>
              </w:rPr>
              <w:t>72,4</w:t>
            </w:r>
          </w:p>
        </w:tc>
        <w:tc>
          <w:tcPr>
            <w:tcW w:w="1200" w:type="dxa"/>
            <w:tcBorders>
              <w:top w:val="nil"/>
              <w:left w:val="single" w:sz="4" w:space="0" w:color="auto"/>
              <w:bottom w:val="nil"/>
              <w:right w:val="single" w:sz="4" w:space="0" w:color="auto"/>
            </w:tcBorders>
            <w:vAlign w:val="center"/>
          </w:tcPr>
          <w:p w:rsidR="000B433A" w:rsidRPr="005759E4" w:rsidRDefault="000B433A" w:rsidP="008F6F57">
            <w:pPr>
              <w:spacing w:after="0" w:line="240" w:lineRule="auto"/>
              <w:jc w:val="center"/>
              <w:rPr>
                <w:lang w:val="de-DE"/>
              </w:rPr>
            </w:pPr>
            <w:r w:rsidRPr="005759E4">
              <w:rPr>
                <w:sz w:val="22"/>
                <w:lang w:val="de-DE"/>
              </w:rPr>
              <w:t>100,3</w:t>
            </w:r>
          </w:p>
        </w:tc>
        <w:tc>
          <w:tcPr>
            <w:tcW w:w="1200" w:type="dxa"/>
            <w:tcBorders>
              <w:top w:val="nil"/>
              <w:left w:val="nil"/>
              <w:bottom w:val="nil"/>
              <w:right w:val="single" w:sz="4" w:space="0" w:color="auto"/>
            </w:tcBorders>
            <w:vAlign w:val="center"/>
          </w:tcPr>
          <w:p w:rsidR="000B433A" w:rsidRPr="005759E4" w:rsidRDefault="000B433A" w:rsidP="008F6F57">
            <w:pPr>
              <w:spacing w:after="0" w:line="240" w:lineRule="auto"/>
              <w:jc w:val="center"/>
              <w:rPr>
                <w:lang w:val="de-DE"/>
              </w:rPr>
            </w:pPr>
            <w:r w:rsidRPr="005759E4">
              <w:rPr>
                <w:sz w:val="22"/>
                <w:lang w:val="de-DE"/>
              </w:rPr>
              <w:t>4,7</w:t>
            </w:r>
          </w:p>
        </w:tc>
      </w:tr>
      <w:tr w:rsidR="000B433A" w:rsidRPr="005759E4" w:rsidTr="008F6F57">
        <w:trPr>
          <w:trHeight w:val="315"/>
        </w:trPr>
        <w:tc>
          <w:tcPr>
            <w:tcW w:w="1200" w:type="dxa"/>
            <w:vMerge/>
            <w:tcBorders>
              <w:top w:val="single" w:sz="4" w:space="0" w:color="auto"/>
              <w:left w:val="single" w:sz="4" w:space="0" w:color="auto"/>
              <w:bottom w:val="single" w:sz="4" w:space="0" w:color="000000"/>
              <w:right w:val="nil"/>
            </w:tcBorders>
            <w:vAlign w:val="center"/>
          </w:tcPr>
          <w:p w:rsidR="000B433A" w:rsidRPr="008B07AF" w:rsidRDefault="000B433A" w:rsidP="008F6F57">
            <w:pPr>
              <w:spacing w:after="0" w:line="240" w:lineRule="auto"/>
              <w:jc w:val="left"/>
              <w:rPr>
                <w:color w:val="FFFFFF"/>
                <w:lang w:val="de-DE"/>
              </w:rPr>
            </w:pPr>
          </w:p>
        </w:tc>
        <w:tc>
          <w:tcPr>
            <w:tcW w:w="1200" w:type="dxa"/>
            <w:vMerge/>
            <w:tcBorders>
              <w:top w:val="nil"/>
              <w:left w:val="single" w:sz="4" w:space="0" w:color="auto"/>
              <w:bottom w:val="single" w:sz="4" w:space="0" w:color="000000"/>
              <w:right w:val="single" w:sz="4" w:space="0" w:color="auto"/>
            </w:tcBorders>
            <w:vAlign w:val="center"/>
          </w:tcPr>
          <w:p w:rsidR="000B433A" w:rsidRPr="005759E4" w:rsidRDefault="000B433A" w:rsidP="008F6F57">
            <w:pPr>
              <w:spacing w:after="0" w:line="240" w:lineRule="auto"/>
              <w:jc w:val="left"/>
              <w:rPr>
                <w:lang w:val="de-DE"/>
              </w:rPr>
            </w:pPr>
          </w:p>
        </w:tc>
        <w:tc>
          <w:tcPr>
            <w:tcW w:w="2220" w:type="dxa"/>
            <w:vMerge/>
            <w:tcBorders>
              <w:top w:val="single" w:sz="4" w:space="0" w:color="auto"/>
              <w:left w:val="nil"/>
              <w:bottom w:val="single" w:sz="4" w:space="0" w:color="000000"/>
              <w:right w:val="nil"/>
            </w:tcBorders>
            <w:vAlign w:val="center"/>
          </w:tcPr>
          <w:p w:rsidR="000B433A" w:rsidRPr="005759E4" w:rsidRDefault="000B433A" w:rsidP="008F6F57">
            <w:pPr>
              <w:spacing w:after="0" w:line="240" w:lineRule="auto"/>
              <w:jc w:val="left"/>
              <w:rPr>
                <w:lang w:val="de-DE"/>
              </w:rPr>
            </w:pPr>
          </w:p>
        </w:tc>
        <w:tc>
          <w:tcPr>
            <w:tcW w:w="1200" w:type="dxa"/>
            <w:vMerge/>
            <w:tcBorders>
              <w:top w:val="nil"/>
              <w:left w:val="single" w:sz="4" w:space="0" w:color="auto"/>
              <w:bottom w:val="single" w:sz="4" w:space="0" w:color="000000"/>
              <w:right w:val="single" w:sz="4" w:space="0" w:color="auto"/>
            </w:tcBorders>
            <w:vAlign w:val="center"/>
          </w:tcPr>
          <w:p w:rsidR="000B433A" w:rsidRPr="005759E4" w:rsidRDefault="000B433A" w:rsidP="008F6F57">
            <w:pPr>
              <w:spacing w:after="0" w:line="240" w:lineRule="auto"/>
              <w:jc w:val="left"/>
              <w:rPr>
                <w:bCs/>
                <w:lang w:val="de-DE"/>
              </w:rPr>
            </w:pPr>
          </w:p>
        </w:tc>
        <w:tc>
          <w:tcPr>
            <w:tcW w:w="1200" w:type="dxa"/>
            <w:tcBorders>
              <w:top w:val="nil"/>
              <w:left w:val="nil"/>
              <w:bottom w:val="single" w:sz="4" w:space="0" w:color="auto"/>
              <w:right w:val="nil"/>
            </w:tcBorders>
            <w:vAlign w:val="center"/>
          </w:tcPr>
          <w:p w:rsidR="000B433A" w:rsidRPr="005759E4" w:rsidRDefault="000B433A" w:rsidP="008F6F57">
            <w:pPr>
              <w:spacing w:after="0" w:line="240" w:lineRule="auto"/>
              <w:jc w:val="center"/>
              <w:rPr>
                <w:lang w:val="de-DE"/>
              </w:rPr>
            </w:pPr>
            <w:r w:rsidRPr="005759E4">
              <w:rPr>
                <w:sz w:val="22"/>
                <w:lang w:val="de-DE"/>
              </w:rPr>
              <w:t>(-41 %)</w:t>
            </w:r>
          </w:p>
        </w:tc>
        <w:tc>
          <w:tcPr>
            <w:tcW w:w="1200" w:type="dxa"/>
            <w:tcBorders>
              <w:top w:val="nil"/>
              <w:left w:val="single" w:sz="4" w:space="0" w:color="auto"/>
              <w:bottom w:val="single" w:sz="4" w:space="0" w:color="auto"/>
              <w:right w:val="single" w:sz="4" w:space="0" w:color="auto"/>
            </w:tcBorders>
            <w:vAlign w:val="center"/>
          </w:tcPr>
          <w:p w:rsidR="000B433A" w:rsidRPr="005759E4" w:rsidRDefault="000B433A" w:rsidP="008F6F57">
            <w:pPr>
              <w:spacing w:after="0" w:line="240" w:lineRule="auto"/>
              <w:jc w:val="center"/>
              <w:rPr>
                <w:lang w:val="de-DE"/>
              </w:rPr>
            </w:pPr>
            <w:r w:rsidRPr="005759E4">
              <w:rPr>
                <w:sz w:val="22"/>
                <w:lang w:val="de-DE"/>
              </w:rPr>
              <w:t>(-42 %)</w:t>
            </w:r>
          </w:p>
        </w:tc>
        <w:tc>
          <w:tcPr>
            <w:tcW w:w="1200" w:type="dxa"/>
            <w:tcBorders>
              <w:top w:val="nil"/>
              <w:left w:val="nil"/>
              <w:bottom w:val="single" w:sz="4" w:space="0" w:color="auto"/>
              <w:right w:val="single" w:sz="4" w:space="0" w:color="auto"/>
            </w:tcBorders>
            <w:vAlign w:val="center"/>
          </w:tcPr>
          <w:p w:rsidR="000B433A" w:rsidRPr="005759E4" w:rsidRDefault="000B433A" w:rsidP="008F6F57">
            <w:pPr>
              <w:spacing w:after="0" w:line="240" w:lineRule="auto"/>
              <w:jc w:val="center"/>
              <w:rPr>
                <w:lang w:val="de-DE"/>
              </w:rPr>
            </w:pPr>
            <w:r w:rsidRPr="005759E4">
              <w:rPr>
                <w:sz w:val="22"/>
                <w:lang w:val="de-DE"/>
              </w:rPr>
              <w:t>(-41 %)</w:t>
            </w:r>
          </w:p>
        </w:tc>
      </w:tr>
      <w:tr w:rsidR="000B433A" w:rsidRPr="005759E4" w:rsidTr="008F6F57">
        <w:trPr>
          <w:trHeight w:val="315"/>
        </w:trPr>
        <w:tc>
          <w:tcPr>
            <w:tcW w:w="1200" w:type="dxa"/>
            <w:vMerge w:val="restart"/>
            <w:tcBorders>
              <w:top w:val="nil"/>
              <w:left w:val="single" w:sz="4" w:space="0" w:color="auto"/>
              <w:bottom w:val="nil"/>
              <w:right w:val="nil"/>
            </w:tcBorders>
            <w:shd w:val="clear" w:color="000000" w:fill="4F81BD"/>
            <w:vAlign w:val="center"/>
          </w:tcPr>
          <w:p w:rsidR="000B433A" w:rsidRPr="008B07AF" w:rsidRDefault="000B433A" w:rsidP="008F6F57">
            <w:pPr>
              <w:spacing w:after="0" w:line="240" w:lineRule="auto"/>
              <w:jc w:val="center"/>
              <w:rPr>
                <w:color w:val="FFFFFF"/>
                <w:lang w:val="de-DE"/>
              </w:rPr>
            </w:pPr>
            <w:r>
              <w:rPr>
                <w:color w:val="FFFFFF"/>
                <w:sz w:val="22"/>
                <w:lang w:val="de-DE"/>
              </w:rPr>
              <w:t>SOx</w:t>
            </w:r>
          </w:p>
        </w:tc>
        <w:tc>
          <w:tcPr>
            <w:tcW w:w="1200" w:type="dxa"/>
            <w:vMerge w:val="restart"/>
            <w:tcBorders>
              <w:top w:val="nil"/>
              <w:left w:val="single" w:sz="4" w:space="0" w:color="auto"/>
              <w:bottom w:val="nil"/>
              <w:right w:val="single" w:sz="4" w:space="0" w:color="auto"/>
            </w:tcBorders>
            <w:vAlign w:val="center"/>
          </w:tcPr>
          <w:p w:rsidR="000B433A" w:rsidRPr="005759E4" w:rsidRDefault="000B433A" w:rsidP="008F6F57">
            <w:pPr>
              <w:spacing w:after="0" w:line="240" w:lineRule="auto"/>
              <w:jc w:val="center"/>
              <w:rPr>
                <w:lang w:val="de-DE"/>
              </w:rPr>
            </w:pPr>
            <w:r w:rsidRPr="005759E4">
              <w:rPr>
                <w:sz w:val="22"/>
                <w:lang w:val="de-DE"/>
              </w:rPr>
              <w:t>142,1</w:t>
            </w:r>
          </w:p>
        </w:tc>
        <w:tc>
          <w:tcPr>
            <w:tcW w:w="2220" w:type="dxa"/>
            <w:vMerge w:val="restart"/>
            <w:tcBorders>
              <w:top w:val="nil"/>
              <w:left w:val="nil"/>
              <w:bottom w:val="nil"/>
              <w:right w:val="nil"/>
            </w:tcBorders>
            <w:vAlign w:val="center"/>
          </w:tcPr>
          <w:p w:rsidR="000B433A" w:rsidRPr="005759E4" w:rsidRDefault="000B433A" w:rsidP="008F6F57">
            <w:pPr>
              <w:spacing w:after="0" w:line="240" w:lineRule="auto"/>
              <w:jc w:val="center"/>
              <w:rPr>
                <w:lang w:val="de-DE"/>
              </w:rPr>
            </w:pPr>
            <w:r w:rsidRPr="005759E4">
              <w:rPr>
                <w:sz w:val="22"/>
                <w:lang w:val="de-DE"/>
              </w:rPr>
              <w:t>-43 %</w:t>
            </w:r>
          </w:p>
        </w:tc>
        <w:tc>
          <w:tcPr>
            <w:tcW w:w="1200" w:type="dxa"/>
            <w:vMerge w:val="restart"/>
            <w:tcBorders>
              <w:top w:val="nil"/>
              <w:left w:val="single" w:sz="4" w:space="0" w:color="auto"/>
              <w:bottom w:val="nil"/>
              <w:right w:val="single" w:sz="4" w:space="0" w:color="auto"/>
            </w:tcBorders>
            <w:vAlign w:val="center"/>
          </w:tcPr>
          <w:p w:rsidR="000B433A" w:rsidRPr="005759E4" w:rsidRDefault="000B433A" w:rsidP="008F6F57">
            <w:pPr>
              <w:spacing w:after="0" w:line="240" w:lineRule="auto"/>
              <w:jc w:val="center"/>
              <w:rPr>
                <w:lang w:val="de-DE"/>
              </w:rPr>
            </w:pPr>
            <w:r w:rsidRPr="005759E4">
              <w:rPr>
                <w:sz w:val="22"/>
                <w:lang w:val="de-DE"/>
              </w:rPr>
              <w:t>81,0</w:t>
            </w:r>
          </w:p>
        </w:tc>
        <w:tc>
          <w:tcPr>
            <w:tcW w:w="1200" w:type="dxa"/>
            <w:tcBorders>
              <w:top w:val="nil"/>
              <w:left w:val="nil"/>
              <w:bottom w:val="nil"/>
              <w:right w:val="nil"/>
            </w:tcBorders>
            <w:vAlign w:val="center"/>
          </w:tcPr>
          <w:p w:rsidR="000B433A" w:rsidRPr="005759E4" w:rsidRDefault="000B433A" w:rsidP="008F6F57">
            <w:pPr>
              <w:spacing w:after="0" w:line="240" w:lineRule="auto"/>
              <w:jc w:val="center"/>
              <w:rPr>
                <w:bCs/>
                <w:lang w:val="de-DE"/>
              </w:rPr>
            </w:pPr>
            <w:r w:rsidRPr="005759E4">
              <w:rPr>
                <w:sz w:val="22"/>
                <w:lang w:val="de-DE"/>
              </w:rPr>
              <w:t>25,8</w:t>
            </w:r>
          </w:p>
        </w:tc>
        <w:tc>
          <w:tcPr>
            <w:tcW w:w="1200" w:type="dxa"/>
            <w:tcBorders>
              <w:top w:val="nil"/>
              <w:left w:val="single" w:sz="4" w:space="0" w:color="auto"/>
              <w:bottom w:val="nil"/>
              <w:right w:val="single" w:sz="4" w:space="0" w:color="auto"/>
            </w:tcBorders>
            <w:vAlign w:val="center"/>
          </w:tcPr>
          <w:p w:rsidR="000B433A" w:rsidRPr="005759E4" w:rsidRDefault="000B433A" w:rsidP="008F6F57">
            <w:pPr>
              <w:spacing w:after="0" w:line="240" w:lineRule="auto"/>
              <w:jc w:val="center"/>
              <w:rPr>
                <w:lang w:val="de-DE"/>
              </w:rPr>
            </w:pPr>
            <w:r w:rsidRPr="005759E4">
              <w:rPr>
                <w:sz w:val="22"/>
                <w:lang w:val="de-DE"/>
              </w:rPr>
              <w:t>43,9</w:t>
            </w:r>
          </w:p>
        </w:tc>
        <w:tc>
          <w:tcPr>
            <w:tcW w:w="1200" w:type="dxa"/>
            <w:tcBorders>
              <w:top w:val="nil"/>
              <w:left w:val="nil"/>
              <w:bottom w:val="nil"/>
              <w:right w:val="single" w:sz="4" w:space="0" w:color="auto"/>
            </w:tcBorders>
            <w:vAlign w:val="center"/>
          </w:tcPr>
          <w:p w:rsidR="000B433A" w:rsidRPr="005759E4" w:rsidRDefault="000B433A" w:rsidP="008F6F57">
            <w:pPr>
              <w:spacing w:after="0" w:line="240" w:lineRule="auto"/>
              <w:jc w:val="center"/>
              <w:rPr>
                <w:lang w:val="de-DE"/>
              </w:rPr>
            </w:pPr>
            <w:r w:rsidRPr="005759E4">
              <w:rPr>
                <w:sz w:val="22"/>
                <w:lang w:val="de-DE"/>
              </w:rPr>
              <w:t>1,7</w:t>
            </w:r>
          </w:p>
        </w:tc>
      </w:tr>
      <w:tr w:rsidR="000B433A" w:rsidRPr="005759E4" w:rsidTr="008F6F57">
        <w:trPr>
          <w:trHeight w:val="315"/>
        </w:trPr>
        <w:tc>
          <w:tcPr>
            <w:tcW w:w="1200" w:type="dxa"/>
            <w:vMerge/>
            <w:tcBorders>
              <w:top w:val="nil"/>
              <w:left w:val="single" w:sz="4" w:space="0" w:color="auto"/>
              <w:bottom w:val="nil"/>
              <w:right w:val="nil"/>
            </w:tcBorders>
            <w:vAlign w:val="center"/>
          </w:tcPr>
          <w:p w:rsidR="000B433A" w:rsidRPr="008B07AF" w:rsidRDefault="000B433A" w:rsidP="008F6F57">
            <w:pPr>
              <w:spacing w:after="0" w:line="240" w:lineRule="auto"/>
              <w:jc w:val="left"/>
              <w:rPr>
                <w:color w:val="FFFFFF"/>
                <w:lang w:val="de-DE"/>
              </w:rPr>
            </w:pPr>
          </w:p>
        </w:tc>
        <w:tc>
          <w:tcPr>
            <w:tcW w:w="1200" w:type="dxa"/>
            <w:vMerge/>
            <w:tcBorders>
              <w:top w:val="nil"/>
              <w:left w:val="single" w:sz="4" w:space="0" w:color="auto"/>
              <w:bottom w:val="nil"/>
              <w:right w:val="single" w:sz="4" w:space="0" w:color="auto"/>
            </w:tcBorders>
            <w:vAlign w:val="center"/>
          </w:tcPr>
          <w:p w:rsidR="000B433A" w:rsidRPr="005759E4" w:rsidRDefault="000B433A" w:rsidP="008F6F57">
            <w:pPr>
              <w:spacing w:after="0" w:line="240" w:lineRule="auto"/>
              <w:jc w:val="left"/>
              <w:rPr>
                <w:lang w:val="de-DE"/>
              </w:rPr>
            </w:pPr>
          </w:p>
        </w:tc>
        <w:tc>
          <w:tcPr>
            <w:tcW w:w="2220" w:type="dxa"/>
            <w:vMerge/>
            <w:tcBorders>
              <w:top w:val="nil"/>
              <w:left w:val="nil"/>
              <w:bottom w:val="nil"/>
              <w:right w:val="nil"/>
            </w:tcBorders>
            <w:vAlign w:val="center"/>
          </w:tcPr>
          <w:p w:rsidR="000B433A" w:rsidRPr="005759E4" w:rsidRDefault="000B433A" w:rsidP="008F6F57">
            <w:pPr>
              <w:spacing w:after="0" w:line="240" w:lineRule="auto"/>
              <w:jc w:val="left"/>
              <w:rPr>
                <w:lang w:val="de-DE"/>
              </w:rPr>
            </w:pPr>
          </w:p>
        </w:tc>
        <w:tc>
          <w:tcPr>
            <w:tcW w:w="1200" w:type="dxa"/>
            <w:vMerge/>
            <w:tcBorders>
              <w:top w:val="nil"/>
              <w:left w:val="single" w:sz="4" w:space="0" w:color="auto"/>
              <w:bottom w:val="nil"/>
              <w:right w:val="single" w:sz="4" w:space="0" w:color="auto"/>
            </w:tcBorders>
            <w:vAlign w:val="center"/>
          </w:tcPr>
          <w:p w:rsidR="000B433A" w:rsidRPr="005759E4" w:rsidRDefault="000B433A" w:rsidP="008F6F57">
            <w:pPr>
              <w:spacing w:after="0" w:line="240" w:lineRule="auto"/>
              <w:jc w:val="left"/>
              <w:rPr>
                <w:lang w:val="de-DE"/>
              </w:rPr>
            </w:pPr>
          </w:p>
        </w:tc>
        <w:tc>
          <w:tcPr>
            <w:tcW w:w="1200" w:type="dxa"/>
            <w:tcBorders>
              <w:top w:val="nil"/>
              <w:left w:val="nil"/>
              <w:bottom w:val="nil"/>
              <w:right w:val="nil"/>
            </w:tcBorders>
            <w:vAlign w:val="center"/>
          </w:tcPr>
          <w:p w:rsidR="000B433A" w:rsidRPr="005759E4" w:rsidRDefault="000B433A" w:rsidP="008F6F57">
            <w:pPr>
              <w:spacing w:after="0" w:line="240" w:lineRule="auto"/>
              <w:jc w:val="center"/>
              <w:rPr>
                <w:lang w:val="de-DE"/>
              </w:rPr>
            </w:pPr>
            <w:r w:rsidRPr="005759E4">
              <w:rPr>
                <w:sz w:val="22"/>
                <w:lang w:val="de-DE"/>
              </w:rPr>
              <w:t>(-42 %)</w:t>
            </w:r>
          </w:p>
        </w:tc>
        <w:tc>
          <w:tcPr>
            <w:tcW w:w="1200" w:type="dxa"/>
            <w:tcBorders>
              <w:top w:val="nil"/>
              <w:left w:val="single" w:sz="4" w:space="0" w:color="auto"/>
              <w:bottom w:val="nil"/>
              <w:right w:val="single" w:sz="4" w:space="0" w:color="auto"/>
            </w:tcBorders>
            <w:vAlign w:val="center"/>
          </w:tcPr>
          <w:p w:rsidR="000B433A" w:rsidRPr="005759E4" w:rsidRDefault="000B433A" w:rsidP="008F6F57">
            <w:pPr>
              <w:spacing w:after="0" w:line="240" w:lineRule="auto"/>
              <w:jc w:val="center"/>
              <w:rPr>
                <w:lang w:val="de-DE"/>
              </w:rPr>
            </w:pPr>
            <w:r w:rsidRPr="005759E4">
              <w:rPr>
                <w:sz w:val="22"/>
                <w:lang w:val="de-DE"/>
              </w:rPr>
              <w:t>(-55 %)</w:t>
            </w:r>
          </w:p>
        </w:tc>
        <w:tc>
          <w:tcPr>
            <w:tcW w:w="1200" w:type="dxa"/>
            <w:tcBorders>
              <w:top w:val="nil"/>
              <w:left w:val="nil"/>
              <w:bottom w:val="nil"/>
              <w:right w:val="single" w:sz="4" w:space="0" w:color="auto"/>
            </w:tcBorders>
            <w:vAlign w:val="center"/>
          </w:tcPr>
          <w:p w:rsidR="000B433A" w:rsidRPr="005759E4" w:rsidRDefault="000B433A" w:rsidP="008F6F57">
            <w:pPr>
              <w:spacing w:after="0" w:line="240" w:lineRule="auto"/>
              <w:jc w:val="center"/>
              <w:rPr>
                <w:lang w:val="de-DE"/>
              </w:rPr>
            </w:pPr>
            <w:r w:rsidRPr="005759E4">
              <w:rPr>
                <w:sz w:val="22"/>
                <w:lang w:val="de-DE"/>
              </w:rPr>
              <w:t>(+80 %)</w:t>
            </w:r>
          </w:p>
        </w:tc>
      </w:tr>
      <w:tr w:rsidR="000B433A" w:rsidRPr="005759E4" w:rsidTr="008F6F57">
        <w:trPr>
          <w:trHeight w:val="315"/>
        </w:trPr>
        <w:tc>
          <w:tcPr>
            <w:tcW w:w="1200" w:type="dxa"/>
            <w:vMerge w:val="restart"/>
            <w:tcBorders>
              <w:top w:val="single" w:sz="4" w:space="0" w:color="auto"/>
              <w:left w:val="single" w:sz="4" w:space="0" w:color="auto"/>
              <w:bottom w:val="single" w:sz="4" w:space="0" w:color="000000"/>
              <w:right w:val="nil"/>
            </w:tcBorders>
            <w:shd w:val="clear" w:color="000000" w:fill="4F81BD"/>
            <w:vAlign w:val="center"/>
          </w:tcPr>
          <w:p w:rsidR="000B433A" w:rsidRPr="008B07AF" w:rsidRDefault="000B433A" w:rsidP="008F6F57">
            <w:pPr>
              <w:spacing w:after="0" w:line="240" w:lineRule="auto"/>
              <w:jc w:val="center"/>
              <w:rPr>
                <w:color w:val="FFFFFF"/>
                <w:lang w:val="de-DE"/>
              </w:rPr>
            </w:pPr>
            <w:r>
              <w:rPr>
                <w:color w:val="FFFFFF"/>
                <w:sz w:val="22"/>
                <w:lang w:val="de-DE"/>
              </w:rPr>
              <w:t>PM2,5</w:t>
            </w:r>
          </w:p>
        </w:tc>
        <w:tc>
          <w:tcPr>
            <w:tcW w:w="1200" w:type="dxa"/>
            <w:vMerge w:val="restart"/>
            <w:tcBorders>
              <w:top w:val="single" w:sz="4" w:space="0" w:color="auto"/>
              <w:left w:val="single" w:sz="4" w:space="0" w:color="auto"/>
              <w:bottom w:val="single" w:sz="4" w:space="0" w:color="000000"/>
              <w:right w:val="single" w:sz="4" w:space="0" w:color="auto"/>
            </w:tcBorders>
            <w:vAlign w:val="center"/>
          </w:tcPr>
          <w:p w:rsidR="000B433A" w:rsidRPr="005759E4" w:rsidRDefault="000B433A" w:rsidP="008F6F57">
            <w:pPr>
              <w:spacing w:after="0" w:line="240" w:lineRule="auto"/>
              <w:jc w:val="center"/>
              <w:rPr>
                <w:lang w:val="de-DE"/>
              </w:rPr>
            </w:pPr>
            <w:r w:rsidRPr="005759E4">
              <w:rPr>
                <w:sz w:val="22"/>
                <w:lang w:val="de-DE"/>
              </w:rPr>
              <w:t>34,8</w:t>
            </w:r>
          </w:p>
        </w:tc>
        <w:tc>
          <w:tcPr>
            <w:tcW w:w="2220" w:type="dxa"/>
            <w:vMerge w:val="restart"/>
            <w:tcBorders>
              <w:top w:val="single" w:sz="4" w:space="0" w:color="auto"/>
              <w:left w:val="nil"/>
              <w:bottom w:val="single" w:sz="4" w:space="0" w:color="000000"/>
              <w:right w:val="nil"/>
            </w:tcBorders>
            <w:vAlign w:val="center"/>
          </w:tcPr>
          <w:p w:rsidR="000B433A" w:rsidRPr="005759E4" w:rsidRDefault="000B433A" w:rsidP="008F6F57">
            <w:pPr>
              <w:spacing w:after="0" w:line="240" w:lineRule="auto"/>
              <w:jc w:val="center"/>
              <w:rPr>
                <w:lang w:val="de-DE"/>
              </w:rPr>
            </w:pPr>
            <w:r w:rsidRPr="005759E4">
              <w:rPr>
                <w:sz w:val="22"/>
                <w:lang w:val="de-DE"/>
              </w:rPr>
              <w:t>-20 %</w:t>
            </w:r>
          </w:p>
        </w:tc>
        <w:tc>
          <w:tcPr>
            <w:tcW w:w="1200" w:type="dxa"/>
            <w:vMerge w:val="restart"/>
            <w:tcBorders>
              <w:top w:val="single" w:sz="4" w:space="0" w:color="auto"/>
              <w:left w:val="single" w:sz="4" w:space="0" w:color="auto"/>
              <w:bottom w:val="single" w:sz="4" w:space="0" w:color="000000"/>
              <w:right w:val="single" w:sz="4" w:space="0" w:color="auto"/>
            </w:tcBorders>
            <w:vAlign w:val="center"/>
          </w:tcPr>
          <w:p w:rsidR="000B433A" w:rsidRPr="005759E4" w:rsidRDefault="000B433A" w:rsidP="008F6F57">
            <w:pPr>
              <w:spacing w:after="0" w:line="240" w:lineRule="auto"/>
              <w:jc w:val="center"/>
              <w:rPr>
                <w:lang w:val="de-DE"/>
              </w:rPr>
            </w:pPr>
            <w:r w:rsidRPr="005759E4">
              <w:rPr>
                <w:sz w:val="22"/>
                <w:lang w:val="de-DE"/>
              </w:rPr>
              <w:t>27,8</w:t>
            </w:r>
          </w:p>
        </w:tc>
        <w:tc>
          <w:tcPr>
            <w:tcW w:w="1200" w:type="dxa"/>
            <w:tcBorders>
              <w:top w:val="single" w:sz="4" w:space="0" w:color="auto"/>
              <w:left w:val="nil"/>
              <w:bottom w:val="nil"/>
              <w:right w:val="nil"/>
            </w:tcBorders>
            <w:vAlign w:val="center"/>
          </w:tcPr>
          <w:p w:rsidR="000B433A" w:rsidRPr="005759E4" w:rsidRDefault="000B433A" w:rsidP="008F6F57">
            <w:pPr>
              <w:spacing w:after="0" w:line="240" w:lineRule="auto"/>
              <w:jc w:val="center"/>
              <w:rPr>
                <w:bCs/>
                <w:lang w:val="de-DE"/>
              </w:rPr>
            </w:pPr>
            <w:r w:rsidRPr="005759E4">
              <w:rPr>
                <w:sz w:val="22"/>
                <w:lang w:val="de-DE"/>
              </w:rPr>
              <w:t>11,3</w:t>
            </w:r>
          </w:p>
        </w:tc>
        <w:tc>
          <w:tcPr>
            <w:tcW w:w="1200" w:type="dxa"/>
            <w:tcBorders>
              <w:top w:val="single" w:sz="4" w:space="0" w:color="auto"/>
              <w:left w:val="single" w:sz="4" w:space="0" w:color="auto"/>
              <w:bottom w:val="nil"/>
              <w:right w:val="single" w:sz="4" w:space="0" w:color="auto"/>
            </w:tcBorders>
            <w:vAlign w:val="center"/>
          </w:tcPr>
          <w:p w:rsidR="000B433A" w:rsidRPr="005759E4" w:rsidRDefault="000B433A" w:rsidP="008F6F57">
            <w:pPr>
              <w:spacing w:after="0" w:line="240" w:lineRule="auto"/>
              <w:jc w:val="center"/>
              <w:rPr>
                <w:lang w:val="de-DE"/>
              </w:rPr>
            </w:pPr>
            <w:r w:rsidRPr="005759E4">
              <w:rPr>
                <w:sz w:val="22"/>
                <w:lang w:val="de-DE"/>
              </w:rPr>
              <w:t>14,2</w:t>
            </w:r>
          </w:p>
        </w:tc>
        <w:tc>
          <w:tcPr>
            <w:tcW w:w="1200" w:type="dxa"/>
            <w:tcBorders>
              <w:top w:val="single" w:sz="4" w:space="0" w:color="auto"/>
              <w:left w:val="nil"/>
              <w:bottom w:val="nil"/>
              <w:right w:val="single" w:sz="4" w:space="0" w:color="auto"/>
            </w:tcBorders>
            <w:vAlign w:val="center"/>
          </w:tcPr>
          <w:p w:rsidR="000B433A" w:rsidRPr="005759E4" w:rsidRDefault="000B433A" w:rsidP="008F6F57">
            <w:pPr>
              <w:spacing w:after="0" w:line="240" w:lineRule="auto"/>
              <w:jc w:val="center"/>
              <w:rPr>
                <w:lang w:val="de-DE"/>
              </w:rPr>
            </w:pPr>
            <w:r w:rsidRPr="005759E4">
              <w:rPr>
                <w:sz w:val="22"/>
                <w:lang w:val="de-DE"/>
              </w:rPr>
              <w:t>0,5</w:t>
            </w:r>
          </w:p>
        </w:tc>
      </w:tr>
      <w:tr w:rsidR="000B433A" w:rsidRPr="005759E4" w:rsidTr="008F6F57">
        <w:trPr>
          <w:trHeight w:val="315"/>
        </w:trPr>
        <w:tc>
          <w:tcPr>
            <w:tcW w:w="1200" w:type="dxa"/>
            <w:vMerge/>
            <w:tcBorders>
              <w:top w:val="single" w:sz="4" w:space="0" w:color="auto"/>
              <w:left w:val="single" w:sz="4" w:space="0" w:color="auto"/>
              <w:bottom w:val="single" w:sz="4" w:space="0" w:color="000000"/>
              <w:right w:val="nil"/>
            </w:tcBorders>
            <w:vAlign w:val="center"/>
          </w:tcPr>
          <w:p w:rsidR="000B433A" w:rsidRPr="008B07AF" w:rsidRDefault="000B433A" w:rsidP="008F6F57">
            <w:pPr>
              <w:spacing w:after="0" w:line="240" w:lineRule="auto"/>
              <w:jc w:val="left"/>
              <w:rPr>
                <w:color w:val="FFFFFF"/>
                <w:lang w:val="de-DE"/>
              </w:rPr>
            </w:pPr>
          </w:p>
        </w:tc>
        <w:tc>
          <w:tcPr>
            <w:tcW w:w="1200" w:type="dxa"/>
            <w:vMerge/>
            <w:tcBorders>
              <w:top w:val="single" w:sz="4" w:space="0" w:color="auto"/>
              <w:left w:val="single" w:sz="4" w:space="0" w:color="auto"/>
              <w:bottom w:val="single" w:sz="4" w:space="0" w:color="000000"/>
              <w:right w:val="single" w:sz="4" w:space="0" w:color="auto"/>
            </w:tcBorders>
            <w:vAlign w:val="center"/>
          </w:tcPr>
          <w:p w:rsidR="000B433A" w:rsidRPr="005759E4" w:rsidRDefault="000B433A" w:rsidP="008F6F57">
            <w:pPr>
              <w:spacing w:after="0" w:line="240" w:lineRule="auto"/>
              <w:jc w:val="left"/>
              <w:rPr>
                <w:lang w:val="de-DE"/>
              </w:rPr>
            </w:pPr>
          </w:p>
        </w:tc>
        <w:tc>
          <w:tcPr>
            <w:tcW w:w="2220" w:type="dxa"/>
            <w:vMerge/>
            <w:tcBorders>
              <w:top w:val="single" w:sz="4" w:space="0" w:color="auto"/>
              <w:left w:val="nil"/>
              <w:bottom w:val="single" w:sz="4" w:space="0" w:color="000000"/>
              <w:right w:val="nil"/>
            </w:tcBorders>
            <w:vAlign w:val="center"/>
          </w:tcPr>
          <w:p w:rsidR="000B433A" w:rsidRPr="005759E4" w:rsidRDefault="000B433A" w:rsidP="008F6F57">
            <w:pPr>
              <w:spacing w:after="0" w:line="240" w:lineRule="auto"/>
              <w:jc w:val="left"/>
              <w:rPr>
                <w:lang w:val="de-DE"/>
              </w:rPr>
            </w:pPr>
          </w:p>
        </w:tc>
        <w:tc>
          <w:tcPr>
            <w:tcW w:w="1200" w:type="dxa"/>
            <w:vMerge/>
            <w:tcBorders>
              <w:top w:val="single" w:sz="4" w:space="0" w:color="auto"/>
              <w:left w:val="single" w:sz="4" w:space="0" w:color="auto"/>
              <w:bottom w:val="single" w:sz="4" w:space="0" w:color="000000"/>
              <w:right w:val="single" w:sz="4" w:space="0" w:color="auto"/>
            </w:tcBorders>
            <w:vAlign w:val="center"/>
          </w:tcPr>
          <w:p w:rsidR="000B433A" w:rsidRPr="005759E4" w:rsidRDefault="000B433A" w:rsidP="008F6F57">
            <w:pPr>
              <w:spacing w:after="0" w:line="240" w:lineRule="auto"/>
              <w:jc w:val="left"/>
              <w:rPr>
                <w:lang w:val="de-DE"/>
              </w:rPr>
            </w:pPr>
          </w:p>
        </w:tc>
        <w:tc>
          <w:tcPr>
            <w:tcW w:w="1200" w:type="dxa"/>
            <w:tcBorders>
              <w:top w:val="nil"/>
              <w:left w:val="nil"/>
              <w:bottom w:val="single" w:sz="4" w:space="0" w:color="auto"/>
              <w:right w:val="nil"/>
            </w:tcBorders>
            <w:vAlign w:val="center"/>
          </w:tcPr>
          <w:p w:rsidR="000B433A" w:rsidRPr="005759E4" w:rsidRDefault="000B433A" w:rsidP="008F6F57">
            <w:pPr>
              <w:spacing w:after="0" w:line="240" w:lineRule="auto"/>
              <w:jc w:val="center"/>
              <w:rPr>
                <w:lang w:val="de-DE"/>
              </w:rPr>
            </w:pPr>
            <w:r w:rsidRPr="005759E4">
              <w:rPr>
                <w:sz w:val="22"/>
                <w:lang w:val="de-DE"/>
              </w:rPr>
              <w:t>(-26 %)</w:t>
            </w:r>
          </w:p>
        </w:tc>
        <w:tc>
          <w:tcPr>
            <w:tcW w:w="1200" w:type="dxa"/>
            <w:tcBorders>
              <w:top w:val="nil"/>
              <w:left w:val="single" w:sz="4" w:space="0" w:color="auto"/>
              <w:bottom w:val="single" w:sz="4" w:space="0" w:color="auto"/>
              <w:right w:val="single" w:sz="4" w:space="0" w:color="auto"/>
            </w:tcBorders>
            <w:vAlign w:val="center"/>
          </w:tcPr>
          <w:p w:rsidR="000B433A" w:rsidRPr="005759E4" w:rsidRDefault="000B433A" w:rsidP="008F6F57">
            <w:pPr>
              <w:spacing w:after="0" w:line="240" w:lineRule="auto"/>
              <w:jc w:val="center"/>
              <w:rPr>
                <w:lang w:val="de-DE"/>
              </w:rPr>
            </w:pPr>
            <w:r w:rsidRPr="005759E4">
              <w:rPr>
                <w:sz w:val="22"/>
                <w:lang w:val="de-DE"/>
              </w:rPr>
              <w:t>(-24 %)</w:t>
            </w:r>
          </w:p>
        </w:tc>
        <w:tc>
          <w:tcPr>
            <w:tcW w:w="1200" w:type="dxa"/>
            <w:tcBorders>
              <w:top w:val="nil"/>
              <w:left w:val="nil"/>
              <w:bottom w:val="single" w:sz="4" w:space="0" w:color="auto"/>
              <w:right w:val="single" w:sz="4" w:space="0" w:color="auto"/>
            </w:tcBorders>
            <w:vAlign w:val="center"/>
          </w:tcPr>
          <w:p w:rsidR="000B433A" w:rsidRPr="005759E4" w:rsidRDefault="000B433A" w:rsidP="008F6F57">
            <w:pPr>
              <w:spacing w:after="0" w:line="240" w:lineRule="auto"/>
              <w:jc w:val="center"/>
              <w:rPr>
                <w:lang w:val="de-DE"/>
              </w:rPr>
            </w:pPr>
            <w:r w:rsidRPr="005759E4">
              <w:rPr>
                <w:sz w:val="22"/>
                <w:lang w:val="de-DE"/>
              </w:rPr>
              <w:t>(-17 %)</w:t>
            </w:r>
          </w:p>
        </w:tc>
      </w:tr>
      <w:tr w:rsidR="000B433A" w:rsidRPr="005759E4" w:rsidTr="008F6F57">
        <w:trPr>
          <w:trHeight w:val="315"/>
        </w:trPr>
        <w:tc>
          <w:tcPr>
            <w:tcW w:w="1200" w:type="dxa"/>
            <w:vMerge w:val="restart"/>
            <w:tcBorders>
              <w:top w:val="nil"/>
              <w:left w:val="single" w:sz="4" w:space="0" w:color="auto"/>
              <w:bottom w:val="nil"/>
              <w:right w:val="nil"/>
            </w:tcBorders>
            <w:shd w:val="clear" w:color="000000" w:fill="4F81BD"/>
            <w:vAlign w:val="center"/>
          </w:tcPr>
          <w:p w:rsidR="000B433A" w:rsidRPr="008B07AF" w:rsidRDefault="000B433A" w:rsidP="008F6F57">
            <w:pPr>
              <w:spacing w:after="0" w:line="240" w:lineRule="auto"/>
              <w:jc w:val="center"/>
              <w:rPr>
                <w:color w:val="FFFFFF"/>
                <w:lang w:val="de-DE"/>
              </w:rPr>
            </w:pPr>
            <w:r>
              <w:rPr>
                <w:color w:val="FFFFFF"/>
                <w:sz w:val="22"/>
                <w:lang w:val="de-DE"/>
              </w:rPr>
              <w:t>NMVOC</w:t>
            </w:r>
          </w:p>
        </w:tc>
        <w:tc>
          <w:tcPr>
            <w:tcW w:w="1200" w:type="dxa"/>
            <w:vMerge w:val="restart"/>
            <w:tcBorders>
              <w:top w:val="nil"/>
              <w:left w:val="single" w:sz="4" w:space="0" w:color="auto"/>
              <w:bottom w:val="nil"/>
              <w:right w:val="single" w:sz="4" w:space="0" w:color="auto"/>
            </w:tcBorders>
            <w:vAlign w:val="center"/>
          </w:tcPr>
          <w:p w:rsidR="000B433A" w:rsidRPr="005759E4" w:rsidRDefault="000B433A" w:rsidP="008F6F57">
            <w:pPr>
              <w:spacing w:after="0" w:line="240" w:lineRule="auto"/>
              <w:jc w:val="center"/>
              <w:rPr>
                <w:lang w:val="de-DE"/>
              </w:rPr>
            </w:pPr>
            <w:r w:rsidRPr="005759E4">
              <w:rPr>
                <w:sz w:val="22"/>
                <w:lang w:val="de-DE"/>
              </w:rPr>
              <w:t>145,8</w:t>
            </w:r>
          </w:p>
        </w:tc>
        <w:tc>
          <w:tcPr>
            <w:tcW w:w="2220" w:type="dxa"/>
            <w:vMerge w:val="restart"/>
            <w:tcBorders>
              <w:top w:val="nil"/>
              <w:left w:val="nil"/>
              <w:bottom w:val="nil"/>
              <w:right w:val="nil"/>
            </w:tcBorders>
            <w:vAlign w:val="center"/>
          </w:tcPr>
          <w:p w:rsidR="000B433A" w:rsidRPr="005759E4" w:rsidRDefault="000B433A" w:rsidP="008F6F57">
            <w:pPr>
              <w:spacing w:after="0" w:line="240" w:lineRule="auto"/>
              <w:jc w:val="center"/>
              <w:rPr>
                <w:lang w:val="de-DE"/>
              </w:rPr>
            </w:pPr>
            <w:r w:rsidRPr="005759E4">
              <w:rPr>
                <w:sz w:val="22"/>
                <w:lang w:val="de-DE"/>
              </w:rPr>
              <w:t>-21 %</w:t>
            </w:r>
          </w:p>
        </w:tc>
        <w:tc>
          <w:tcPr>
            <w:tcW w:w="1200" w:type="dxa"/>
            <w:vMerge w:val="restart"/>
            <w:tcBorders>
              <w:top w:val="nil"/>
              <w:left w:val="single" w:sz="4" w:space="0" w:color="auto"/>
              <w:bottom w:val="nil"/>
              <w:right w:val="single" w:sz="4" w:space="0" w:color="auto"/>
            </w:tcBorders>
            <w:vAlign w:val="center"/>
          </w:tcPr>
          <w:p w:rsidR="000B433A" w:rsidRPr="005759E4" w:rsidRDefault="000B433A" w:rsidP="008F6F57">
            <w:pPr>
              <w:spacing w:after="0" w:line="240" w:lineRule="auto"/>
              <w:jc w:val="center"/>
              <w:rPr>
                <w:lang w:val="de-DE"/>
              </w:rPr>
            </w:pPr>
            <w:r w:rsidRPr="005759E4">
              <w:rPr>
                <w:sz w:val="22"/>
                <w:lang w:val="de-DE"/>
              </w:rPr>
              <w:t>115,2</w:t>
            </w:r>
          </w:p>
        </w:tc>
        <w:tc>
          <w:tcPr>
            <w:tcW w:w="1200" w:type="dxa"/>
            <w:tcBorders>
              <w:top w:val="nil"/>
              <w:left w:val="nil"/>
              <w:bottom w:val="nil"/>
              <w:right w:val="nil"/>
            </w:tcBorders>
            <w:vAlign w:val="center"/>
          </w:tcPr>
          <w:p w:rsidR="000B433A" w:rsidRPr="005759E4" w:rsidRDefault="000B433A" w:rsidP="008F6F57">
            <w:pPr>
              <w:spacing w:after="0" w:line="240" w:lineRule="auto"/>
              <w:jc w:val="center"/>
              <w:rPr>
                <w:bCs/>
                <w:lang w:val="de-DE"/>
              </w:rPr>
            </w:pPr>
            <w:r w:rsidRPr="005759E4">
              <w:rPr>
                <w:sz w:val="22"/>
                <w:lang w:val="de-DE"/>
              </w:rPr>
              <w:t>36,8</w:t>
            </w:r>
          </w:p>
        </w:tc>
        <w:tc>
          <w:tcPr>
            <w:tcW w:w="1200" w:type="dxa"/>
            <w:tcBorders>
              <w:top w:val="nil"/>
              <w:left w:val="single" w:sz="4" w:space="0" w:color="auto"/>
              <w:bottom w:val="nil"/>
              <w:right w:val="single" w:sz="4" w:space="0" w:color="auto"/>
            </w:tcBorders>
            <w:vAlign w:val="center"/>
          </w:tcPr>
          <w:p w:rsidR="000B433A" w:rsidRPr="005759E4" w:rsidRDefault="000B433A" w:rsidP="008F6F57">
            <w:pPr>
              <w:spacing w:after="0" w:line="240" w:lineRule="auto"/>
              <w:jc w:val="center"/>
              <w:rPr>
                <w:lang w:val="de-DE"/>
              </w:rPr>
            </w:pPr>
            <w:r w:rsidRPr="005759E4">
              <w:rPr>
                <w:sz w:val="22"/>
                <w:lang w:val="de-DE"/>
              </w:rPr>
              <w:t>73,1</w:t>
            </w:r>
          </w:p>
        </w:tc>
        <w:tc>
          <w:tcPr>
            <w:tcW w:w="1200" w:type="dxa"/>
            <w:tcBorders>
              <w:top w:val="nil"/>
              <w:left w:val="nil"/>
              <w:bottom w:val="nil"/>
              <w:right w:val="single" w:sz="4" w:space="0" w:color="auto"/>
            </w:tcBorders>
            <w:vAlign w:val="center"/>
          </w:tcPr>
          <w:p w:rsidR="000B433A" w:rsidRPr="005759E4" w:rsidRDefault="000B433A" w:rsidP="008F6F57">
            <w:pPr>
              <w:spacing w:after="0" w:line="240" w:lineRule="auto"/>
              <w:jc w:val="center"/>
              <w:rPr>
                <w:lang w:val="de-DE"/>
              </w:rPr>
            </w:pPr>
            <w:r w:rsidRPr="005759E4">
              <w:rPr>
                <w:sz w:val="22"/>
                <w:lang w:val="de-DE"/>
              </w:rPr>
              <w:t>4,6</w:t>
            </w:r>
          </w:p>
        </w:tc>
      </w:tr>
      <w:tr w:rsidR="000B433A" w:rsidRPr="005759E4" w:rsidTr="008F6F57">
        <w:trPr>
          <w:trHeight w:val="330"/>
        </w:trPr>
        <w:tc>
          <w:tcPr>
            <w:tcW w:w="1200" w:type="dxa"/>
            <w:vMerge/>
            <w:tcBorders>
              <w:top w:val="nil"/>
              <w:left w:val="single" w:sz="4" w:space="0" w:color="auto"/>
              <w:bottom w:val="nil"/>
              <w:right w:val="nil"/>
            </w:tcBorders>
            <w:vAlign w:val="center"/>
          </w:tcPr>
          <w:p w:rsidR="000B433A" w:rsidRPr="008B07AF" w:rsidRDefault="000B433A" w:rsidP="008F6F57">
            <w:pPr>
              <w:spacing w:after="0" w:line="240" w:lineRule="auto"/>
              <w:jc w:val="left"/>
              <w:rPr>
                <w:color w:val="FFFFFF"/>
                <w:lang w:val="de-DE"/>
              </w:rPr>
            </w:pPr>
          </w:p>
        </w:tc>
        <w:tc>
          <w:tcPr>
            <w:tcW w:w="1200" w:type="dxa"/>
            <w:vMerge/>
            <w:tcBorders>
              <w:top w:val="nil"/>
              <w:left w:val="single" w:sz="4" w:space="0" w:color="auto"/>
              <w:bottom w:val="nil"/>
              <w:right w:val="single" w:sz="4" w:space="0" w:color="auto"/>
            </w:tcBorders>
            <w:vAlign w:val="center"/>
          </w:tcPr>
          <w:p w:rsidR="000B433A" w:rsidRPr="005759E4" w:rsidRDefault="000B433A" w:rsidP="008F6F57">
            <w:pPr>
              <w:spacing w:after="0" w:line="240" w:lineRule="auto"/>
              <w:jc w:val="left"/>
              <w:rPr>
                <w:lang w:val="de-DE"/>
              </w:rPr>
            </w:pPr>
          </w:p>
        </w:tc>
        <w:tc>
          <w:tcPr>
            <w:tcW w:w="2220" w:type="dxa"/>
            <w:vMerge/>
            <w:tcBorders>
              <w:top w:val="nil"/>
              <w:left w:val="nil"/>
              <w:bottom w:val="nil"/>
              <w:right w:val="nil"/>
            </w:tcBorders>
            <w:vAlign w:val="center"/>
          </w:tcPr>
          <w:p w:rsidR="000B433A" w:rsidRPr="005759E4" w:rsidRDefault="000B433A" w:rsidP="008F6F57">
            <w:pPr>
              <w:spacing w:after="0" w:line="240" w:lineRule="auto"/>
              <w:jc w:val="left"/>
              <w:rPr>
                <w:lang w:val="de-DE"/>
              </w:rPr>
            </w:pPr>
          </w:p>
        </w:tc>
        <w:tc>
          <w:tcPr>
            <w:tcW w:w="1200" w:type="dxa"/>
            <w:vMerge/>
            <w:tcBorders>
              <w:top w:val="nil"/>
              <w:left w:val="single" w:sz="4" w:space="0" w:color="auto"/>
              <w:bottom w:val="nil"/>
              <w:right w:val="single" w:sz="4" w:space="0" w:color="auto"/>
            </w:tcBorders>
            <w:vAlign w:val="center"/>
          </w:tcPr>
          <w:p w:rsidR="000B433A" w:rsidRPr="005759E4" w:rsidRDefault="000B433A" w:rsidP="008F6F57">
            <w:pPr>
              <w:spacing w:after="0" w:line="240" w:lineRule="auto"/>
              <w:jc w:val="left"/>
              <w:rPr>
                <w:lang w:val="de-DE"/>
              </w:rPr>
            </w:pPr>
          </w:p>
        </w:tc>
        <w:tc>
          <w:tcPr>
            <w:tcW w:w="1200" w:type="dxa"/>
            <w:tcBorders>
              <w:top w:val="nil"/>
              <w:left w:val="nil"/>
              <w:bottom w:val="nil"/>
              <w:right w:val="nil"/>
            </w:tcBorders>
            <w:vAlign w:val="center"/>
          </w:tcPr>
          <w:p w:rsidR="000B433A" w:rsidRPr="005759E4" w:rsidRDefault="000B433A" w:rsidP="008F6F57">
            <w:pPr>
              <w:spacing w:after="0" w:line="240" w:lineRule="auto"/>
              <w:jc w:val="center"/>
              <w:rPr>
                <w:lang w:val="de-DE"/>
              </w:rPr>
            </w:pPr>
            <w:r w:rsidRPr="005759E4">
              <w:rPr>
                <w:sz w:val="22"/>
                <w:lang w:val="de-DE"/>
              </w:rPr>
              <w:t>(-21 %)</w:t>
            </w:r>
          </w:p>
        </w:tc>
        <w:tc>
          <w:tcPr>
            <w:tcW w:w="1200" w:type="dxa"/>
            <w:tcBorders>
              <w:top w:val="nil"/>
              <w:left w:val="single" w:sz="4" w:space="0" w:color="auto"/>
              <w:bottom w:val="nil"/>
              <w:right w:val="single" w:sz="4" w:space="0" w:color="auto"/>
            </w:tcBorders>
            <w:vAlign w:val="center"/>
          </w:tcPr>
          <w:p w:rsidR="000B433A" w:rsidRPr="005759E4" w:rsidRDefault="000B433A" w:rsidP="008F6F57">
            <w:pPr>
              <w:spacing w:after="0" w:line="240" w:lineRule="auto"/>
              <w:jc w:val="center"/>
              <w:rPr>
                <w:lang w:val="de-DE"/>
              </w:rPr>
            </w:pPr>
            <w:r w:rsidRPr="005759E4">
              <w:rPr>
                <w:sz w:val="22"/>
                <w:lang w:val="de-DE"/>
              </w:rPr>
              <w:t>(-22 %)</w:t>
            </w:r>
          </w:p>
        </w:tc>
        <w:tc>
          <w:tcPr>
            <w:tcW w:w="1200" w:type="dxa"/>
            <w:tcBorders>
              <w:top w:val="nil"/>
              <w:left w:val="nil"/>
              <w:bottom w:val="nil"/>
              <w:right w:val="single" w:sz="4" w:space="0" w:color="auto"/>
            </w:tcBorders>
            <w:vAlign w:val="center"/>
          </w:tcPr>
          <w:p w:rsidR="000B433A" w:rsidRPr="005759E4" w:rsidRDefault="000B433A" w:rsidP="008F6F57">
            <w:pPr>
              <w:spacing w:after="0" w:line="240" w:lineRule="auto"/>
              <w:jc w:val="center"/>
              <w:rPr>
                <w:lang w:val="de-DE"/>
              </w:rPr>
            </w:pPr>
            <w:r w:rsidRPr="005759E4">
              <w:rPr>
                <w:sz w:val="22"/>
                <w:lang w:val="de-DE"/>
              </w:rPr>
              <w:t>(-23 %)</w:t>
            </w:r>
          </w:p>
        </w:tc>
      </w:tr>
      <w:tr w:rsidR="000B433A" w:rsidRPr="005759E4" w:rsidTr="008F6F57">
        <w:trPr>
          <w:trHeight w:val="315"/>
        </w:trPr>
        <w:tc>
          <w:tcPr>
            <w:tcW w:w="1200" w:type="dxa"/>
            <w:vMerge w:val="restart"/>
            <w:tcBorders>
              <w:top w:val="single" w:sz="4" w:space="0" w:color="auto"/>
              <w:left w:val="single" w:sz="4" w:space="0" w:color="auto"/>
              <w:bottom w:val="single" w:sz="4" w:space="0" w:color="000000"/>
              <w:right w:val="nil"/>
            </w:tcBorders>
            <w:shd w:val="clear" w:color="000000" w:fill="4F81BD"/>
            <w:vAlign w:val="center"/>
          </w:tcPr>
          <w:p w:rsidR="000B433A" w:rsidRPr="008B07AF" w:rsidRDefault="000B433A" w:rsidP="008F6F57">
            <w:pPr>
              <w:spacing w:after="0" w:line="240" w:lineRule="auto"/>
              <w:jc w:val="center"/>
              <w:rPr>
                <w:color w:val="FFFFFF"/>
                <w:lang w:val="de-DE"/>
              </w:rPr>
            </w:pPr>
            <w:r>
              <w:rPr>
                <w:color w:val="FFFFFF"/>
                <w:sz w:val="22"/>
                <w:lang w:val="de-DE"/>
              </w:rPr>
              <w:t>NH3</w:t>
            </w:r>
          </w:p>
        </w:tc>
        <w:tc>
          <w:tcPr>
            <w:tcW w:w="1200" w:type="dxa"/>
            <w:vMerge w:val="restart"/>
            <w:tcBorders>
              <w:top w:val="single" w:sz="4" w:space="0" w:color="auto"/>
              <w:left w:val="single" w:sz="4" w:space="0" w:color="auto"/>
              <w:bottom w:val="single" w:sz="4" w:space="0" w:color="000000"/>
              <w:right w:val="single" w:sz="4" w:space="0" w:color="auto"/>
            </w:tcBorders>
            <w:vAlign w:val="center"/>
          </w:tcPr>
          <w:p w:rsidR="000B433A" w:rsidRPr="005759E4" w:rsidRDefault="000B433A" w:rsidP="008F6F57">
            <w:pPr>
              <w:spacing w:after="0" w:line="240" w:lineRule="auto"/>
              <w:jc w:val="center"/>
              <w:rPr>
                <w:lang w:val="de-DE"/>
              </w:rPr>
            </w:pPr>
            <w:r w:rsidRPr="005759E4">
              <w:rPr>
                <w:sz w:val="22"/>
                <w:lang w:val="de-DE"/>
              </w:rPr>
              <w:t>75,2</w:t>
            </w:r>
          </w:p>
        </w:tc>
        <w:tc>
          <w:tcPr>
            <w:tcW w:w="2220" w:type="dxa"/>
            <w:vMerge w:val="restart"/>
            <w:tcBorders>
              <w:top w:val="single" w:sz="4" w:space="0" w:color="auto"/>
              <w:left w:val="nil"/>
              <w:bottom w:val="single" w:sz="4" w:space="0" w:color="000000"/>
              <w:right w:val="nil"/>
            </w:tcBorders>
            <w:vAlign w:val="center"/>
          </w:tcPr>
          <w:p w:rsidR="000B433A" w:rsidRPr="005759E4" w:rsidRDefault="000B433A" w:rsidP="008F6F57">
            <w:pPr>
              <w:spacing w:after="0" w:line="240" w:lineRule="auto"/>
              <w:jc w:val="center"/>
              <w:rPr>
                <w:lang w:val="de-DE"/>
              </w:rPr>
            </w:pPr>
            <w:r w:rsidRPr="005759E4">
              <w:rPr>
                <w:sz w:val="22"/>
                <w:lang w:val="de-DE"/>
              </w:rPr>
              <w:t>-2 %</w:t>
            </w:r>
          </w:p>
        </w:tc>
        <w:tc>
          <w:tcPr>
            <w:tcW w:w="1200" w:type="dxa"/>
            <w:vMerge w:val="restart"/>
            <w:tcBorders>
              <w:top w:val="single" w:sz="4" w:space="0" w:color="auto"/>
              <w:left w:val="single" w:sz="4" w:space="0" w:color="auto"/>
              <w:bottom w:val="single" w:sz="4" w:space="0" w:color="000000"/>
              <w:right w:val="single" w:sz="4" w:space="0" w:color="auto"/>
            </w:tcBorders>
            <w:vAlign w:val="center"/>
          </w:tcPr>
          <w:p w:rsidR="000B433A" w:rsidRPr="005759E4" w:rsidRDefault="000B433A" w:rsidP="008F6F57">
            <w:pPr>
              <w:spacing w:after="0" w:line="240" w:lineRule="auto"/>
              <w:jc w:val="center"/>
              <w:rPr>
                <w:lang w:val="de-DE"/>
              </w:rPr>
            </w:pPr>
            <w:r w:rsidRPr="005759E4">
              <w:rPr>
                <w:sz w:val="22"/>
                <w:lang w:val="de-DE"/>
              </w:rPr>
              <w:t>73,7</w:t>
            </w:r>
          </w:p>
        </w:tc>
        <w:tc>
          <w:tcPr>
            <w:tcW w:w="1200" w:type="dxa"/>
            <w:tcBorders>
              <w:top w:val="single" w:sz="4" w:space="0" w:color="auto"/>
              <w:left w:val="nil"/>
              <w:bottom w:val="nil"/>
              <w:right w:val="nil"/>
            </w:tcBorders>
            <w:vAlign w:val="center"/>
          </w:tcPr>
          <w:p w:rsidR="000B433A" w:rsidRPr="005759E4" w:rsidRDefault="000B433A" w:rsidP="008F6F57">
            <w:pPr>
              <w:spacing w:after="0" w:line="240" w:lineRule="auto"/>
              <w:jc w:val="center"/>
              <w:rPr>
                <w:bCs/>
                <w:lang w:val="de-DE"/>
              </w:rPr>
            </w:pPr>
            <w:r w:rsidRPr="005759E4">
              <w:rPr>
                <w:sz w:val="22"/>
                <w:lang w:val="de-DE"/>
              </w:rPr>
              <w:t>30,4</w:t>
            </w:r>
          </w:p>
        </w:tc>
        <w:tc>
          <w:tcPr>
            <w:tcW w:w="1200" w:type="dxa"/>
            <w:tcBorders>
              <w:top w:val="single" w:sz="4" w:space="0" w:color="auto"/>
              <w:left w:val="single" w:sz="4" w:space="0" w:color="auto"/>
              <w:bottom w:val="nil"/>
              <w:right w:val="single" w:sz="4" w:space="0" w:color="auto"/>
            </w:tcBorders>
            <w:vAlign w:val="center"/>
          </w:tcPr>
          <w:p w:rsidR="000B433A" w:rsidRPr="005759E4" w:rsidRDefault="000B433A" w:rsidP="008F6F57">
            <w:pPr>
              <w:spacing w:after="0" w:line="240" w:lineRule="auto"/>
              <w:jc w:val="center"/>
              <w:rPr>
                <w:lang w:val="de-DE"/>
              </w:rPr>
            </w:pPr>
            <w:r w:rsidRPr="005759E4">
              <w:rPr>
                <w:sz w:val="22"/>
                <w:lang w:val="de-DE"/>
              </w:rPr>
              <w:t>40,5</w:t>
            </w:r>
          </w:p>
        </w:tc>
        <w:tc>
          <w:tcPr>
            <w:tcW w:w="1200" w:type="dxa"/>
            <w:tcBorders>
              <w:top w:val="single" w:sz="4" w:space="0" w:color="auto"/>
              <w:left w:val="nil"/>
              <w:bottom w:val="nil"/>
              <w:right w:val="single" w:sz="4" w:space="0" w:color="auto"/>
            </w:tcBorders>
            <w:vAlign w:val="center"/>
          </w:tcPr>
          <w:p w:rsidR="000B433A" w:rsidRPr="005759E4" w:rsidRDefault="000B433A" w:rsidP="008F6F57">
            <w:pPr>
              <w:spacing w:after="0" w:line="240" w:lineRule="auto"/>
              <w:jc w:val="center"/>
              <w:rPr>
                <w:lang w:val="de-DE"/>
              </w:rPr>
            </w:pPr>
            <w:r w:rsidRPr="005759E4">
              <w:rPr>
                <w:sz w:val="22"/>
                <w:lang w:val="de-DE"/>
              </w:rPr>
              <w:t>0,0</w:t>
            </w:r>
          </w:p>
        </w:tc>
      </w:tr>
      <w:tr w:rsidR="000B433A" w:rsidRPr="005759E4" w:rsidTr="008F6F57">
        <w:trPr>
          <w:trHeight w:val="315"/>
        </w:trPr>
        <w:tc>
          <w:tcPr>
            <w:tcW w:w="1200" w:type="dxa"/>
            <w:vMerge/>
            <w:tcBorders>
              <w:top w:val="single" w:sz="4" w:space="0" w:color="auto"/>
              <w:left w:val="single" w:sz="4" w:space="0" w:color="auto"/>
              <w:bottom w:val="single" w:sz="4" w:space="0" w:color="000000"/>
              <w:right w:val="nil"/>
            </w:tcBorders>
            <w:vAlign w:val="center"/>
          </w:tcPr>
          <w:p w:rsidR="000B433A" w:rsidRPr="008B07AF" w:rsidRDefault="000B433A" w:rsidP="008F6F57">
            <w:pPr>
              <w:spacing w:after="0" w:line="240" w:lineRule="auto"/>
              <w:jc w:val="left"/>
              <w:rPr>
                <w:color w:val="FFFFFF"/>
                <w:lang w:val="de-DE"/>
              </w:rPr>
            </w:pPr>
          </w:p>
        </w:tc>
        <w:tc>
          <w:tcPr>
            <w:tcW w:w="1200" w:type="dxa"/>
            <w:vMerge/>
            <w:tcBorders>
              <w:top w:val="single" w:sz="4" w:space="0" w:color="auto"/>
              <w:left w:val="single" w:sz="4" w:space="0" w:color="auto"/>
              <w:bottom w:val="single" w:sz="4" w:space="0" w:color="000000"/>
              <w:right w:val="single" w:sz="4" w:space="0" w:color="auto"/>
            </w:tcBorders>
            <w:vAlign w:val="center"/>
          </w:tcPr>
          <w:p w:rsidR="000B433A" w:rsidRPr="005759E4" w:rsidRDefault="000B433A" w:rsidP="008F6F57">
            <w:pPr>
              <w:spacing w:after="0" w:line="240" w:lineRule="auto"/>
              <w:jc w:val="left"/>
              <w:rPr>
                <w:lang w:val="de-DE"/>
              </w:rPr>
            </w:pPr>
          </w:p>
        </w:tc>
        <w:tc>
          <w:tcPr>
            <w:tcW w:w="2220" w:type="dxa"/>
            <w:vMerge/>
            <w:tcBorders>
              <w:top w:val="single" w:sz="4" w:space="0" w:color="auto"/>
              <w:left w:val="nil"/>
              <w:bottom w:val="single" w:sz="4" w:space="0" w:color="000000"/>
              <w:right w:val="nil"/>
            </w:tcBorders>
            <w:vAlign w:val="center"/>
          </w:tcPr>
          <w:p w:rsidR="000B433A" w:rsidRPr="005759E4" w:rsidRDefault="000B433A" w:rsidP="008F6F57">
            <w:pPr>
              <w:spacing w:after="0" w:line="240" w:lineRule="auto"/>
              <w:jc w:val="left"/>
              <w:rPr>
                <w:lang w:val="de-DE"/>
              </w:rPr>
            </w:pPr>
          </w:p>
        </w:tc>
        <w:tc>
          <w:tcPr>
            <w:tcW w:w="1200" w:type="dxa"/>
            <w:vMerge/>
            <w:tcBorders>
              <w:top w:val="single" w:sz="4" w:space="0" w:color="auto"/>
              <w:left w:val="single" w:sz="4" w:space="0" w:color="auto"/>
              <w:bottom w:val="single" w:sz="4" w:space="0" w:color="000000"/>
              <w:right w:val="single" w:sz="4" w:space="0" w:color="auto"/>
            </w:tcBorders>
            <w:vAlign w:val="center"/>
          </w:tcPr>
          <w:p w:rsidR="000B433A" w:rsidRPr="005759E4" w:rsidRDefault="000B433A" w:rsidP="008F6F57">
            <w:pPr>
              <w:spacing w:after="0" w:line="240" w:lineRule="auto"/>
              <w:jc w:val="left"/>
              <w:rPr>
                <w:lang w:val="de-DE"/>
              </w:rPr>
            </w:pPr>
          </w:p>
        </w:tc>
        <w:tc>
          <w:tcPr>
            <w:tcW w:w="1200" w:type="dxa"/>
            <w:tcBorders>
              <w:top w:val="nil"/>
              <w:left w:val="nil"/>
              <w:bottom w:val="single" w:sz="4" w:space="0" w:color="auto"/>
              <w:right w:val="nil"/>
            </w:tcBorders>
            <w:vAlign w:val="center"/>
          </w:tcPr>
          <w:p w:rsidR="000B433A" w:rsidRPr="005759E4" w:rsidRDefault="000B433A" w:rsidP="008F6F57">
            <w:pPr>
              <w:spacing w:after="0" w:line="240" w:lineRule="auto"/>
              <w:jc w:val="center"/>
              <w:rPr>
                <w:lang w:val="de-DE"/>
              </w:rPr>
            </w:pPr>
            <w:r w:rsidRPr="005759E4">
              <w:rPr>
                <w:sz w:val="22"/>
                <w:lang w:val="de-DE"/>
              </w:rPr>
              <w:t>(-4 %)</w:t>
            </w:r>
          </w:p>
        </w:tc>
        <w:tc>
          <w:tcPr>
            <w:tcW w:w="1200" w:type="dxa"/>
            <w:tcBorders>
              <w:top w:val="nil"/>
              <w:left w:val="single" w:sz="4" w:space="0" w:color="auto"/>
              <w:bottom w:val="single" w:sz="4" w:space="0" w:color="auto"/>
              <w:right w:val="single" w:sz="4" w:space="0" w:color="auto"/>
            </w:tcBorders>
            <w:vAlign w:val="center"/>
          </w:tcPr>
          <w:p w:rsidR="000B433A" w:rsidRPr="005759E4" w:rsidRDefault="000B433A" w:rsidP="008F6F57">
            <w:pPr>
              <w:spacing w:after="0" w:line="240" w:lineRule="auto"/>
              <w:jc w:val="center"/>
              <w:rPr>
                <w:lang w:val="de-DE"/>
              </w:rPr>
            </w:pPr>
            <w:r w:rsidRPr="005759E4">
              <w:rPr>
                <w:sz w:val="22"/>
                <w:lang w:val="de-DE"/>
              </w:rPr>
              <w:t>(-7 %)</w:t>
            </w:r>
          </w:p>
        </w:tc>
        <w:tc>
          <w:tcPr>
            <w:tcW w:w="1200" w:type="dxa"/>
            <w:tcBorders>
              <w:top w:val="nil"/>
              <w:left w:val="nil"/>
              <w:bottom w:val="single" w:sz="4" w:space="0" w:color="auto"/>
              <w:right w:val="single" w:sz="4" w:space="0" w:color="auto"/>
            </w:tcBorders>
            <w:vAlign w:val="center"/>
          </w:tcPr>
          <w:p w:rsidR="000B433A" w:rsidRPr="005759E4" w:rsidRDefault="000B433A" w:rsidP="008F6F57">
            <w:pPr>
              <w:spacing w:after="0" w:line="240" w:lineRule="auto"/>
              <w:jc w:val="center"/>
              <w:rPr>
                <w:lang w:val="de-DE"/>
              </w:rPr>
            </w:pPr>
            <w:r w:rsidRPr="005759E4">
              <w:rPr>
                <w:sz w:val="22"/>
                <w:lang w:val="de-DE"/>
              </w:rPr>
              <w:t>(-78 %)</w:t>
            </w:r>
          </w:p>
        </w:tc>
      </w:tr>
    </w:tbl>
    <w:p w:rsidR="000B433A" w:rsidRPr="0022320C" w:rsidRDefault="000B433A" w:rsidP="008F6F57">
      <w:pPr>
        <w:pStyle w:val="Sansinterligne"/>
        <w:rPr>
          <w:rFonts w:ascii="Calibri" w:hAnsi="Calibri" w:cs="Calibri"/>
          <w:i/>
          <w:sz w:val="18"/>
          <w:szCs w:val="18"/>
          <w:lang w:val="de-DE"/>
        </w:rPr>
      </w:pPr>
      <w:r>
        <w:rPr>
          <w:rFonts w:ascii="Calibri" w:hAnsi="Calibri" w:cs="Calibri"/>
          <w:i/>
          <w:color w:val="1F497D"/>
          <w:sz w:val="18"/>
          <w:lang w:val="de-DE"/>
        </w:rPr>
        <w:t xml:space="preserve">Tabelle </w:t>
      </w:r>
      <w:r w:rsidR="005A6B21" w:rsidRPr="0022320C">
        <w:rPr>
          <w:rFonts w:ascii="Calibri" w:hAnsi="Calibri" w:cs="Calibri"/>
          <w:i/>
          <w:color w:val="1F497D"/>
          <w:sz w:val="18"/>
          <w:szCs w:val="18"/>
          <w:lang w:val="de-DE"/>
        </w:rPr>
        <w:fldChar w:fldCharType="begin"/>
      </w:r>
      <w:r w:rsidRPr="0022320C">
        <w:rPr>
          <w:rFonts w:ascii="Calibri" w:hAnsi="Calibri" w:cs="Calibri"/>
          <w:i/>
          <w:color w:val="1F497D"/>
          <w:sz w:val="18"/>
          <w:szCs w:val="18"/>
          <w:lang w:val="de-DE"/>
        </w:rPr>
        <w:instrText xml:space="preserve"> SEQ Tableau \* ARABIC </w:instrText>
      </w:r>
      <w:r w:rsidR="005A6B21" w:rsidRPr="0022320C">
        <w:rPr>
          <w:rFonts w:ascii="Calibri" w:hAnsi="Calibri" w:cs="Calibri"/>
          <w:i/>
          <w:color w:val="1F497D"/>
          <w:sz w:val="18"/>
          <w:szCs w:val="18"/>
          <w:lang w:val="de-DE"/>
        </w:rPr>
        <w:fldChar w:fldCharType="separate"/>
      </w:r>
      <w:r>
        <w:rPr>
          <w:rFonts w:ascii="Calibri" w:hAnsi="Calibri" w:cs="Calibri"/>
          <w:i/>
          <w:color w:val="1F497D"/>
          <w:sz w:val="18"/>
          <w:szCs w:val="18"/>
          <w:lang w:val="de-DE"/>
        </w:rPr>
        <w:t>12</w:t>
      </w:r>
      <w:r w:rsidR="005A6B21" w:rsidRPr="0022320C">
        <w:rPr>
          <w:rFonts w:ascii="Calibri" w:hAnsi="Calibri" w:cs="Calibri"/>
          <w:i/>
          <w:color w:val="1F497D"/>
          <w:sz w:val="18"/>
          <w:szCs w:val="18"/>
          <w:lang w:val="de-DE"/>
        </w:rPr>
        <w:fldChar w:fldCharType="end"/>
      </w:r>
      <w:r>
        <w:rPr>
          <w:rFonts w:ascii="Calibri" w:hAnsi="Calibri" w:cs="Calibri"/>
          <w:i/>
          <w:color w:val="1F497D"/>
          <w:sz w:val="18"/>
          <w:lang w:val="de-DE"/>
        </w:rPr>
        <w:t>: Verteilung der belgischen Emissionshöchstmengen für 2020 auf die Regionen in absoluten Zahlen (Emissionen aus der Düngewirtschaft und der Bewirtschaftung landwirtschaftlicher Böden werden für die NOx und VOC nicht berücksichtigt).</w:t>
      </w:r>
    </w:p>
    <w:p w:rsidR="000B433A" w:rsidRPr="00D07F58" w:rsidRDefault="000B433A" w:rsidP="008F6F57">
      <w:pPr>
        <w:pStyle w:val="Lgende"/>
        <w:keepNext/>
        <w:rPr>
          <w:lang w:val="de-DE"/>
        </w:rPr>
      </w:pPr>
    </w:p>
    <w:tbl>
      <w:tblPr>
        <w:tblW w:w="9420" w:type="dxa"/>
        <w:tblInd w:w="55" w:type="dxa"/>
        <w:tblCellMar>
          <w:left w:w="70" w:type="dxa"/>
          <w:right w:w="70" w:type="dxa"/>
        </w:tblCellMar>
        <w:tblLook w:val="00A0"/>
      </w:tblPr>
      <w:tblGrid>
        <w:gridCol w:w="1193"/>
        <w:gridCol w:w="1199"/>
        <w:gridCol w:w="2281"/>
        <w:gridCol w:w="1188"/>
        <w:gridCol w:w="1187"/>
        <w:gridCol w:w="1186"/>
        <w:gridCol w:w="1186"/>
      </w:tblGrid>
      <w:tr w:rsidR="000B433A" w:rsidRPr="005759E4" w:rsidTr="008F6F57">
        <w:trPr>
          <w:trHeight w:val="615"/>
        </w:trPr>
        <w:tc>
          <w:tcPr>
            <w:tcW w:w="1200" w:type="dxa"/>
            <w:vMerge w:val="restart"/>
            <w:tcBorders>
              <w:top w:val="nil"/>
              <w:left w:val="nil"/>
              <w:bottom w:val="nil"/>
              <w:right w:val="nil"/>
            </w:tcBorders>
            <w:vAlign w:val="center"/>
          </w:tcPr>
          <w:p w:rsidR="000B433A" w:rsidRPr="000236FB" w:rsidRDefault="000B433A" w:rsidP="008F6F57">
            <w:pPr>
              <w:spacing w:after="0" w:line="240" w:lineRule="auto"/>
              <w:jc w:val="center"/>
              <w:rPr>
                <w:color w:val="FFFFFF"/>
                <w:lang w:val="de-DE"/>
              </w:rPr>
            </w:pPr>
          </w:p>
        </w:tc>
        <w:tc>
          <w:tcPr>
            <w:tcW w:w="1200" w:type="dxa"/>
            <w:vMerge w:val="restart"/>
            <w:tcBorders>
              <w:top w:val="single" w:sz="4" w:space="0" w:color="auto"/>
              <w:left w:val="single" w:sz="4" w:space="0" w:color="auto"/>
              <w:bottom w:val="nil"/>
              <w:right w:val="single" w:sz="4" w:space="0" w:color="auto"/>
            </w:tcBorders>
            <w:shd w:val="clear" w:color="000000" w:fill="4F81BD"/>
            <w:vAlign w:val="center"/>
          </w:tcPr>
          <w:p w:rsidR="000B433A" w:rsidRPr="000236FB" w:rsidRDefault="000B433A" w:rsidP="008F6F57">
            <w:pPr>
              <w:spacing w:after="0" w:line="240" w:lineRule="auto"/>
              <w:jc w:val="center"/>
              <w:rPr>
                <w:color w:val="FFFFFF"/>
                <w:lang w:val="de-DE"/>
              </w:rPr>
            </w:pPr>
            <w:r>
              <w:rPr>
                <w:color w:val="FFFFFF"/>
                <w:sz w:val="22"/>
                <w:lang w:val="de-DE"/>
              </w:rPr>
              <w:t>Emissionen BE 2005 (kt)</w:t>
            </w:r>
          </w:p>
        </w:tc>
        <w:tc>
          <w:tcPr>
            <w:tcW w:w="2220" w:type="dxa"/>
            <w:vMerge w:val="restart"/>
            <w:tcBorders>
              <w:top w:val="single" w:sz="4" w:space="0" w:color="auto"/>
              <w:left w:val="nil"/>
              <w:bottom w:val="nil"/>
              <w:right w:val="nil"/>
            </w:tcBorders>
            <w:shd w:val="clear" w:color="000000" w:fill="4F81BD"/>
            <w:vAlign w:val="center"/>
          </w:tcPr>
          <w:p w:rsidR="000B433A" w:rsidRPr="000236FB" w:rsidRDefault="000B433A" w:rsidP="008F6F57">
            <w:pPr>
              <w:spacing w:after="0" w:line="240" w:lineRule="auto"/>
              <w:jc w:val="center"/>
              <w:rPr>
                <w:color w:val="FFFFFF"/>
                <w:lang w:val="de-DE"/>
              </w:rPr>
            </w:pPr>
            <w:r>
              <w:rPr>
                <w:color w:val="FFFFFF"/>
                <w:sz w:val="22"/>
                <w:lang w:val="de-DE"/>
              </w:rPr>
              <w:t>Reduktionszielvorgaben BE 2030 (%)</w:t>
            </w:r>
          </w:p>
        </w:tc>
        <w:tc>
          <w:tcPr>
            <w:tcW w:w="4800" w:type="dxa"/>
            <w:gridSpan w:val="4"/>
            <w:tcBorders>
              <w:top w:val="single" w:sz="4" w:space="0" w:color="auto"/>
              <w:left w:val="single" w:sz="4" w:space="0" w:color="auto"/>
              <w:bottom w:val="nil"/>
              <w:right w:val="single" w:sz="4" w:space="0" w:color="000000"/>
            </w:tcBorders>
            <w:shd w:val="clear" w:color="000000" w:fill="4F81BD"/>
            <w:vAlign w:val="center"/>
          </w:tcPr>
          <w:p w:rsidR="000B433A" w:rsidRPr="000236FB" w:rsidRDefault="000B433A" w:rsidP="008F6F57">
            <w:pPr>
              <w:spacing w:after="0" w:line="240" w:lineRule="auto"/>
              <w:jc w:val="center"/>
              <w:rPr>
                <w:color w:val="FFFFFF"/>
                <w:lang w:val="de-DE"/>
              </w:rPr>
            </w:pPr>
            <w:r>
              <w:rPr>
                <w:color w:val="FFFFFF"/>
                <w:sz w:val="22"/>
                <w:lang w:val="de-DE"/>
              </w:rPr>
              <w:t>Emissionsobergrenzen 2030 (kt)</w:t>
            </w:r>
          </w:p>
        </w:tc>
      </w:tr>
      <w:tr w:rsidR="000B433A" w:rsidRPr="005759E4" w:rsidTr="008F6F57">
        <w:trPr>
          <w:trHeight w:val="300"/>
        </w:trPr>
        <w:tc>
          <w:tcPr>
            <w:tcW w:w="1200" w:type="dxa"/>
            <w:vMerge/>
            <w:tcBorders>
              <w:top w:val="nil"/>
              <w:left w:val="nil"/>
              <w:bottom w:val="nil"/>
              <w:right w:val="nil"/>
            </w:tcBorders>
            <w:vAlign w:val="center"/>
          </w:tcPr>
          <w:p w:rsidR="000B433A" w:rsidRPr="000236FB" w:rsidRDefault="000B433A" w:rsidP="008F6F57">
            <w:pPr>
              <w:spacing w:after="0" w:line="240" w:lineRule="auto"/>
              <w:jc w:val="left"/>
              <w:rPr>
                <w:color w:val="FFFFFF"/>
                <w:lang w:val="de-DE"/>
              </w:rPr>
            </w:pPr>
          </w:p>
        </w:tc>
        <w:tc>
          <w:tcPr>
            <w:tcW w:w="1200" w:type="dxa"/>
            <w:vMerge/>
            <w:tcBorders>
              <w:top w:val="single" w:sz="4" w:space="0" w:color="auto"/>
              <w:left w:val="single" w:sz="4" w:space="0" w:color="auto"/>
              <w:bottom w:val="nil"/>
              <w:right w:val="single" w:sz="4" w:space="0" w:color="auto"/>
            </w:tcBorders>
            <w:vAlign w:val="center"/>
          </w:tcPr>
          <w:p w:rsidR="000B433A" w:rsidRPr="000236FB" w:rsidRDefault="000B433A" w:rsidP="008F6F57">
            <w:pPr>
              <w:spacing w:after="0" w:line="240" w:lineRule="auto"/>
              <w:jc w:val="left"/>
              <w:rPr>
                <w:color w:val="FFFFFF"/>
                <w:lang w:val="de-DE"/>
              </w:rPr>
            </w:pPr>
          </w:p>
        </w:tc>
        <w:tc>
          <w:tcPr>
            <w:tcW w:w="2220" w:type="dxa"/>
            <w:vMerge/>
            <w:tcBorders>
              <w:top w:val="single" w:sz="4" w:space="0" w:color="auto"/>
              <w:left w:val="nil"/>
              <w:bottom w:val="nil"/>
              <w:right w:val="nil"/>
            </w:tcBorders>
            <w:vAlign w:val="center"/>
          </w:tcPr>
          <w:p w:rsidR="000B433A" w:rsidRPr="000236FB" w:rsidRDefault="000B433A" w:rsidP="008F6F57">
            <w:pPr>
              <w:spacing w:after="0" w:line="240" w:lineRule="auto"/>
              <w:jc w:val="left"/>
              <w:rPr>
                <w:color w:val="FFFFFF"/>
                <w:lang w:val="de-DE"/>
              </w:rPr>
            </w:pPr>
          </w:p>
        </w:tc>
        <w:tc>
          <w:tcPr>
            <w:tcW w:w="1200" w:type="dxa"/>
            <w:tcBorders>
              <w:top w:val="single" w:sz="4" w:space="0" w:color="auto"/>
              <w:left w:val="single" w:sz="4" w:space="0" w:color="auto"/>
              <w:bottom w:val="single" w:sz="4" w:space="0" w:color="auto"/>
              <w:right w:val="single" w:sz="4" w:space="0" w:color="auto"/>
            </w:tcBorders>
            <w:shd w:val="clear" w:color="000000" w:fill="4F81BD"/>
            <w:vAlign w:val="center"/>
          </w:tcPr>
          <w:p w:rsidR="000B433A" w:rsidRPr="000236FB" w:rsidRDefault="000B433A" w:rsidP="008F6F57">
            <w:pPr>
              <w:spacing w:after="0" w:line="240" w:lineRule="auto"/>
              <w:jc w:val="center"/>
              <w:rPr>
                <w:color w:val="FFFFFF"/>
                <w:lang w:val="de-DE"/>
              </w:rPr>
            </w:pPr>
            <w:r>
              <w:rPr>
                <w:color w:val="FFFFFF"/>
                <w:sz w:val="22"/>
                <w:lang w:val="de-DE"/>
              </w:rPr>
              <w:t>BE</w:t>
            </w:r>
          </w:p>
        </w:tc>
        <w:tc>
          <w:tcPr>
            <w:tcW w:w="1200" w:type="dxa"/>
            <w:tcBorders>
              <w:top w:val="single" w:sz="4" w:space="0" w:color="auto"/>
              <w:left w:val="nil"/>
              <w:bottom w:val="single" w:sz="4" w:space="0" w:color="auto"/>
              <w:right w:val="nil"/>
            </w:tcBorders>
            <w:shd w:val="clear" w:color="000000" w:fill="4F81BD"/>
            <w:vAlign w:val="center"/>
          </w:tcPr>
          <w:p w:rsidR="000B433A" w:rsidRPr="000236FB" w:rsidRDefault="000B433A" w:rsidP="008F6F57">
            <w:pPr>
              <w:spacing w:after="0" w:line="240" w:lineRule="auto"/>
              <w:jc w:val="center"/>
              <w:rPr>
                <w:color w:val="FFFFFF"/>
                <w:lang w:val="de-DE"/>
              </w:rPr>
            </w:pPr>
            <w:r>
              <w:rPr>
                <w:color w:val="FFFFFF"/>
                <w:sz w:val="22"/>
                <w:lang w:val="de-DE"/>
              </w:rPr>
              <w:t>WAL</w:t>
            </w:r>
          </w:p>
        </w:tc>
        <w:tc>
          <w:tcPr>
            <w:tcW w:w="1200" w:type="dxa"/>
            <w:tcBorders>
              <w:top w:val="single" w:sz="4" w:space="0" w:color="auto"/>
              <w:left w:val="single" w:sz="4" w:space="0" w:color="auto"/>
              <w:bottom w:val="single" w:sz="4" w:space="0" w:color="auto"/>
              <w:right w:val="single" w:sz="4" w:space="0" w:color="auto"/>
            </w:tcBorders>
            <w:shd w:val="clear" w:color="000000" w:fill="4F81BD"/>
            <w:vAlign w:val="center"/>
          </w:tcPr>
          <w:p w:rsidR="000B433A" w:rsidRPr="000236FB" w:rsidRDefault="000B433A" w:rsidP="008F6F57">
            <w:pPr>
              <w:spacing w:after="0" w:line="240" w:lineRule="auto"/>
              <w:jc w:val="center"/>
              <w:rPr>
                <w:color w:val="FFFFFF"/>
                <w:lang w:val="de-DE"/>
              </w:rPr>
            </w:pPr>
            <w:r>
              <w:rPr>
                <w:color w:val="FFFFFF"/>
                <w:sz w:val="22"/>
                <w:lang w:val="de-DE"/>
              </w:rPr>
              <w:t>VLA</w:t>
            </w:r>
          </w:p>
        </w:tc>
        <w:tc>
          <w:tcPr>
            <w:tcW w:w="1200" w:type="dxa"/>
            <w:tcBorders>
              <w:top w:val="single" w:sz="4" w:space="0" w:color="auto"/>
              <w:left w:val="nil"/>
              <w:bottom w:val="single" w:sz="4" w:space="0" w:color="auto"/>
              <w:right w:val="single" w:sz="4" w:space="0" w:color="auto"/>
            </w:tcBorders>
            <w:shd w:val="clear" w:color="000000" w:fill="4F81BD"/>
            <w:vAlign w:val="center"/>
          </w:tcPr>
          <w:p w:rsidR="000B433A" w:rsidRPr="000236FB" w:rsidRDefault="000B433A" w:rsidP="008F6F57">
            <w:pPr>
              <w:spacing w:after="0" w:line="240" w:lineRule="auto"/>
              <w:jc w:val="center"/>
              <w:rPr>
                <w:color w:val="FFFFFF"/>
                <w:lang w:val="de-DE"/>
              </w:rPr>
            </w:pPr>
            <w:r>
              <w:rPr>
                <w:color w:val="FFFFFF"/>
                <w:sz w:val="22"/>
                <w:lang w:val="de-DE"/>
              </w:rPr>
              <w:t>BRU</w:t>
            </w:r>
          </w:p>
        </w:tc>
      </w:tr>
      <w:tr w:rsidR="000B433A" w:rsidRPr="005759E4" w:rsidTr="008F6F57">
        <w:trPr>
          <w:trHeight w:val="300"/>
        </w:trPr>
        <w:tc>
          <w:tcPr>
            <w:tcW w:w="1200" w:type="dxa"/>
            <w:vMerge w:val="restart"/>
            <w:tcBorders>
              <w:top w:val="single" w:sz="4" w:space="0" w:color="auto"/>
              <w:left w:val="single" w:sz="4" w:space="0" w:color="auto"/>
              <w:bottom w:val="single" w:sz="4" w:space="0" w:color="000000"/>
              <w:right w:val="nil"/>
            </w:tcBorders>
            <w:shd w:val="clear" w:color="000000" w:fill="4F81BD"/>
            <w:vAlign w:val="center"/>
          </w:tcPr>
          <w:p w:rsidR="000B433A" w:rsidRPr="000236FB" w:rsidRDefault="000B433A" w:rsidP="008F6F57">
            <w:pPr>
              <w:spacing w:after="0" w:line="240" w:lineRule="auto"/>
              <w:jc w:val="center"/>
              <w:rPr>
                <w:color w:val="FFFFFF"/>
                <w:lang w:val="de-DE"/>
              </w:rPr>
            </w:pPr>
            <w:r>
              <w:rPr>
                <w:color w:val="FFFFFF"/>
                <w:sz w:val="22"/>
                <w:lang w:val="de-DE"/>
              </w:rPr>
              <w:t>NOx</w:t>
            </w:r>
          </w:p>
        </w:tc>
        <w:tc>
          <w:tcPr>
            <w:tcW w:w="1200" w:type="dxa"/>
            <w:vMerge w:val="restart"/>
            <w:tcBorders>
              <w:top w:val="single" w:sz="4" w:space="0" w:color="auto"/>
              <w:left w:val="single" w:sz="4" w:space="0" w:color="auto"/>
              <w:bottom w:val="single" w:sz="4" w:space="0" w:color="000000"/>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303,5</w:t>
            </w:r>
          </w:p>
        </w:tc>
        <w:tc>
          <w:tcPr>
            <w:tcW w:w="2220" w:type="dxa"/>
            <w:vMerge w:val="restart"/>
            <w:tcBorders>
              <w:top w:val="single" w:sz="4" w:space="0" w:color="auto"/>
              <w:left w:val="nil"/>
              <w:bottom w:val="single" w:sz="4" w:space="0" w:color="000000"/>
              <w:right w:val="nil"/>
            </w:tcBorders>
            <w:vAlign w:val="center"/>
          </w:tcPr>
          <w:p w:rsidR="000B433A" w:rsidRPr="000236FB" w:rsidRDefault="000B433A" w:rsidP="008F6F57">
            <w:pPr>
              <w:spacing w:after="0" w:line="240" w:lineRule="auto"/>
              <w:jc w:val="center"/>
              <w:rPr>
                <w:lang w:val="de-DE"/>
              </w:rPr>
            </w:pPr>
            <w:r>
              <w:rPr>
                <w:sz w:val="22"/>
                <w:lang w:val="de-DE"/>
              </w:rPr>
              <w:t>-59 %</w:t>
            </w:r>
          </w:p>
        </w:tc>
        <w:tc>
          <w:tcPr>
            <w:tcW w:w="1200" w:type="dxa"/>
            <w:vMerge w:val="restart"/>
            <w:tcBorders>
              <w:top w:val="nil"/>
              <w:left w:val="single" w:sz="4" w:space="0" w:color="auto"/>
              <w:bottom w:val="single" w:sz="4" w:space="0" w:color="000000"/>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124,4</w:t>
            </w:r>
          </w:p>
        </w:tc>
        <w:tc>
          <w:tcPr>
            <w:tcW w:w="1200" w:type="dxa"/>
            <w:tcBorders>
              <w:top w:val="nil"/>
              <w:left w:val="nil"/>
              <w:bottom w:val="nil"/>
              <w:right w:val="nil"/>
            </w:tcBorders>
            <w:vAlign w:val="center"/>
          </w:tcPr>
          <w:p w:rsidR="000B433A" w:rsidRPr="000236FB" w:rsidRDefault="000B433A" w:rsidP="008F6F57">
            <w:pPr>
              <w:spacing w:after="0" w:line="240" w:lineRule="auto"/>
              <w:jc w:val="center"/>
              <w:rPr>
                <w:lang w:val="de-DE"/>
              </w:rPr>
            </w:pPr>
            <w:r>
              <w:rPr>
                <w:sz w:val="22"/>
                <w:lang w:val="de-DE"/>
              </w:rPr>
              <w:t>49,4</w:t>
            </w:r>
          </w:p>
        </w:tc>
        <w:tc>
          <w:tcPr>
            <w:tcW w:w="1200" w:type="dxa"/>
            <w:tcBorders>
              <w:top w:val="nil"/>
              <w:left w:val="single" w:sz="4" w:space="0" w:color="auto"/>
              <w:bottom w:val="nil"/>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71,8</w:t>
            </w:r>
          </w:p>
        </w:tc>
        <w:tc>
          <w:tcPr>
            <w:tcW w:w="1200" w:type="dxa"/>
            <w:tcBorders>
              <w:top w:val="nil"/>
              <w:left w:val="nil"/>
              <w:bottom w:val="nil"/>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3,2</w:t>
            </w:r>
          </w:p>
        </w:tc>
      </w:tr>
      <w:tr w:rsidR="000B433A" w:rsidRPr="005759E4" w:rsidTr="008F6F57">
        <w:trPr>
          <w:trHeight w:val="300"/>
        </w:trPr>
        <w:tc>
          <w:tcPr>
            <w:tcW w:w="1200" w:type="dxa"/>
            <w:vMerge/>
            <w:tcBorders>
              <w:top w:val="single" w:sz="4" w:space="0" w:color="auto"/>
              <w:left w:val="single" w:sz="4" w:space="0" w:color="auto"/>
              <w:bottom w:val="single" w:sz="4" w:space="0" w:color="000000"/>
              <w:right w:val="nil"/>
            </w:tcBorders>
            <w:vAlign w:val="center"/>
          </w:tcPr>
          <w:p w:rsidR="000B433A" w:rsidRPr="000236FB" w:rsidRDefault="000B433A" w:rsidP="008F6F57">
            <w:pPr>
              <w:spacing w:after="0" w:line="240" w:lineRule="auto"/>
              <w:jc w:val="left"/>
              <w:rPr>
                <w:color w:val="FFFFFF"/>
                <w:lang w:val="de-DE"/>
              </w:rPr>
            </w:pPr>
          </w:p>
        </w:tc>
        <w:tc>
          <w:tcPr>
            <w:tcW w:w="1200" w:type="dxa"/>
            <w:vMerge/>
            <w:tcBorders>
              <w:top w:val="single" w:sz="4" w:space="0" w:color="auto"/>
              <w:left w:val="single" w:sz="4" w:space="0" w:color="auto"/>
              <w:bottom w:val="single" w:sz="4" w:space="0" w:color="000000"/>
              <w:right w:val="single" w:sz="4" w:space="0" w:color="auto"/>
            </w:tcBorders>
            <w:vAlign w:val="center"/>
          </w:tcPr>
          <w:p w:rsidR="000B433A" w:rsidRPr="000236FB" w:rsidRDefault="000B433A" w:rsidP="008F6F57">
            <w:pPr>
              <w:spacing w:after="0" w:line="240" w:lineRule="auto"/>
              <w:jc w:val="left"/>
              <w:rPr>
                <w:lang w:val="de-DE"/>
              </w:rPr>
            </w:pPr>
          </w:p>
        </w:tc>
        <w:tc>
          <w:tcPr>
            <w:tcW w:w="2220" w:type="dxa"/>
            <w:vMerge/>
            <w:tcBorders>
              <w:top w:val="single" w:sz="4" w:space="0" w:color="auto"/>
              <w:left w:val="nil"/>
              <w:bottom w:val="single" w:sz="4" w:space="0" w:color="000000"/>
              <w:right w:val="nil"/>
            </w:tcBorders>
            <w:vAlign w:val="center"/>
          </w:tcPr>
          <w:p w:rsidR="000B433A" w:rsidRPr="000236FB" w:rsidRDefault="000B433A" w:rsidP="008F6F57">
            <w:pPr>
              <w:spacing w:after="0" w:line="240" w:lineRule="auto"/>
              <w:jc w:val="left"/>
              <w:rPr>
                <w:lang w:val="de-DE"/>
              </w:rPr>
            </w:pPr>
          </w:p>
        </w:tc>
        <w:tc>
          <w:tcPr>
            <w:tcW w:w="1200" w:type="dxa"/>
            <w:vMerge/>
            <w:tcBorders>
              <w:top w:val="nil"/>
              <w:left w:val="single" w:sz="4" w:space="0" w:color="auto"/>
              <w:bottom w:val="single" w:sz="4" w:space="0" w:color="000000"/>
              <w:right w:val="single" w:sz="4" w:space="0" w:color="auto"/>
            </w:tcBorders>
            <w:vAlign w:val="center"/>
          </w:tcPr>
          <w:p w:rsidR="000B433A" w:rsidRPr="000236FB" w:rsidRDefault="000B433A" w:rsidP="008F6F57">
            <w:pPr>
              <w:spacing w:after="0" w:line="240" w:lineRule="auto"/>
              <w:jc w:val="left"/>
              <w:rPr>
                <w:lang w:val="de-DE"/>
              </w:rPr>
            </w:pPr>
          </w:p>
        </w:tc>
        <w:tc>
          <w:tcPr>
            <w:tcW w:w="1200" w:type="dxa"/>
            <w:tcBorders>
              <w:top w:val="nil"/>
              <w:left w:val="nil"/>
              <w:bottom w:val="single" w:sz="4" w:space="0" w:color="auto"/>
              <w:right w:val="nil"/>
            </w:tcBorders>
            <w:vAlign w:val="center"/>
          </w:tcPr>
          <w:p w:rsidR="000B433A" w:rsidRPr="000236FB" w:rsidRDefault="000B433A" w:rsidP="008F6F57">
            <w:pPr>
              <w:spacing w:after="0" w:line="240" w:lineRule="auto"/>
              <w:jc w:val="center"/>
              <w:rPr>
                <w:lang w:val="de-DE"/>
              </w:rPr>
            </w:pPr>
            <w:r>
              <w:rPr>
                <w:sz w:val="22"/>
                <w:lang w:val="de-DE"/>
              </w:rPr>
              <w:t>(-60 %)</w:t>
            </w:r>
          </w:p>
        </w:tc>
        <w:tc>
          <w:tcPr>
            <w:tcW w:w="1200" w:type="dxa"/>
            <w:tcBorders>
              <w:top w:val="nil"/>
              <w:left w:val="single" w:sz="4" w:space="0" w:color="auto"/>
              <w:bottom w:val="single" w:sz="4" w:space="0" w:color="auto"/>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(-59 %)</w:t>
            </w:r>
          </w:p>
        </w:tc>
        <w:tc>
          <w:tcPr>
            <w:tcW w:w="1200" w:type="dxa"/>
            <w:tcBorders>
              <w:top w:val="nil"/>
              <w:left w:val="nil"/>
              <w:bottom w:val="single" w:sz="4" w:space="0" w:color="auto"/>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(-60 %)</w:t>
            </w:r>
          </w:p>
        </w:tc>
      </w:tr>
      <w:tr w:rsidR="000B433A" w:rsidRPr="005759E4" w:rsidTr="008F6F57">
        <w:trPr>
          <w:trHeight w:val="300"/>
        </w:trPr>
        <w:tc>
          <w:tcPr>
            <w:tcW w:w="1200" w:type="dxa"/>
            <w:vMerge w:val="restart"/>
            <w:tcBorders>
              <w:top w:val="nil"/>
              <w:left w:val="single" w:sz="4" w:space="0" w:color="auto"/>
              <w:bottom w:val="nil"/>
              <w:right w:val="nil"/>
            </w:tcBorders>
            <w:shd w:val="clear" w:color="000000" w:fill="4F81BD"/>
            <w:vAlign w:val="center"/>
          </w:tcPr>
          <w:p w:rsidR="000B433A" w:rsidRPr="000236FB" w:rsidRDefault="000B433A" w:rsidP="008F6F57">
            <w:pPr>
              <w:spacing w:after="0" w:line="240" w:lineRule="auto"/>
              <w:jc w:val="center"/>
              <w:rPr>
                <w:color w:val="FFFFFF"/>
                <w:lang w:val="de-DE"/>
              </w:rPr>
            </w:pPr>
            <w:r>
              <w:rPr>
                <w:color w:val="FFFFFF"/>
                <w:sz w:val="22"/>
                <w:lang w:val="de-DE"/>
              </w:rPr>
              <w:t>SOx</w:t>
            </w:r>
          </w:p>
        </w:tc>
        <w:tc>
          <w:tcPr>
            <w:tcW w:w="1200" w:type="dxa"/>
            <w:vMerge w:val="restart"/>
            <w:tcBorders>
              <w:top w:val="nil"/>
              <w:left w:val="single" w:sz="4" w:space="0" w:color="auto"/>
              <w:bottom w:val="nil"/>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142,1</w:t>
            </w:r>
          </w:p>
        </w:tc>
        <w:tc>
          <w:tcPr>
            <w:tcW w:w="2220" w:type="dxa"/>
            <w:vMerge w:val="restart"/>
            <w:tcBorders>
              <w:top w:val="nil"/>
              <w:left w:val="nil"/>
              <w:bottom w:val="nil"/>
              <w:right w:val="nil"/>
            </w:tcBorders>
            <w:vAlign w:val="center"/>
          </w:tcPr>
          <w:p w:rsidR="000B433A" w:rsidRPr="000236FB" w:rsidRDefault="000B433A" w:rsidP="008F6F57">
            <w:pPr>
              <w:spacing w:after="0" w:line="240" w:lineRule="auto"/>
              <w:jc w:val="center"/>
              <w:rPr>
                <w:lang w:val="de-DE"/>
              </w:rPr>
            </w:pPr>
            <w:r>
              <w:rPr>
                <w:sz w:val="22"/>
                <w:lang w:val="de-DE"/>
              </w:rPr>
              <w:t>-66 %</w:t>
            </w:r>
          </w:p>
        </w:tc>
        <w:tc>
          <w:tcPr>
            <w:tcW w:w="1200" w:type="dxa"/>
            <w:vMerge w:val="restart"/>
            <w:tcBorders>
              <w:top w:val="nil"/>
              <w:left w:val="single" w:sz="4" w:space="0" w:color="auto"/>
              <w:bottom w:val="nil"/>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48,3</w:t>
            </w:r>
          </w:p>
        </w:tc>
        <w:tc>
          <w:tcPr>
            <w:tcW w:w="1200" w:type="dxa"/>
            <w:tcBorders>
              <w:top w:val="nil"/>
              <w:left w:val="nil"/>
              <w:bottom w:val="nil"/>
              <w:right w:val="nil"/>
            </w:tcBorders>
            <w:vAlign w:val="center"/>
          </w:tcPr>
          <w:p w:rsidR="000B433A" w:rsidRPr="000236FB" w:rsidRDefault="000B433A" w:rsidP="008F6F57">
            <w:pPr>
              <w:spacing w:after="0" w:line="240" w:lineRule="auto"/>
              <w:jc w:val="center"/>
              <w:rPr>
                <w:lang w:val="de-DE"/>
              </w:rPr>
            </w:pPr>
            <w:r>
              <w:rPr>
                <w:sz w:val="22"/>
                <w:lang w:val="de-DE"/>
              </w:rPr>
              <w:t>15,4</w:t>
            </w:r>
          </w:p>
        </w:tc>
        <w:tc>
          <w:tcPr>
            <w:tcW w:w="1200" w:type="dxa"/>
            <w:tcBorders>
              <w:top w:val="nil"/>
              <w:left w:val="single" w:sz="4" w:space="0" w:color="auto"/>
              <w:bottom w:val="nil"/>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32,5</w:t>
            </w:r>
          </w:p>
        </w:tc>
        <w:tc>
          <w:tcPr>
            <w:tcW w:w="1200" w:type="dxa"/>
            <w:tcBorders>
              <w:top w:val="nil"/>
              <w:left w:val="nil"/>
              <w:bottom w:val="nil"/>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0,4</w:t>
            </w:r>
          </w:p>
        </w:tc>
      </w:tr>
      <w:tr w:rsidR="000B433A" w:rsidRPr="005759E4" w:rsidTr="008F6F57">
        <w:trPr>
          <w:trHeight w:val="300"/>
        </w:trPr>
        <w:tc>
          <w:tcPr>
            <w:tcW w:w="1200" w:type="dxa"/>
            <w:vMerge/>
            <w:tcBorders>
              <w:top w:val="nil"/>
              <w:left w:val="single" w:sz="4" w:space="0" w:color="auto"/>
              <w:bottom w:val="nil"/>
              <w:right w:val="nil"/>
            </w:tcBorders>
            <w:vAlign w:val="center"/>
          </w:tcPr>
          <w:p w:rsidR="000B433A" w:rsidRPr="000236FB" w:rsidRDefault="000B433A" w:rsidP="008F6F57">
            <w:pPr>
              <w:spacing w:after="0" w:line="240" w:lineRule="auto"/>
              <w:jc w:val="left"/>
              <w:rPr>
                <w:color w:val="FFFFFF"/>
                <w:lang w:val="de-DE"/>
              </w:rPr>
            </w:pPr>
          </w:p>
        </w:tc>
        <w:tc>
          <w:tcPr>
            <w:tcW w:w="1200" w:type="dxa"/>
            <w:vMerge/>
            <w:tcBorders>
              <w:top w:val="nil"/>
              <w:left w:val="single" w:sz="4" w:space="0" w:color="auto"/>
              <w:bottom w:val="nil"/>
              <w:right w:val="single" w:sz="4" w:space="0" w:color="auto"/>
            </w:tcBorders>
            <w:vAlign w:val="center"/>
          </w:tcPr>
          <w:p w:rsidR="000B433A" w:rsidRPr="000236FB" w:rsidRDefault="000B433A" w:rsidP="008F6F57">
            <w:pPr>
              <w:spacing w:after="0" w:line="240" w:lineRule="auto"/>
              <w:jc w:val="left"/>
              <w:rPr>
                <w:lang w:val="de-DE"/>
              </w:rPr>
            </w:pPr>
          </w:p>
        </w:tc>
        <w:tc>
          <w:tcPr>
            <w:tcW w:w="2220" w:type="dxa"/>
            <w:vMerge/>
            <w:tcBorders>
              <w:top w:val="nil"/>
              <w:left w:val="nil"/>
              <w:bottom w:val="nil"/>
              <w:right w:val="nil"/>
            </w:tcBorders>
            <w:vAlign w:val="center"/>
          </w:tcPr>
          <w:p w:rsidR="000B433A" w:rsidRPr="000236FB" w:rsidRDefault="000B433A" w:rsidP="008F6F57">
            <w:pPr>
              <w:spacing w:after="0" w:line="240" w:lineRule="auto"/>
              <w:jc w:val="left"/>
              <w:rPr>
                <w:lang w:val="de-DE"/>
              </w:rPr>
            </w:pPr>
          </w:p>
        </w:tc>
        <w:tc>
          <w:tcPr>
            <w:tcW w:w="1200" w:type="dxa"/>
            <w:vMerge/>
            <w:tcBorders>
              <w:top w:val="nil"/>
              <w:left w:val="single" w:sz="4" w:space="0" w:color="auto"/>
              <w:bottom w:val="nil"/>
              <w:right w:val="single" w:sz="4" w:space="0" w:color="auto"/>
            </w:tcBorders>
            <w:vAlign w:val="center"/>
          </w:tcPr>
          <w:p w:rsidR="000B433A" w:rsidRPr="000236FB" w:rsidRDefault="000B433A" w:rsidP="008F6F57">
            <w:pPr>
              <w:spacing w:after="0" w:line="240" w:lineRule="auto"/>
              <w:jc w:val="left"/>
              <w:rPr>
                <w:lang w:val="de-DE"/>
              </w:rPr>
            </w:pPr>
          </w:p>
        </w:tc>
        <w:tc>
          <w:tcPr>
            <w:tcW w:w="1200" w:type="dxa"/>
            <w:tcBorders>
              <w:top w:val="nil"/>
              <w:left w:val="nil"/>
              <w:bottom w:val="nil"/>
              <w:right w:val="nil"/>
            </w:tcBorders>
            <w:vAlign w:val="center"/>
          </w:tcPr>
          <w:p w:rsidR="000B433A" w:rsidRPr="000236FB" w:rsidRDefault="000B433A" w:rsidP="008F6F57">
            <w:pPr>
              <w:spacing w:after="0" w:line="240" w:lineRule="auto"/>
              <w:jc w:val="center"/>
              <w:rPr>
                <w:lang w:val="de-DE"/>
              </w:rPr>
            </w:pPr>
            <w:r>
              <w:rPr>
                <w:sz w:val="22"/>
                <w:lang w:val="de-DE"/>
              </w:rPr>
              <w:t>(-65 %)</w:t>
            </w:r>
          </w:p>
        </w:tc>
        <w:tc>
          <w:tcPr>
            <w:tcW w:w="1200" w:type="dxa"/>
            <w:tcBorders>
              <w:top w:val="nil"/>
              <w:left w:val="single" w:sz="4" w:space="0" w:color="auto"/>
              <w:bottom w:val="nil"/>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(-66 %)</w:t>
            </w:r>
          </w:p>
        </w:tc>
        <w:tc>
          <w:tcPr>
            <w:tcW w:w="1200" w:type="dxa"/>
            <w:tcBorders>
              <w:top w:val="nil"/>
              <w:left w:val="nil"/>
              <w:bottom w:val="nil"/>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(-61 %)</w:t>
            </w:r>
          </w:p>
        </w:tc>
      </w:tr>
      <w:tr w:rsidR="000B433A" w:rsidRPr="005759E4" w:rsidTr="008F6F57">
        <w:trPr>
          <w:trHeight w:val="300"/>
        </w:trPr>
        <w:tc>
          <w:tcPr>
            <w:tcW w:w="1200" w:type="dxa"/>
            <w:vMerge w:val="restart"/>
            <w:tcBorders>
              <w:top w:val="single" w:sz="4" w:space="0" w:color="auto"/>
              <w:left w:val="single" w:sz="4" w:space="0" w:color="auto"/>
              <w:bottom w:val="single" w:sz="4" w:space="0" w:color="000000"/>
              <w:right w:val="nil"/>
            </w:tcBorders>
            <w:shd w:val="clear" w:color="000000" w:fill="4F81BD"/>
            <w:vAlign w:val="center"/>
          </w:tcPr>
          <w:p w:rsidR="000B433A" w:rsidRPr="000236FB" w:rsidRDefault="000B433A" w:rsidP="008F6F57">
            <w:pPr>
              <w:spacing w:after="0" w:line="240" w:lineRule="auto"/>
              <w:jc w:val="center"/>
              <w:rPr>
                <w:color w:val="FFFFFF"/>
                <w:lang w:val="de-DE"/>
              </w:rPr>
            </w:pPr>
            <w:r>
              <w:rPr>
                <w:color w:val="FFFFFF"/>
                <w:sz w:val="22"/>
                <w:lang w:val="de-DE"/>
              </w:rPr>
              <w:t>PM2,5</w:t>
            </w:r>
          </w:p>
        </w:tc>
        <w:tc>
          <w:tcPr>
            <w:tcW w:w="1200" w:type="dxa"/>
            <w:vMerge w:val="restart"/>
            <w:tcBorders>
              <w:top w:val="single" w:sz="4" w:space="0" w:color="auto"/>
              <w:left w:val="single" w:sz="4" w:space="0" w:color="auto"/>
              <w:bottom w:val="single" w:sz="4" w:space="0" w:color="000000"/>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34,8</w:t>
            </w:r>
          </w:p>
        </w:tc>
        <w:tc>
          <w:tcPr>
            <w:tcW w:w="2220" w:type="dxa"/>
            <w:vMerge w:val="restart"/>
            <w:tcBorders>
              <w:top w:val="single" w:sz="4" w:space="0" w:color="auto"/>
              <w:left w:val="nil"/>
              <w:bottom w:val="single" w:sz="4" w:space="0" w:color="000000"/>
              <w:right w:val="nil"/>
            </w:tcBorders>
            <w:vAlign w:val="center"/>
          </w:tcPr>
          <w:p w:rsidR="000B433A" w:rsidRPr="000236FB" w:rsidRDefault="000B433A" w:rsidP="008F6F57">
            <w:pPr>
              <w:spacing w:after="0" w:line="240" w:lineRule="auto"/>
              <w:jc w:val="center"/>
              <w:rPr>
                <w:lang w:val="de-DE"/>
              </w:rPr>
            </w:pPr>
            <w:r>
              <w:rPr>
                <w:sz w:val="22"/>
                <w:lang w:val="de-DE"/>
              </w:rPr>
              <w:t>-39 %</w:t>
            </w:r>
          </w:p>
        </w:tc>
        <w:tc>
          <w:tcPr>
            <w:tcW w:w="1200" w:type="dxa"/>
            <w:vMerge w:val="restart"/>
            <w:tcBorders>
              <w:top w:val="single" w:sz="4" w:space="0" w:color="auto"/>
              <w:left w:val="single" w:sz="4" w:space="0" w:color="auto"/>
              <w:bottom w:val="single" w:sz="4" w:space="0" w:color="000000"/>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21,2</w:t>
            </w:r>
          </w:p>
        </w:tc>
        <w:tc>
          <w:tcPr>
            <w:tcW w:w="1200" w:type="dxa"/>
            <w:tcBorders>
              <w:top w:val="single" w:sz="4" w:space="0" w:color="auto"/>
              <w:left w:val="nil"/>
              <w:bottom w:val="nil"/>
              <w:right w:val="nil"/>
            </w:tcBorders>
            <w:vAlign w:val="center"/>
          </w:tcPr>
          <w:p w:rsidR="000B433A" w:rsidRPr="000236FB" w:rsidRDefault="000B433A" w:rsidP="008F6F57">
            <w:pPr>
              <w:spacing w:after="0" w:line="240" w:lineRule="auto"/>
              <w:jc w:val="center"/>
              <w:rPr>
                <w:lang w:val="de-DE"/>
              </w:rPr>
            </w:pPr>
            <w:r>
              <w:rPr>
                <w:sz w:val="22"/>
                <w:lang w:val="de-DE"/>
              </w:rPr>
              <w:t>8,8</w:t>
            </w:r>
          </w:p>
        </w:tc>
        <w:tc>
          <w:tcPr>
            <w:tcW w:w="1200" w:type="dxa"/>
            <w:tcBorders>
              <w:top w:val="single" w:sz="4" w:space="0" w:color="auto"/>
              <w:left w:val="single" w:sz="4" w:space="0" w:color="auto"/>
              <w:bottom w:val="nil"/>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11,9</w:t>
            </w:r>
          </w:p>
        </w:tc>
        <w:tc>
          <w:tcPr>
            <w:tcW w:w="1200" w:type="dxa"/>
            <w:tcBorders>
              <w:top w:val="single" w:sz="4" w:space="0" w:color="auto"/>
              <w:left w:val="nil"/>
              <w:bottom w:val="nil"/>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0,5</w:t>
            </w:r>
          </w:p>
        </w:tc>
      </w:tr>
      <w:tr w:rsidR="000B433A" w:rsidRPr="005759E4" w:rsidTr="008F6F57">
        <w:trPr>
          <w:trHeight w:val="300"/>
        </w:trPr>
        <w:tc>
          <w:tcPr>
            <w:tcW w:w="1200" w:type="dxa"/>
            <w:vMerge/>
            <w:tcBorders>
              <w:top w:val="single" w:sz="4" w:space="0" w:color="auto"/>
              <w:left w:val="single" w:sz="4" w:space="0" w:color="auto"/>
              <w:bottom w:val="single" w:sz="4" w:space="0" w:color="000000"/>
              <w:right w:val="nil"/>
            </w:tcBorders>
            <w:vAlign w:val="center"/>
          </w:tcPr>
          <w:p w:rsidR="000B433A" w:rsidRPr="000236FB" w:rsidRDefault="000B433A" w:rsidP="008F6F57">
            <w:pPr>
              <w:spacing w:after="0" w:line="240" w:lineRule="auto"/>
              <w:jc w:val="left"/>
              <w:rPr>
                <w:color w:val="FFFFFF"/>
                <w:lang w:val="de-DE"/>
              </w:rPr>
            </w:pPr>
          </w:p>
        </w:tc>
        <w:tc>
          <w:tcPr>
            <w:tcW w:w="1200" w:type="dxa"/>
            <w:vMerge/>
            <w:tcBorders>
              <w:top w:val="single" w:sz="4" w:space="0" w:color="auto"/>
              <w:left w:val="single" w:sz="4" w:space="0" w:color="auto"/>
              <w:bottom w:val="single" w:sz="4" w:space="0" w:color="000000"/>
              <w:right w:val="single" w:sz="4" w:space="0" w:color="auto"/>
            </w:tcBorders>
            <w:vAlign w:val="center"/>
          </w:tcPr>
          <w:p w:rsidR="000B433A" w:rsidRPr="000236FB" w:rsidRDefault="000B433A" w:rsidP="008F6F57">
            <w:pPr>
              <w:spacing w:after="0" w:line="240" w:lineRule="auto"/>
              <w:jc w:val="left"/>
              <w:rPr>
                <w:lang w:val="de-DE"/>
              </w:rPr>
            </w:pPr>
          </w:p>
        </w:tc>
        <w:tc>
          <w:tcPr>
            <w:tcW w:w="2220" w:type="dxa"/>
            <w:vMerge/>
            <w:tcBorders>
              <w:top w:val="single" w:sz="4" w:space="0" w:color="auto"/>
              <w:left w:val="nil"/>
              <w:bottom w:val="single" w:sz="4" w:space="0" w:color="000000"/>
              <w:right w:val="nil"/>
            </w:tcBorders>
            <w:vAlign w:val="center"/>
          </w:tcPr>
          <w:p w:rsidR="000B433A" w:rsidRPr="000236FB" w:rsidRDefault="000B433A" w:rsidP="008F6F57">
            <w:pPr>
              <w:spacing w:after="0" w:line="240" w:lineRule="auto"/>
              <w:jc w:val="left"/>
              <w:rPr>
                <w:lang w:val="de-DE"/>
              </w:rPr>
            </w:pPr>
          </w:p>
        </w:tc>
        <w:tc>
          <w:tcPr>
            <w:tcW w:w="1200" w:type="dxa"/>
            <w:vMerge/>
            <w:tcBorders>
              <w:top w:val="single" w:sz="4" w:space="0" w:color="auto"/>
              <w:left w:val="single" w:sz="4" w:space="0" w:color="auto"/>
              <w:bottom w:val="single" w:sz="4" w:space="0" w:color="000000"/>
              <w:right w:val="single" w:sz="4" w:space="0" w:color="auto"/>
            </w:tcBorders>
            <w:vAlign w:val="center"/>
          </w:tcPr>
          <w:p w:rsidR="000B433A" w:rsidRPr="000236FB" w:rsidRDefault="000B433A" w:rsidP="008F6F57">
            <w:pPr>
              <w:spacing w:after="0" w:line="240" w:lineRule="auto"/>
              <w:jc w:val="left"/>
              <w:rPr>
                <w:lang w:val="de-DE"/>
              </w:rPr>
            </w:pPr>
          </w:p>
        </w:tc>
        <w:tc>
          <w:tcPr>
            <w:tcW w:w="1200" w:type="dxa"/>
            <w:tcBorders>
              <w:top w:val="nil"/>
              <w:left w:val="nil"/>
              <w:bottom w:val="single" w:sz="4" w:space="0" w:color="auto"/>
              <w:right w:val="nil"/>
            </w:tcBorders>
            <w:vAlign w:val="center"/>
          </w:tcPr>
          <w:p w:rsidR="000B433A" w:rsidRPr="000236FB" w:rsidRDefault="000B433A" w:rsidP="008F6F57">
            <w:pPr>
              <w:spacing w:after="0" w:line="240" w:lineRule="auto"/>
              <w:jc w:val="center"/>
              <w:rPr>
                <w:lang w:val="de-DE"/>
              </w:rPr>
            </w:pPr>
            <w:r>
              <w:rPr>
                <w:sz w:val="22"/>
                <w:lang w:val="de-DE"/>
              </w:rPr>
              <w:t>(-43 %)</w:t>
            </w:r>
          </w:p>
        </w:tc>
        <w:tc>
          <w:tcPr>
            <w:tcW w:w="1200" w:type="dxa"/>
            <w:tcBorders>
              <w:top w:val="nil"/>
              <w:left w:val="single" w:sz="4" w:space="0" w:color="auto"/>
              <w:bottom w:val="single" w:sz="4" w:space="0" w:color="auto"/>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(-37 %)</w:t>
            </w:r>
          </w:p>
        </w:tc>
        <w:tc>
          <w:tcPr>
            <w:tcW w:w="1200" w:type="dxa"/>
            <w:tcBorders>
              <w:top w:val="nil"/>
              <w:left w:val="nil"/>
              <w:bottom w:val="single" w:sz="4" w:space="0" w:color="auto"/>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(-19 %)</w:t>
            </w:r>
          </w:p>
        </w:tc>
      </w:tr>
      <w:tr w:rsidR="000B433A" w:rsidRPr="005759E4" w:rsidTr="008F6F57">
        <w:trPr>
          <w:trHeight w:val="300"/>
        </w:trPr>
        <w:tc>
          <w:tcPr>
            <w:tcW w:w="1200" w:type="dxa"/>
            <w:vMerge w:val="restart"/>
            <w:tcBorders>
              <w:top w:val="nil"/>
              <w:left w:val="single" w:sz="4" w:space="0" w:color="auto"/>
              <w:bottom w:val="nil"/>
              <w:right w:val="nil"/>
            </w:tcBorders>
            <w:shd w:val="clear" w:color="000000" w:fill="4F81BD"/>
            <w:vAlign w:val="center"/>
          </w:tcPr>
          <w:p w:rsidR="000B433A" w:rsidRPr="000236FB" w:rsidRDefault="000B433A" w:rsidP="008F6F57">
            <w:pPr>
              <w:spacing w:after="0" w:line="240" w:lineRule="auto"/>
              <w:jc w:val="center"/>
              <w:rPr>
                <w:color w:val="FFFFFF"/>
                <w:lang w:val="de-DE"/>
              </w:rPr>
            </w:pPr>
            <w:r>
              <w:rPr>
                <w:color w:val="FFFFFF"/>
                <w:sz w:val="22"/>
                <w:lang w:val="de-DE"/>
              </w:rPr>
              <w:t>NMVOC</w:t>
            </w:r>
          </w:p>
        </w:tc>
        <w:tc>
          <w:tcPr>
            <w:tcW w:w="1200" w:type="dxa"/>
            <w:vMerge w:val="restart"/>
            <w:tcBorders>
              <w:top w:val="nil"/>
              <w:left w:val="single" w:sz="4" w:space="0" w:color="auto"/>
              <w:bottom w:val="nil"/>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145,8</w:t>
            </w:r>
          </w:p>
        </w:tc>
        <w:tc>
          <w:tcPr>
            <w:tcW w:w="2220" w:type="dxa"/>
            <w:vMerge w:val="restart"/>
            <w:tcBorders>
              <w:top w:val="nil"/>
              <w:left w:val="nil"/>
              <w:bottom w:val="nil"/>
              <w:right w:val="nil"/>
            </w:tcBorders>
            <w:vAlign w:val="center"/>
          </w:tcPr>
          <w:p w:rsidR="000B433A" w:rsidRPr="000236FB" w:rsidRDefault="000B433A" w:rsidP="008F6F57">
            <w:pPr>
              <w:spacing w:after="0" w:line="240" w:lineRule="auto"/>
              <w:jc w:val="center"/>
              <w:rPr>
                <w:lang w:val="de-DE"/>
              </w:rPr>
            </w:pPr>
            <w:r>
              <w:rPr>
                <w:sz w:val="22"/>
                <w:lang w:val="de-DE"/>
              </w:rPr>
              <w:t>-35 %</w:t>
            </w:r>
          </w:p>
        </w:tc>
        <w:tc>
          <w:tcPr>
            <w:tcW w:w="1200" w:type="dxa"/>
            <w:vMerge w:val="restart"/>
            <w:tcBorders>
              <w:top w:val="nil"/>
              <w:left w:val="single" w:sz="4" w:space="0" w:color="auto"/>
              <w:bottom w:val="nil"/>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94,8</w:t>
            </w:r>
          </w:p>
        </w:tc>
        <w:tc>
          <w:tcPr>
            <w:tcW w:w="1200" w:type="dxa"/>
            <w:tcBorders>
              <w:top w:val="nil"/>
              <w:left w:val="nil"/>
              <w:bottom w:val="nil"/>
              <w:right w:val="nil"/>
            </w:tcBorders>
            <w:vAlign w:val="center"/>
          </w:tcPr>
          <w:p w:rsidR="000B433A" w:rsidRPr="000236FB" w:rsidRDefault="000B433A" w:rsidP="008F6F57">
            <w:pPr>
              <w:spacing w:after="0" w:line="240" w:lineRule="auto"/>
              <w:jc w:val="center"/>
              <w:rPr>
                <w:lang w:val="de-DE"/>
              </w:rPr>
            </w:pPr>
            <w:r>
              <w:rPr>
                <w:sz w:val="22"/>
                <w:lang w:val="de-DE"/>
              </w:rPr>
              <w:t>32,1</w:t>
            </w:r>
          </w:p>
        </w:tc>
        <w:tc>
          <w:tcPr>
            <w:tcW w:w="1200" w:type="dxa"/>
            <w:tcBorders>
              <w:top w:val="nil"/>
              <w:left w:val="single" w:sz="4" w:space="0" w:color="auto"/>
              <w:bottom w:val="nil"/>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58,8</w:t>
            </w:r>
          </w:p>
        </w:tc>
        <w:tc>
          <w:tcPr>
            <w:tcW w:w="1200" w:type="dxa"/>
            <w:tcBorders>
              <w:top w:val="nil"/>
              <w:left w:val="nil"/>
              <w:bottom w:val="nil"/>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3,9</w:t>
            </w:r>
          </w:p>
        </w:tc>
      </w:tr>
      <w:tr w:rsidR="000B433A" w:rsidRPr="005759E4" w:rsidTr="008F6F57">
        <w:trPr>
          <w:trHeight w:val="300"/>
        </w:trPr>
        <w:tc>
          <w:tcPr>
            <w:tcW w:w="1200" w:type="dxa"/>
            <w:vMerge/>
            <w:tcBorders>
              <w:top w:val="nil"/>
              <w:left w:val="single" w:sz="4" w:space="0" w:color="auto"/>
              <w:bottom w:val="nil"/>
              <w:right w:val="nil"/>
            </w:tcBorders>
            <w:vAlign w:val="center"/>
          </w:tcPr>
          <w:p w:rsidR="000B433A" w:rsidRPr="000236FB" w:rsidRDefault="000B433A" w:rsidP="008F6F57">
            <w:pPr>
              <w:spacing w:after="0" w:line="240" w:lineRule="auto"/>
              <w:jc w:val="left"/>
              <w:rPr>
                <w:color w:val="FFFFFF"/>
                <w:lang w:val="de-DE"/>
              </w:rPr>
            </w:pPr>
          </w:p>
        </w:tc>
        <w:tc>
          <w:tcPr>
            <w:tcW w:w="1200" w:type="dxa"/>
            <w:vMerge/>
            <w:tcBorders>
              <w:top w:val="nil"/>
              <w:left w:val="single" w:sz="4" w:space="0" w:color="auto"/>
              <w:bottom w:val="nil"/>
              <w:right w:val="single" w:sz="4" w:space="0" w:color="auto"/>
            </w:tcBorders>
            <w:vAlign w:val="center"/>
          </w:tcPr>
          <w:p w:rsidR="000B433A" w:rsidRPr="000236FB" w:rsidRDefault="000B433A" w:rsidP="008F6F57">
            <w:pPr>
              <w:spacing w:after="0" w:line="240" w:lineRule="auto"/>
              <w:jc w:val="left"/>
              <w:rPr>
                <w:lang w:val="de-DE"/>
              </w:rPr>
            </w:pPr>
          </w:p>
        </w:tc>
        <w:tc>
          <w:tcPr>
            <w:tcW w:w="2220" w:type="dxa"/>
            <w:vMerge/>
            <w:tcBorders>
              <w:top w:val="nil"/>
              <w:left w:val="nil"/>
              <w:bottom w:val="nil"/>
              <w:right w:val="nil"/>
            </w:tcBorders>
            <w:vAlign w:val="center"/>
          </w:tcPr>
          <w:p w:rsidR="000B433A" w:rsidRPr="000236FB" w:rsidRDefault="000B433A" w:rsidP="008F6F57">
            <w:pPr>
              <w:spacing w:after="0" w:line="240" w:lineRule="auto"/>
              <w:jc w:val="left"/>
              <w:rPr>
                <w:lang w:val="de-DE"/>
              </w:rPr>
            </w:pPr>
          </w:p>
        </w:tc>
        <w:tc>
          <w:tcPr>
            <w:tcW w:w="1200" w:type="dxa"/>
            <w:vMerge/>
            <w:tcBorders>
              <w:top w:val="nil"/>
              <w:left w:val="single" w:sz="4" w:space="0" w:color="auto"/>
              <w:bottom w:val="nil"/>
              <w:right w:val="single" w:sz="4" w:space="0" w:color="auto"/>
            </w:tcBorders>
            <w:vAlign w:val="center"/>
          </w:tcPr>
          <w:p w:rsidR="000B433A" w:rsidRPr="000236FB" w:rsidRDefault="000B433A" w:rsidP="008F6F57">
            <w:pPr>
              <w:spacing w:after="0" w:line="240" w:lineRule="auto"/>
              <w:jc w:val="left"/>
              <w:rPr>
                <w:lang w:val="de-DE"/>
              </w:rPr>
            </w:pPr>
          </w:p>
        </w:tc>
        <w:tc>
          <w:tcPr>
            <w:tcW w:w="1200" w:type="dxa"/>
            <w:tcBorders>
              <w:top w:val="nil"/>
              <w:left w:val="nil"/>
              <w:bottom w:val="nil"/>
              <w:right w:val="nil"/>
            </w:tcBorders>
            <w:vAlign w:val="center"/>
          </w:tcPr>
          <w:p w:rsidR="000B433A" w:rsidRPr="000236FB" w:rsidRDefault="000B433A" w:rsidP="008F6F57">
            <w:pPr>
              <w:spacing w:after="0" w:line="240" w:lineRule="auto"/>
              <w:jc w:val="center"/>
              <w:rPr>
                <w:lang w:val="de-DE"/>
              </w:rPr>
            </w:pPr>
            <w:r>
              <w:rPr>
                <w:sz w:val="22"/>
                <w:lang w:val="de-DE"/>
              </w:rPr>
              <w:t>(-31 %)</w:t>
            </w:r>
          </w:p>
        </w:tc>
        <w:tc>
          <w:tcPr>
            <w:tcW w:w="1200" w:type="dxa"/>
            <w:tcBorders>
              <w:top w:val="nil"/>
              <w:left w:val="single" w:sz="4" w:space="0" w:color="auto"/>
              <w:bottom w:val="nil"/>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(-37 %)</w:t>
            </w:r>
          </w:p>
        </w:tc>
        <w:tc>
          <w:tcPr>
            <w:tcW w:w="1200" w:type="dxa"/>
            <w:tcBorders>
              <w:top w:val="nil"/>
              <w:left w:val="nil"/>
              <w:bottom w:val="nil"/>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(-35 %)</w:t>
            </w:r>
          </w:p>
        </w:tc>
      </w:tr>
      <w:tr w:rsidR="000B433A" w:rsidRPr="005759E4" w:rsidTr="008F6F57">
        <w:trPr>
          <w:trHeight w:val="300"/>
        </w:trPr>
        <w:tc>
          <w:tcPr>
            <w:tcW w:w="1200" w:type="dxa"/>
            <w:vMerge w:val="restart"/>
            <w:tcBorders>
              <w:top w:val="single" w:sz="4" w:space="0" w:color="auto"/>
              <w:left w:val="single" w:sz="4" w:space="0" w:color="auto"/>
              <w:bottom w:val="single" w:sz="4" w:space="0" w:color="000000"/>
              <w:right w:val="nil"/>
            </w:tcBorders>
            <w:shd w:val="clear" w:color="000000" w:fill="4F81BD"/>
            <w:vAlign w:val="center"/>
          </w:tcPr>
          <w:p w:rsidR="000B433A" w:rsidRPr="000236FB" w:rsidRDefault="000B433A" w:rsidP="008F6F57">
            <w:pPr>
              <w:spacing w:after="0" w:line="240" w:lineRule="auto"/>
              <w:jc w:val="center"/>
              <w:rPr>
                <w:color w:val="FFFFFF"/>
                <w:lang w:val="de-DE"/>
              </w:rPr>
            </w:pPr>
            <w:r>
              <w:rPr>
                <w:color w:val="FFFFFF"/>
                <w:sz w:val="22"/>
                <w:lang w:val="de-DE"/>
              </w:rPr>
              <w:t>NH3</w:t>
            </w:r>
          </w:p>
        </w:tc>
        <w:tc>
          <w:tcPr>
            <w:tcW w:w="1200" w:type="dxa"/>
            <w:vMerge w:val="restart"/>
            <w:tcBorders>
              <w:top w:val="single" w:sz="4" w:space="0" w:color="auto"/>
              <w:left w:val="single" w:sz="4" w:space="0" w:color="auto"/>
              <w:bottom w:val="single" w:sz="4" w:space="0" w:color="000000"/>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75,2</w:t>
            </w:r>
          </w:p>
        </w:tc>
        <w:tc>
          <w:tcPr>
            <w:tcW w:w="2220" w:type="dxa"/>
            <w:vMerge w:val="restart"/>
            <w:tcBorders>
              <w:top w:val="single" w:sz="4" w:space="0" w:color="auto"/>
              <w:left w:val="nil"/>
              <w:bottom w:val="single" w:sz="4" w:space="0" w:color="000000"/>
              <w:right w:val="nil"/>
            </w:tcBorders>
            <w:vAlign w:val="center"/>
          </w:tcPr>
          <w:p w:rsidR="000B433A" w:rsidRPr="000236FB" w:rsidRDefault="000B433A" w:rsidP="008F6F57">
            <w:pPr>
              <w:spacing w:after="0" w:line="240" w:lineRule="auto"/>
              <w:jc w:val="center"/>
              <w:rPr>
                <w:lang w:val="de-DE"/>
              </w:rPr>
            </w:pPr>
            <w:r>
              <w:rPr>
                <w:sz w:val="22"/>
                <w:lang w:val="de-DE"/>
              </w:rPr>
              <w:t>-13 %</w:t>
            </w:r>
          </w:p>
        </w:tc>
        <w:tc>
          <w:tcPr>
            <w:tcW w:w="1200" w:type="dxa"/>
            <w:vMerge w:val="restart"/>
            <w:tcBorders>
              <w:top w:val="single" w:sz="4" w:space="0" w:color="auto"/>
              <w:left w:val="single" w:sz="4" w:space="0" w:color="auto"/>
              <w:bottom w:val="single" w:sz="4" w:space="0" w:color="000000"/>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65,4</w:t>
            </w:r>
          </w:p>
        </w:tc>
        <w:tc>
          <w:tcPr>
            <w:tcW w:w="1200" w:type="dxa"/>
            <w:tcBorders>
              <w:top w:val="single" w:sz="4" w:space="0" w:color="auto"/>
              <w:left w:val="nil"/>
              <w:bottom w:val="nil"/>
              <w:right w:val="nil"/>
            </w:tcBorders>
            <w:vAlign w:val="center"/>
          </w:tcPr>
          <w:p w:rsidR="000B433A" w:rsidRPr="000236FB" w:rsidRDefault="000B433A" w:rsidP="008F6F57">
            <w:pPr>
              <w:spacing w:after="0" w:line="240" w:lineRule="auto"/>
              <w:jc w:val="center"/>
              <w:rPr>
                <w:lang w:val="de-DE"/>
              </w:rPr>
            </w:pPr>
            <w:r>
              <w:rPr>
                <w:sz w:val="22"/>
                <w:lang w:val="de-DE"/>
              </w:rPr>
              <w:t>27,0</w:t>
            </w:r>
          </w:p>
        </w:tc>
        <w:tc>
          <w:tcPr>
            <w:tcW w:w="1200" w:type="dxa"/>
            <w:tcBorders>
              <w:top w:val="single" w:sz="4" w:space="0" w:color="auto"/>
              <w:left w:val="single" w:sz="4" w:space="0" w:color="auto"/>
              <w:bottom w:val="nil"/>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38,3</w:t>
            </w:r>
          </w:p>
        </w:tc>
        <w:tc>
          <w:tcPr>
            <w:tcW w:w="1200" w:type="dxa"/>
            <w:tcBorders>
              <w:top w:val="single" w:sz="4" w:space="0" w:color="auto"/>
              <w:left w:val="nil"/>
              <w:bottom w:val="nil"/>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0,1</w:t>
            </w:r>
          </w:p>
        </w:tc>
      </w:tr>
      <w:tr w:rsidR="000B433A" w:rsidRPr="005759E4" w:rsidTr="008F6F57">
        <w:trPr>
          <w:trHeight w:val="300"/>
        </w:trPr>
        <w:tc>
          <w:tcPr>
            <w:tcW w:w="1200" w:type="dxa"/>
            <w:vMerge/>
            <w:tcBorders>
              <w:top w:val="single" w:sz="4" w:space="0" w:color="auto"/>
              <w:left w:val="single" w:sz="4" w:space="0" w:color="auto"/>
              <w:bottom w:val="single" w:sz="4" w:space="0" w:color="000000"/>
              <w:right w:val="nil"/>
            </w:tcBorders>
            <w:vAlign w:val="center"/>
          </w:tcPr>
          <w:p w:rsidR="000B433A" w:rsidRPr="000236FB" w:rsidRDefault="000B433A" w:rsidP="008F6F57">
            <w:pPr>
              <w:spacing w:after="0" w:line="240" w:lineRule="auto"/>
              <w:jc w:val="left"/>
              <w:rPr>
                <w:color w:val="FFFFFF"/>
                <w:lang w:val="de-DE"/>
              </w:rPr>
            </w:pPr>
          </w:p>
        </w:tc>
        <w:tc>
          <w:tcPr>
            <w:tcW w:w="1200" w:type="dxa"/>
            <w:vMerge/>
            <w:tcBorders>
              <w:top w:val="single" w:sz="4" w:space="0" w:color="auto"/>
              <w:left w:val="single" w:sz="4" w:space="0" w:color="auto"/>
              <w:bottom w:val="single" w:sz="4" w:space="0" w:color="000000"/>
              <w:right w:val="single" w:sz="4" w:space="0" w:color="auto"/>
            </w:tcBorders>
            <w:vAlign w:val="center"/>
          </w:tcPr>
          <w:p w:rsidR="000B433A" w:rsidRPr="000236FB" w:rsidRDefault="000B433A" w:rsidP="008F6F57">
            <w:pPr>
              <w:spacing w:after="0" w:line="240" w:lineRule="auto"/>
              <w:jc w:val="left"/>
              <w:rPr>
                <w:lang w:val="de-DE"/>
              </w:rPr>
            </w:pPr>
          </w:p>
        </w:tc>
        <w:tc>
          <w:tcPr>
            <w:tcW w:w="2220" w:type="dxa"/>
            <w:vMerge/>
            <w:tcBorders>
              <w:top w:val="single" w:sz="4" w:space="0" w:color="auto"/>
              <w:left w:val="nil"/>
              <w:bottom w:val="single" w:sz="4" w:space="0" w:color="000000"/>
              <w:right w:val="nil"/>
            </w:tcBorders>
            <w:vAlign w:val="center"/>
          </w:tcPr>
          <w:p w:rsidR="000B433A" w:rsidRPr="000236FB" w:rsidRDefault="000B433A" w:rsidP="008F6F57">
            <w:pPr>
              <w:spacing w:after="0" w:line="240" w:lineRule="auto"/>
              <w:jc w:val="left"/>
              <w:rPr>
                <w:lang w:val="de-DE"/>
              </w:rPr>
            </w:pPr>
          </w:p>
        </w:tc>
        <w:tc>
          <w:tcPr>
            <w:tcW w:w="1200" w:type="dxa"/>
            <w:vMerge/>
            <w:tcBorders>
              <w:top w:val="single" w:sz="4" w:space="0" w:color="auto"/>
              <w:left w:val="single" w:sz="4" w:space="0" w:color="auto"/>
              <w:bottom w:val="single" w:sz="4" w:space="0" w:color="000000"/>
              <w:right w:val="single" w:sz="4" w:space="0" w:color="auto"/>
            </w:tcBorders>
            <w:vAlign w:val="center"/>
          </w:tcPr>
          <w:p w:rsidR="000B433A" w:rsidRPr="000236FB" w:rsidRDefault="000B433A" w:rsidP="008F6F57">
            <w:pPr>
              <w:spacing w:after="0" w:line="240" w:lineRule="auto"/>
              <w:jc w:val="left"/>
              <w:rPr>
                <w:lang w:val="de-DE"/>
              </w:rPr>
            </w:pPr>
          </w:p>
        </w:tc>
        <w:tc>
          <w:tcPr>
            <w:tcW w:w="1200" w:type="dxa"/>
            <w:tcBorders>
              <w:top w:val="nil"/>
              <w:left w:val="nil"/>
              <w:bottom w:val="single" w:sz="4" w:space="0" w:color="auto"/>
              <w:right w:val="nil"/>
            </w:tcBorders>
            <w:vAlign w:val="center"/>
          </w:tcPr>
          <w:p w:rsidR="000B433A" w:rsidRPr="000236FB" w:rsidRDefault="000B433A" w:rsidP="008F6F57">
            <w:pPr>
              <w:spacing w:after="0" w:line="240" w:lineRule="auto"/>
              <w:jc w:val="center"/>
              <w:rPr>
                <w:lang w:val="de-DE"/>
              </w:rPr>
            </w:pPr>
            <w:r>
              <w:rPr>
                <w:sz w:val="22"/>
                <w:lang w:val="de-DE"/>
              </w:rPr>
              <w:t>(-14 %)</w:t>
            </w:r>
          </w:p>
        </w:tc>
        <w:tc>
          <w:tcPr>
            <w:tcW w:w="1200" w:type="dxa"/>
            <w:tcBorders>
              <w:top w:val="nil"/>
              <w:left w:val="single" w:sz="4" w:space="0" w:color="auto"/>
              <w:bottom w:val="single" w:sz="4" w:space="0" w:color="auto"/>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(-12 %)</w:t>
            </w:r>
          </w:p>
        </w:tc>
        <w:tc>
          <w:tcPr>
            <w:tcW w:w="1200" w:type="dxa"/>
            <w:tcBorders>
              <w:top w:val="nil"/>
              <w:left w:val="nil"/>
              <w:bottom w:val="single" w:sz="4" w:space="0" w:color="auto"/>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(-0 %)</w:t>
            </w:r>
          </w:p>
        </w:tc>
      </w:tr>
    </w:tbl>
    <w:p w:rsidR="000B433A" w:rsidRPr="0022320C" w:rsidRDefault="000B433A" w:rsidP="008F6F57">
      <w:pPr>
        <w:pStyle w:val="Sansinterligne"/>
        <w:rPr>
          <w:rFonts w:ascii="Calibri" w:hAnsi="Calibri" w:cs="Calibri"/>
          <w:i/>
          <w:color w:val="1F497D"/>
          <w:sz w:val="18"/>
          <w:szCs w:val="18"/>
          <w:lang w:val="de-DE"/>
        </w:rPr>
      </w:pPr>
      <w:r>
        <w:rPr>
          <w:rFonts w:ascii="Calibri" w:hAnsi="Calibri" w:cs="Calibri"/>
          <w:i/>
          <w:color w:val="1F497D"/>
          <w:sz w:val="18"/>
          <w:lang w:val="de-DE"/>
        </w:rPr>
        <w:t xml:space="preserve">Tabelle </w:t>
      </w:r>
      <w:r w:rsidR="005A6B21" w:rsidRPr="0022320C">
        <w:rPr>
          <w:rFonts w:ascii="Calibri" w:hAnsi="Calibri" w:cs="Calibri"/>
          <w:i/>
          <w:color w:val="1F497D"/>
          <w:sz w:val="18"/>
          <w:szCs w:val="18"/>
          <w:lang w:val="de-DE"/>
        </w:rPr>
        <w:fldChar w:fldCharType="begin"/>
      </w:r>
      <w:r w:rsidRPr="0022320C">
        <w:rPr>
          <w:rFonts w:ascii="Calibri" w:hAnsi="Calibri" w:cs="Calibri"/>
          <w:i/>
          <w:color w:val="1F497D"/>
          <w:sz w:val="18"/>
          <w:szCs w:val="18"/>
          <w:lang w:val="de-DE"/>
        </w:rPr>
        <w:instrText xml:space="preserve"> SEQ Tableau \* ARABIC </w:instrText>
      </w:r>
      <w:r w:rsidR="005A6B21" w:rsidRPr="0022320C">
        <w:rPr>
          <w:rFonts w:ascii="Calibri" w:hAnsi="Calibri" w:cs="Calibri"/>
          <w:i/>
          <w:color w:val="1F497D"/>
          <w:sz w:val="18"/>
          <w:szCs w:val="18"/>
          <w:lang w:val="de-DE"/>
        </w:rPr>
        <w:fldChar w:fldCharType="separate"/>
      </w:r>
      <w:r>
        <w:rPr>
          <w:rFonts w:ascii="Calibri" w:hAnsi="Calibri" w:cs="Calibri"/>
          <w:i/>
          <w:color w:val="1F497D"/>
          <w:sz w:val="18"/>
          <w:szCs w:val="18"/>
          <w:lang w:val="de-DE"/>
        </w:rPr>
        <w:t>13</w:t>
      </w:r>
      <w:r w:rsidR="005A6B21" w:rsidRPr="0022320C">
        <w:rPr>
          <w:rFonts w:ascii="Calibri" w:hAnsi="Calibri" w:cs="Calibri"/>
          <w:i/>
          <w:color w:val="1F497D"/>
          <w:sz w:val="18"/>
          <w:szCs w:val="18"/>
          <w:lang w:val="de-DE"/>
        </w:rPr>
        <w:fldChar w:fldCharType="end"/>
      </w:r>
      <w:r>
        <w:rPr>
          <w:rFonts w:ascii="Calibri" w:hAnsi="Calibri" w:cs="Calibri"/>
          <w:i/>
          <w:color w:val="1F497D"/>
          <w:sz w:val="18"/>
          <w:lang w:val="de-DE"/>
        </w:rPr>
        <w:t>: Verteilung der belgischen Emissionshöchstmengen für 2030 auf die Regionen in absoluten Zahlen (Emissionen aus der Düngewirtschaft und der Bewirtschaftung landwirtschaftlicher Böden werden für die NOx und VOC nicht berücksichtigt).</w:t>
      </w:r>
    </w:p>
    <w:p w:rsidR="000B433A" w:rsidRPr="005F5D9D" w:rsidRDefault="000B433A" w:rsidP="008F6F57">
      <w:pPr>
        <w:pStyle w:val="Sansinterligne"/>
        <w:rPr>
          <w:rFonts w:ascii="Calibri" w:hAnsi="Calibri" w:cs="Calibri"/>
          <w:sz w:val="24"/>
          <w:szCs w:val="24"/>
          <w:lang w:val="de-DE"/>
        </w:rPr>
      </w:pPr>
    </w:p>
    <w:p w:rsidR="000B433A" w:rsidRPr="005F5D9D" w:rsidRDefault="000B433A" w:rsidP="008F6F57">
      <w:pPr>
        <w:pStyle w:val="Sansinterligne"/>
        <w:rPr>
          <w:rFonts w:ascii="Calibri" w:hAnsi="Calibri" w:cs="Calibri"/>
          <w:sz w:val="24"/>
          <w:szCs w:val="24"/>
          <w:lang w:val="de-DE"/>
        </w:rPr>
      </w:pPr>
      <w:bookmarkStart w:id="19" w:name="_Hlk4158111"/>
      <w:r>
        <w:rPr>
          <w:rFonts w:ascii="Calibri" w:hAnsi="Calibri" w:cs="Calibri"/>
          <w:sz w:val="24"/>
          <w:lang w:val="de-DE"/>
        </w:rPr>
        <w:t>Im Jahr 2017 hat die Wallonie die Ziele für 2020 bereits erreicht und sogar übertroffen.</w:t>
      </w:r>
    </w:p>
    <w:p w:rsidR="000B433A" w:rsidRDefault="000B433A" w:rsidP="008F6F57">
      <w:pPr>
        <w:pStyle w:val="Sansinterligne"/>
        <w:rPr>
          <w:rFonts w:ascii="Calibri" w:hAnsi="Calibri" w:cs="Calibri"/>
          <w:sz w:val="24"/>
          <w:szCs w:val="24"/>
          <w:lang w:val="de-DE"/>
        </w:rPr>
      </w:pPr>
    </w:p>
    <w:tbl>
      <w:tblPr>
        <w:tblW w:w="4540" w:type="dxa"/>
        <w:jc w:val="center"/>
        <w:tblCellMar>
          <w:left w:w="70" w:type="dxa"/>
          <w:right w:w="70" w:type="dxa"/>
        </w:tblCellMar>
        <w:tblLook w:val="00A0"/>
      </w:tblPr>
      <w:tblGrid>
        <w:gridCol w:w="1200"/>
        <w:gridCol w:w="1660"/>
        <w:gridCol w:w="1680"/>
      </w:tblGrid>
      <w:tr w:rsidR="000B433A" w:rsidRPr="005759E4" w:rsidTr="008F6F57">
        <w:trPr>
          <w:trHeight w:val="615"/>
          <w:jc w:val="center"/>
        </w:trPr>
        <w:tc>
          <w:tcPr>
            <w:tcW w:w="1200" w:type="dxa"/>
            <w:tcBorders>
              <w:top w:val="nil"/>
              <w:left w:val="nil"/>
              <w:bottom w:val="nil"/>
              <w:right w:val="nil"/>
            </w:tcBorders>
            <w:vAlign w:val="center"/>
          </w:tcPr>
          <w:p w:rsidR="000B433A" w:rsidRPr="000236FB" w:rsidRDefault="000B433A" w:rsidP="008F6F57">
            <w:pPr>
              <w:spacing w:after="0" w:line="240" w:lineRule="auto"/>
              <w:jc w:val="center"/>
              <w:rPr>
                <w:b/>
                <w:bCs/>
                <w:lang w:val="de-DE"/>
              </w:rPr>
            </w:pPr>
          </w:p>
        </w:tc>
        <w:tc>
          <w:tcPr>
            <w:tcW w:w="1660" w:type="dxa"/>
            <w:tcBorders>
              <w:top w:val="single" w:sz="4" w:space="0" w:color="auto"/>
              <w:left w:val="single" w:sz="4" w:space="0" w:color="auto"/>
              <w:bottom w:val="single" w:sz="4" w:space="0" w:color="auto"/>
              <w:right w:val="single" w:sz="4" w:space="0" w:color="auto"/>
            </w:tcBorders>
            <w:shd w:val="clear" w:color="000000" w:fill="4F81BD"/>
            <w:vAlign w:val="center"/>
          </w:tcPr>
          <w:p w:rsidR="000B433A" w:rsidRPr="000236FB" w:rsidRDefault="000B433A" w:rsidP="008F6F57">
            <w:pPr>
              <w:spacing w:after="0" w:line="240" w:lineRule="auto"/>
              <w:jc w:val="center"/>
              <w:rPr>
                <w:color w:val="FFFFFF"/>
                <w:lang w:val="de-DE"/>
              </w:rPr>
            </w:pPr>
            <w:r>
              <w:rPr>
                <w:color w:val="FFFFFF"/>
                <w:sz w:val="22"/>
                <w:lang w:val="de-DE"/>
              </w:rPr>
              <w:t>Wallonische Obergrenze 2020 (kt)</w:t>
            </w:r>
          </w:p>
        </w:tc>
        <w:tc>
          <w:tcPr>
            <w:tcW w:w="1680" w:type="dxa"/>
            <w:tcBorders>
              <w:top w:val="single" w:sz="4" w:space="0" w:color="auto"/>
              <w:left w:val="nil"/>
              <w:bottom w:val="single" w:sz="4" w:space="0" w:color="auto"/>
              <w:right w:val="single" w:sz="4" w:space="0" w:color="auto"/>
            </w:tcBorders>
            <w:shd w:val="clear" w:color="000000" w:fill="4F81BD"/>
            <w:vAlign w:val="center"/>
          </w:tcPr>
          <w:p w:rsidR="000B433A" w:rsidRPr="000236FB" w:rsidRDefault="000B433A" w:rsidP="00225F9B">
            <w:pPr>
              <w:spacing w:after="0" w:line="240" w:lineRule="auto"/>
              <w:jc w:val="center"/>
              <w:rPr>
                <w:color w:val="FFFFFF"/>
                <w:lang w:val="de-DE"/>
              </w:rPr>
            </w:pPr>
            <w:r>
              <w:rPr>
                <w:color w:val="FFFFFF"/>
                <w:sz w:val="22"/>
                <w:lang w:val="de-DE"/>
              </w:rPr>
              <w:t>Inventur 2017 (kt)</w:t>
            </w:r>
          </w:p>
        </w:tc>
      </w:tr>
      <w:tr w:rsidR="000B433A" w:rsidRPr="005759E4" w:rsidTr="008F6F57">
        <w:trPr>
          <w:trHeight w:val="315"/>
          <w:jc w:val="center"/>
        </w:trPr>
        <w:tc>
          <w:tcPr>
            <w:tcW w:w="1200" w:type="dxa"/>
            <w:tcBorders>
              <w:top w:val="single" w:sz="4" w:space="0" w:color="auto"/>
              <w:left w:val="single" w:sz="4" w:space="0" w:color="auto"/>
              <w:bottom w:val="nil"/>
              <w:right w:val="nil"/>
            </w:tcBorders>
            <w:shd w:val="clear" w:color="000000" w:fill="4F81BD"/>
            <w:vAlign w:val="center"/>
          </w:tcPr>
          <w:p w:rsidR="000B433A" w:rsidRPr="000236FB" w:rsidRDefault="000B433A" w:rsidP="008F6F57">
            <w:pPr>
              <w:spacing w:after="0" w:line="240" w:lineRule="auto"/>
              <w:jc w:val="center"/>
              <w:rPr>
                <w:color w:val="FFFFFF"/>
                <w:lang w:val="de-DE"/>
              </w:rPr>
            </w:pPr>
            <w:r>
              <w:rPr>
                <w:color w:val="FFFFFF"/>
                <w:sz w:val="22"/>
                <w:lang w:val="de-DE"/>
              </w:rPr>
              <w:t>NOx</w:t>
            </w:r>
          </w:p>
        </w:tc>
        <w:tc>
          <w:tcPr>
            <w:tcW w:w="1660" w:type="dxa"/>
            <w:tcBorders>
              <w:top w:val="nil"/>
              <w:left w:val="single" w:sz="4" w:space="0" w:color="auto"/>
              <w:bottom w:val="nil"/>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72,4</w:t>
            </w:r>
          </w:p>
        </w:tc>
        <w:tc>
          <w:tcPr>
            <w:tcW w:w="1680" w:type="dxa"/>
            <w:tcBorders>
              <w:top w:val="nil"/>
              <w:left w:val="nil"/>
              <w:bottom w:val="nil"/>
              <w:right w:val="single" w:sz="4" w:space="0" w:color="auto"/>
            </w:tcBorders>
            <w:vAlign w:val="center"/>
          </w:tcPr>
          <w:p w:rsidR="000B433A" w:rsidRPr="000236FB" w:rsidRDefault="000B433A" w:rsidP="00225F9B">
            <w:pPr>
              <w:spacing w:after="0" w:line="240" w:lineRule="auto"/>
              <w:jc w:val="center"/>
              <w:rPr>
                <w:lang w:val="de-DE"/>
              </w:rPr>
            </w:pPr>
            <w:r>
              <w:rPr>
                <w:sz w:val="22"/>
                <w:lang w:val="de-DE"/>
              </w:rPr>
              <w:t>60.7</w:t>
            </w:r>
          </w:p>
        </w:tc>
      </w:tr>
      <w:tr w:rsidR="000B433A" w:rsidRPr="005759E4" w:rsidTr="008F6F57">
        <w:trPr>
          <w:trHeight w:val="315"/>
          <w:jc w:val="center"/>
        </w:trPr>
        <w:tc>
          <w:tcPr>
            <w:tcW w:w="1200" w:type="dxa"/>
            <w:tcBorders>
              <w:top w:val="single" w:sz="4" w:space="0" w:color="auto"/>
              <w:left w:val="single" w:sz="4" w:space="0" w:color="auto"/>
              <w:bottom w:val="single" w:sz="4" w:space="0" w:color="auto"/>
              <w:right w:val="nil"/>
            </w:tcBorders>
            <w:shd w:val="clear" w:color="000000" w:fill="4F81BD"/>
            <w:vAlign w:val="center"/>
          </w:tcPr>
          <w:p w:rsidR="000B433A" w:rsidRPr="000236FB" w:rsidRDefault="000B433A" w:rsidP="008F6F57">
            <w:pPr>
              <w:spacing w:after="0" w:line="240" w:lineRule="auto"/>
              <w:jc w:val="center"/>
              <w:rPr>
                <w:color w:val="FFFFFF"/>
                <w:lang w:val="de-DE"/>
              </w:rPr>
            </w:pPr>
            <w:r>
              <w:rPr>
                <w:color w:val="FFFFFF"/>
                <w:sz w:val="22"/>
                <w:lang w:val="de-DE"/>
              </w:rPr>
              <w:t>SO2</w:t>
            </w:r>
          </w:p>
        </w:tc>
        <w:tc>
          <w:tcPr>
            <w:tcW w:w="1660" w:type="dxa"/>
            <w:tcBorders>
              <w:top w:val="single" w:sz="4" w:space="0" w:color="auto"/>
              <w:left w:val="single" w:sz="4" w:space="0" w:color="auto"/>
              <w:bottom w:val="single" w:sz="4" w:space="0" w:color="auto"/>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25,8</w:t>
            </w:r>
          </w:p>
        </w:tc>
        <w:tc>
          <w:tcPr>
            <w:tcW w:w="1680" w:type="dxa"/>
            <w:tcBorders>
              <w:top w:val="single" w:sz="4" w:space="0" w:color="auto"/>
              <w:left w:val="nil"/>
              <w:bottom w:val="single" w:sz="4" w:space="0" w:color="auto"/>
              <w:right w:val="single" w:sz="4" w:space="0" w:color="auto"/>
            </w:tcBorders>
            <w:vAlign w:val="center"/>
          </w:tcPr>
          <w:p w:rsidR="000B433A" w:rsidRDefault="000B433A">
            <w:pPr>
              <w:spacing w:after="0" w:line="240" w:lineRule="auto"/>
              <w:jc w:val="center"/>
              <w:rPr>
                <w:lang w:val="de-DE"/>
              </w:rPr>
            </w:pPr>
            <w:r>
              <w:rPr>
                <w:sz w:val="22"/>
                <w:lang w:val="de-DE"/>
              </w:rPr>
              <w:t>9,1</w:t>
            </w:r>
          </w:p>
        </w:tc>
      </w:tr>
      <w:tr w:rsidR="000B433A" w:rsidRPr="005759E4" w:rsidTr="008F6F57">
        <w:trPr>
          <w:trHeight w:val="300"/>
          <w:jc w:val="center"/>
        </w:trPr>
        <w:tc>
          <w:tcPr>
            <w:tcW w:w="1200" w:type="dxa"/>
            <w:tcBorders>
              <w:top w:val="nil"/>
              <w:left w:val="single" w:sz="4" w:space="0" w:color="auto"/>
              <w:bottom w:val="nil"/>
              <w:right w:val="nil"/>
            </w:tcBorders>
            <w:shd w:val="clear" w:color="000000" w:fill="4F81BD"/>
            <w:vAlign w:val="center"/>
          </w:tcPr>
          <w:p w:rsidR="000B433A" w:rsidRPr="000236FB" w:rsidRDefault="000B433A" w:rsidP="008F6F57">
            <w:pPr>
              <w:spacing w:after="0" w:line="240" w:lineRule="auto"/>
              <w:jc w:val="center"/>
              <w:rPr>
                <w:color w:val="FFFFFF"/>
                <w:lang w:val="de-DE"/>
              </w:rPr>
            </w:pPr>
            <w:r>
              <w:rPr>
                <w:color w:val="FFFFFF"/>
                <w:sz w:val="22"/>
                <w:lang w:val="de-DE"/>
              </w:rPr>
              <w:t>PM2,5</w:t>
            </w:r>
          </w:p>
        </w:tc>
        <w:tc>
          <w:tcPr>
            <w:tcW w:w="1660" w:type="dxa"/>
            <w:tcBorders>
              <w:top w:val="nil"/>
              <w:left w:val="single" w:sz="4" w:space="0" w:color="auto"/>
              <w:bottom w:val="nil"/>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11,3</w:t>
            </w:r>
          </w:p>
        </w:tc>
        <w:tc>
          <w:tcPr>
            <w:tcW w:w="1680" w:type="dxa"/>
            <w:tcBorders>
              <w:top w:val="nil"/>
              <w:left w:val="nil"/>
              <w:bottom w:val="nil"/>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10,21</w:t>
            </w:r>
          </w:p>
        </w:tc>
      </w:tr>
      <w:tr w:rsidR="000B433A" w:rsidRPr="005759E4" w:rsidTr="008F6F57">
        <w:trPr>
          <w:trHeight w:val="315"/>
          <w:jc w:val="center"/>
        </w:trPr>
        <w:tc>
          <w:tcPr>
            <w:tcW w:w="1200" w:type="dxa"/>
            <w:tcBorders>
              <w:top w:val="single" w:sz="4" w:space="0" w:color="auto"/>
              <w:left w:val="single" w:sz="4" w:space="0" w:color="auto"/>
              <w:bottom w:val="single" w:sz="4" w:space="0" w:color="auto"/>
              <w:right w:val="nil"/>
            </w:tcBorders>
            <w:shd w:val="clear" w:color="000000" w:fill="4F81BD"/>
            <w:vAlign w:val="center"/>
          </w:tcPr>
          <w:p w:rsidR="000B433A" w:rsidRPr="000236FB" w:rsidRDefault="000B433A" w:rsidP="008F6F57">
            <w:pPr>
              <w:spacing w:after="0" w:line="240" w:lineRule="auto"/>
              <w:jc w:val="center"/>
              <w:rPr>
                <w:color w:val="FFFFFF"/>
                <w:lang w:val="de-DE"/>
              </w:rPr>
            </w:pPr>
            <w:r>
              <w:rPr>
                <w:color w:val="FFFFFF"/>
                <w:sz w:val="22"/>
                <w:lang w:val="de-DE"/>
              </w:rPr>
              <w:t>VOC</w:t>
            </w:r>
          </w:p>
        </w:tc>
        <w:tc>
          <w:tcPr>
            <w:tcW w:w="1660" w:type="dxa"/>
            <w:tcBorders>
              <w:top w:val="single" w:sz="4" w:space="0" w:color="auto"/>
              <w:left w:val="single" w:sz="4" w:space="0" w:color="auto"/>
              <w:bottom w:val="single" w:sz="4" w:space="0" w:color="auto"/>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36,8</w:t>
            </w:r>
          </w:p>
        </w:tc>
        <w:tc>
          <w:tcPr>
            <w:tcW w:w="1680" w:type="dxa"/>
            <w:tcBorders>
              <w:top w:val="single" w:sz="4" w:space="0" w:color="auto"/>
              <w:left w:val="nil"/>
              <w:bottom w:val="single" w:sz="4" w:space="0" w:color="auto"/>
              <w:right w:val="single" w:sz="4" w:space="0" w:color="auto"/>
            </w:tcBorders>
            <w:vAlign w:val="center"/>
          </w:tcPr>
          <w:p w:rsidR="000B433A" w:rsidRPr="000236FB" w:rsidRDefault="000B433A" w:rsidP="00225F9B">
            <w:pPr>
              <w:spacing w:after="0" w:line="240" w:lineRule="auto"/>
              <w:jc w:val="center"/>
              <w:rPr>
                <w:lang w:val="de-DE"/>
              </w:rPr>
            </w:pPr>
            <w:r>
              <w:rPr>
                <w:sz w:val="22"/>
                <w:lang w:val="de-DE"/>
              </w:rPr>
              <w:t>28</w:t>
            </w:r>
          </w:p>
        </w:tc>
      </w:tr>
      <w:tr w:rsidR="000B433A" w:rsidRPr="005759E4" w:rsidTr="008F6F57">
        <w:trPr>
          <w:trHeight w:val="300"/>
          <w:jc w:val="center"/>
        </w:trPr>
        <w:tc>
          <w:tcPr>
            <w:tcW w:w="1200" w:type="dxa"/>
            <w:tcBorders>
              <w:top w:val="nil"/>
              <w:left w:val="single" w:sz="4" w:space="0" w:color="auto"/>
              <w:bottom w:val="single" w:sz="4" w:space="0" w:color="auto"/>
              <w:right w:val="nil"/>
            </w:tcBorders>
            <w:shd w:val="clear" w:color="000000" w:fill="4F81BD"/>
            <w:vAlign w:val="center"/>
          </w:tcPr>
          <w:p w:rsidR="000B433A" w:rsidRPr="000236FB" w:rsidRDefault="000B433A" w:rsidP="008F6F57">
            <w:pPr>
              <w:spacing w:after="0" w:line="240" w:lineRule="auto"/>
              <w:jc w:val="center"/>
              <w:rPr>
                <w:color w:val="FFFFFF"/>
                <w:lang w:val="de-DE"/>
              </w:rPr>
            </w:pPr>
            <w:r>
              <w:rPr>
                <w:color w:val="FFFFFF"/>
                <w:sz w:val="22"/>
                <w:lang w:val="de-DE"/>
              </w:rPr>
              <w:t>NH3</w:t>
            </w:r>
          </w:p>
        </w:tc>
        <w:tc>
          <w:tcPr>
            <w:tcW w:w="1660" w:type="dxa"/>
            <w:tcBorders>
              <w:top w:val="nil"/>
              <w:left w:val="single" w:sz="4" w:space="0" w:color="auto"/>
              <w:bottom w:val="single" w:sz="4" w:space="0" w:color="auto"/>
              <w:right w:val="single" w:sz="4" w:space="0" w:color="auto"/>
            </w:tcBorders>
            <w:vAlign w:val="center"/>
          </w:tcPr>
          <w:p w:rsidR="000B433A" w:rsidRPr="000236FB" w:rsidRDefault="000B433A" w:rsidP="008F6F57">
            <w:pPr>
              <w:spacing w:after="0" w:line="240" w:lineRule="auto"/>
              <w:jc w:val="center"/>
              <w:rPr>
                <w:lang w:val="de-DE"/>
              </w:rPr>
            </w:pPr>
            <w:r>
              <w:rPr>
                <w:sz w:val="22"/>
                <w:lang w:val="de-DE"/>
              </w:rPr>
              <w:t>30,4</w:t>
            </w:r>
          </w:p>
        </w:tc>
        <w:tc>
          <w:tcPr>
            <w:tcW w:w="1680" w:type="dxa"/>
            <w:tcBorders>
              <w:top w:val="nil"/>
              <w:left w:val="nil"/>
              <w:bottom w:val="single" w:sz="4" w:space="0" w:color="auto"/>
              <w:right w:val="single" w:sz="4" w:space="0" w:color="auto"/>
            </w:tcBorders>
            <w:vAlign w:val="center"/>
          </w:tcPr>
          <w:p w:rsidR="000B433A" w:rsidRPr="000236FB" w:rsidRDefault="000B433A" w:rsidP="00225F9B">
            <w:pPr>
              <w:spacing w:after="0" w:line="240" w:lineRule="auto"/>
              <w:jc w:val="center"/>
              <w:rPr>
                <w:lang w:val="de-DE"/>
              </w:rPr>
            </w:pPr>
            <w:r>
              <w:rPr>
                <w:sz w:val="22"/>
                <w:lang w:val="de-DE"/>
              </w:rPr>
              <w:t>28,56</w:t>
            </w:r>
          </w:p>
        </w:tc>
      </w:tr>
    </w:tbl>
    <w:bookmarkEnd w:id="19"/>
    <w:p w:rsidR="000B433A" w:rsidRPr="00D07F58" w:rsidRDefault="000B433A" w:rsidP="008F6F57">
      <w:pPr>
        <w:pStyle w:val="Lgende"/>
        <w:keepNext/>
        <w:rPr>
          <w:lang w:val="de-DE"/>
        </w:rPr>
      </w:pPr>
      <w:r>
        <w:rPr>
          <w:lang w:val="de-DE"/>
        </w:rPr>
        <w:t xml:space="preserve">Tabelle </w:t>
      </w:r>
      <w:r w:rsidR="005A6B21">
        <w:rPr>
          <w:lang w:val="de-DE"/>
        </w:rPr>
        <w:fldChar w:fldCharType="begin"/>
      </w:r>
      <w:r>
        <w:rPr>
          <w:lang w:val="de-DE"/>
        </w:rPr>
        <w:instrText xml:space="preserve"> SEQ Tableau \* ARABIC </w:instrText>
      </w:r>
      <w:r w:rsidR="005A6B21">
        <w:rPr>
          <w:lang w:val="de-DE"/>
        </w:rPr>
        <w:fldChar w:fldCharType="separate"/>
      </w:r>
      <w:r>
        <w:rPr>
          <w:lang w:val="de-DE"/>
        </w:rPr>
        <w:t>14</w:t>
      </w:r>
      <w:r w:rsidR="005A6B21">
        <w:rPr>
          <w:lang w:val="de-DE"/>
        </w:rPr>
        <w:fldChar w:fldCharType="end"/>
      </w:r>
      <w:r>
        <w:rPr>
          <w:lang w:val="de-DE"/>
        </w:rPr>
        <w:t>: Vergleich der Luftschadstoffemissionen 2016 (Vorlage 2018) mit der wallonischen Obergrenze 2020</w:t>
      </w:r>
    </w:p>
    <w:p w:rsidR="000B433A" w:rsidRPr="00482D92" w:rsidRDefault="000B433A" w:rsidP="008F6F57">
      <w:pPr>
        <w:pStyle w:val="Sansinterligne"/>
        <w:rPr>
          <w:rFonts w:ascii="Calibri" w:hAnsi="Calibri"/>
          <w:sz w:val="24"/>
          <w:szCs w:val="24"/>
          <w:lang w:val="de-DE"/>
        </w:rPr>
      </w:pPr>
    </w:p>
    <w:p w:rsidR="000B433A" w:rsidRDefault="000B433A">
      <w:pPr>
        <w:pStyle w:val="Sansinterligne"/>
        <w:numPr>
          <w:ilvl w:val="0"/>
          <w:numId w:val="60"/>
        </w:numPr>
        <w:ind w:left="851" w:hanging="851"/>
        <w:rPr>
          <w:rFonts w:ascii="Calibri" w:hAnsi="Calibri" w:cs="Calibri"/>
          <w:b/>
          <w:color w:val="1F497D"/>
          <w:sz w:val="24"/>
          <w:szCs w:val="24"/>
          <w:lang w:val="de-DE"/>
        </w:rPr>
      </w:pPr>
      <w:r>
        <w:rPr>
          <w:rFonts w:ascii="Calibri" w:hAnsi="Calibri" w:cs="Calibri"/>
          <w:b/>
          <w:color w:val="1F497D"/>
          <w:sz w:val="24"/>
          <w:lang w:val="de-DE"/>
        </w:rPr>
        <w:t>Gemeinsame Ziele</w:t>
      </w:r>
    </w:p>
    <w:p w:rsidR="000B433A" w:rsidRPr="005F5D9D" w:rsidRDefault="000B433A" w:rsidP="008F6F57">
      <w:pPr>
        <w:pStyle w:val="Sansinterligne"/>
        <w:rPr>
          <w:rFonts w:ascii="Calibri" w:hAnsi="Calibri" w:cs="Calibri"/>
          <w:sz w:val="24"/>
          <w:szCs w:val="24"/>
          <w:lang w:val="de-DE"/>
        </w:rPr>
      </w:pPr>
    </w:p>
    <w:p w:rsidR="000B433A" w:rsidRDefault="000B433A" w:rsidP="008F6F57">
      <w:pPr>
        <w:pStyle w:val="Sansinterligne"/>
        <w:rPr>
          <w:rFonts w:ascii="Calibri" w:hAnsi="Calibri"/>
          <w:sz w:val="24"/>
          <w:szCs w:val="24"/>
          <w:lang w:val="de-DE"/>
        </w:rPr>
      </w:pPr>
      <w:r>
        <w:rPr>
          <w:rFonts w:ascii="Calibri" w:hAnsi="Calibri"/>
          <w:sz w:val="24"/>
          <w:lang w:val="de-DE"/>
        </w:rPr>
        <w:t>Die Vereinbarungen über die Verteilung der belgischen Ziele betreffen nur die Regionen. Sie werden im Rahmen von zwei Kooperationsabkommen angenommen, die derzeit ausgearbeitet werden.</w:t>
      </w:r>
    </w:p>
    <w:p w:rsidR="000B433A" w:rsidRPr="005F5D9D" w:rsidRDefault="000B433A" w:rsidP="008F6F57">
      <w:pPr>
        <w:pStyle w:val="Sansinterligne"/>
        <w:rPr>
          <w:rFonts w:ascii="Calibri" w:hAnsi="Calibri" w:cs="Calibri"/>
          <w:sz w:val="24"/>
          <w:szCs w:val="24"/>
          <w:lang w:val="de-DE"/>
        </w:rPr>
      </w:pPr>
    </w:p>
    <w:p w:rsidR="000B433A" w:rsidRPr="005F5D9D" w:rsidRDefault="000B433A" w:rsidP="008F6F57">
      <w:pPr>
        <w:pStyle w:val="Sansinterligne"/>
        <w:rPr>
          <w:rFonts w:ascii="Calibri" w:hAnsi="Calibri" w:cs="Calibri"/>
          <w:sz w:val="24"/>
          <w:szCs w:val="24"/>
          <w:lang w:val="de-DE"/>
        </w:rPr>
      </w:pPr>
      <w:r>
        <w:rPr>
          <w:rFonts w:ascii="Calibri" w:hAnsi="Calibri" w:cs="Calibri"/>
          <w:sz w:val="24"/>
          <w:lang w:val="de-DE"/>
        </w:rPr>
        <w:t>Der Föderalstaat unterliegt keinem Reduktionsziel. Durch einige seiner Kompetenzen kann er jedoch zur Begrenzung der Emissionen von Luftschadstoffen beitragen, insbesondere durch die Verbesserung der Produktnormen (Fahrzeuge, Haushalts- und Heizgeräte, lösungsmittelhaltige Produkte usw.) oder durch eine anreizende oder abschreckende Anpassung der Besteuerung von Brennstoffen, Kraftstoffen, Fahrzeugen oder sonstigen Geräten, die zur Luftverschmutzung beitragen können. Daher verpflichtet sich der Föderalstaat im Rahmen der Kooperationsabkommen bestimmte Maßnahmen zu ergreifen, die zur Erreichung der belgischen Reduktionsziele beitragen und somit die Politik der Regionen unterstützen.</w:t>
      </w:r>
    </w:p>
    <w:p w:rsidR="000B433A" w:rsidRPr="005F5D9D" w:rsidRDefault="000B433A" w:rsidP="008F6F57">
      <w:pPr>
        <w:pStyle w:val="Sansinterligne"/>
        <w:rPr>
          <w:rFonts w:ascii="Calibri" w:hAnsi="Calibri" w:cs="Calibri"/>
          <w:sz w:val="24"/>
          <w:szCs w:val="24"/>
          <w:lang w:val="de-DE"/>
        </w:rPr>
      </w:pPr>
    </w:p>
    <w:p w:rsidR="000B433A" w:rsidRDefault="000B433A">
      <w:pPr>
        <w:pStyle w:val="TEXTEI7"/>
        <w:numPr>
          <w:ilvl w:val="0"/>
          <w:numId w:val="60"/>
        </w:numPr>
        <w:ind w:left="851" w:hanging="851"/>
        <w:rPr>
          <w:rFonts w:ascii="Calibri" w:hAnsi="Calibri"/>
          <w:b/>
          <w:color w:val="1F497D"/>
          <w:sz w:val="24"/>
          <w:szCs w:val="24"/>
          <w:lang w:val="de-DE"/>
        </w:rPr>
      </w:pPr>
      <w:r>
        <w:rPr>
          <w:rFonts w:ascii="Calibri" w:hAnsi="Calibri"/>
          <w:b/>
          <w:color w:val="1F497D"/>
          <w:sz w:val="24"/>
          <w:lang w:val="de-DE"/>
        </w:rPr>
        <w:t>Luftqualität</w:t>
      </w:r>
    </w:p>
    <w:p w:rsidR="000B433A" w:rsidRPr="0022320C" w:rsidRDefault="000B433A" w:rsidP="008F6F57">
      <w:pPr>
        <w:pStyle w:val="TEXTEI7"/>
        <w:rPr>
          <w:rFonts w:ascii="Calibri" w:hAnsi="Calibri"/>
          <w:color w:val="auto"/>
          <w:sz w:val="24"/>
          <w:szCs w:val="24"/>
          <w:lang w:val="de-DE"/>
        </w:rPr>
      </w:pPr>
      <w:r>
        <w:rPr>
          <w:rFonts w:ascii="Calibri" w:hAnsi="Calibri"/>
          <w:color w:val="auto"/>
          <w:sz w:val="24"/>
          <w:lang w:val="de-DE"/>
        </w:rPr>
        <w:t xml:space="preserve">Die Luftqualitätsnormen mehrerer europäischer Richtlinien (siehe Anhang 2) entsprechen den maximalen Konzentrationen der verschiedenen Luftschadstoffe in der Luft. Sie konzentrieren sich auf den Schutz der menschlichen Gesundheit und der Ökosysteme. Die schrittweise Begrenzung der Emissionen stellt das Instrument zur Erfüllung dieser Luftqualitätsnormen dar. </w:t>
      </w:r>
    </w:p>
    <w:p w:rsidR="000B433A" w:rsidRPr="0022320C" w:rsidRDefault="000B433A" w:rsidP="008F6F57">
      <w:pPr>
        <w:pStyle w:val="TEXTEI7"/>
        <w:rPr>
          <w:rFonts w:ascii="Calibri" w:hAnsi="Calibri"/>
          <w:color w:val="auto"/>
          <w:sz w:val="24"/>
          <w:szCs w:val="24"/>
          <w:lang w:val="de-DE"/>
        </w:rPr>
      </w:pPr>
      <w:r>
        <w:rPr>
          <w:rFonts w:ascii="Calibri" w:hAnsi="Calibri"/>
          <w:color w:val="auto"/>
          <w:sz w:val="24"/>
          <w:lang w:val="de-DE"/>
        </w:rPr>
        <w:t>Diese europäischen Normen, die die Wallonie anwendet und respektiert, basieren auf von der WHO festgelegten Leitlinien, erfüllen aber nicht alle das von der WHO gewünschte Anforderungsniveau. Da der Gesundheitsschutz noch nicht ausreichend gewährleistet ist, überprüft die WHO derzeit ihre Leitlinien. Die Schlussfolgerungen der WHO werden höchstwahrscheinlich zu einem neuen Vorschlag für eine europäische Richtlinie im Jahr 2020 führen, der die derzeitigen Anforderungen verschärft.</w:t>
      </w:r>
    </w:p>
    <w:p w:rsidR="000B433A" w:rsidRPr="0022320C" w:rsidRDefault="000B433A" w:rsidP="008F6F57">
      <w:pPr>
        <w:pStyle w:val="TEXTEI7"/>
        <w:rPr>
          <w:rFonts w:ascii="Calibri" w:hAnsi="Calibri"/>
          <w:color w:val="auto"/>
          <w:sz w:val="24"/>
          <w:szCs w:val="24"/>
          <w:lang w:val="de-DE"/>
        </w:rPr>
      </w:pPr>
      <w:r>
        <w:rPr>
          <w:rFonts w:ascii="Calibri" w:hAnsi="Calibri"/>
          <w:color w:val="auto"/>
          <w:sz w:val="24"/>
          <w:lang w:val="de-DE"/>
        </w:rPr>
        <w:t>Durch die Verringerung der Emissionen von Luftschadstoffen, die von diesem LKEP 2030 organisiert werden, beabsichtigt die Wallonie, die Schadstoffkonzentrationen in der Luft zu verringern und die derzeitigen europäischen Luftqualitätsnormen zu übertreffen, um den künftigen überarbeiteten WHO-Normen näher zu kommen.</w:t>
      </w:r>
    </w:p>
    <w:p w:rsidR="000B433A" w:rsidRPr="00D07F58" w:rsidRDefault="000B433A" w:rsidP="00464B0A">
      <w:pPr>
        <w:pStyle w:val="Titre3"/>
        <w:numPr>
          <w:ilvl w:val="2"/>
          <w:numId w:val="1"/>
        </w:numPr>
        <w:ind w:left="851" w:hanging="851"/>
        <w:rPr>
          <w:lang w:val="de-DE"/>
        </w:rPr>
      </w:pPr>
      <w:r>
        <w:rPr>
          <w:lang w:val="de-DE"/>
        </w:rPr>
        <w:t>Auswirkungen auf die Reduktion (WAM-Szenario)</w:t>
      </w:r>
    </w:p>
    <w:p w:rsidR="000B433A" w:rsidRDefault="005A6B21" w:rsidP="008F6F57">
      <w:pPr>
        <w:pStyle w:val="TEXTEI7"/>
        <w:keepNext/>
      </w:pPr>
      <w:r>
        <w:pict>
          <v:group id="_x0000_s1224" editas="canvas" style="width:446.8pt;height:196.8pt;mso-position-horizontal-relative:char;mso-position-vertical-relative:line" coordorigin="-48,-1345" coordsize="8936,3936">
            <o:lock v:ext="edit" aspectratio="t"/>
            <v:shape id="_x0000_s1225" type="#_x0000_t75" style="position:absolute;left:-48;top:-1345;width:8936;height:3936" o:preferrelative="f">
              <v:fill o:detectmouseclick="t"/>
              <v:path o:extrusionok="t" o:connecttype="none"/>
              <o:lock v:ext="edit" text="t"/>
            </v:shape>
            <v:group id="_x0000_s1226" style="position:absolute;left:24;top:-1345;width:8864;height:3787" coordorigin="3,-1342" coordsize="8864,3787">
              <v:rect id="_x0000_s1227" style="position:absolute;left:3;top:-1342;width:2957;height:1777" stroked="f"/>
              <v:rect id="_x0000_s1228" style="position:absolute;left:532;top:-924;width:1524;height:1052" stroked="f"/>
              <v:shape id="_x0000_s1229" style="position:absolute;left:535;top:-924;width:1518;height:843" coordsize="1518,843" path="m,836r1518,l1518,843,,843r,-7xm,627r1518,l1518,633,,633r,-6xm,418r1518,l1518,424,,424r,-6xm,209r1518,l1518,215,,215r,-6xm,l1518,r,6l,6,,xe" fillcolor="#898989" strokecolor="#898989" strokeweight=".3pt">
                <v:stroke joinstyle="bevel"/>
                <v:path arrowok="t"/>
                <o:lock v:ext="edit" verticies="t"/>
              </v:shape>
              <v:shape id="_x0000_s1230" style="position:absolute;left:649;top:-75;width:1290;height:196" coordsize="1290,196" path="m,l147,r,196l,196,,xm374,190r154,l528,196r-154,l374,190xm756,190r153,l909,196r-153,l756,190xm1137,190r153,l1290,196r-153,l1137,190xe" fillcolor="#3b64ad" stroked="f">
                <v:path arrowok="t"/>
                <o:lock v:ext="edit" verticies="t"/>
              </v:shape>
              <v:shape id="_x0000_s1231" style="position:absolute;left:649;top:-254;width:1290;height:369" coordsize="1290,369" path="m,l147,r,179l,179,,xm374,302r154,l528,369r-154,l374,302xm756,277r153,l909,369r-153,l756,277xm1137,283r153,l1290,369r-153,l1137,283xe" fillcolor="#d26e2a" stroked="f">
                <v:path arrowok="t"/>
                <o:lock v:ext="edit" verticies="t"/>
              </v:shape>
              <v:shape id="_x0000_s1232" style="position:absolute;left:649;top:-758;width:1290;height:806" coordsize="1290,806" path="m,l147,r,504l,504,,xm374,683r154,l528,806r-154,l374,683xm756,658r153,l909,781r-153,l756,658xm1137,664r153,l1290,787r-153,l1137,664xe" fillcolor="#929292" stroked="f">
                <v:path arrowok="t"/>
                <o:lock v:ext="edit" verticies="t"/>
              </v:shape>
              <v:shape id="_x0000_s1233" style="position:absolute;left:649;top:-776;width:1290;height:701" coordsize="1290,701" path="m,l147,r,18l,18,,xm374,695r154,l528,701r-154,l374,695xm756,670r153,l909,676r-153,l756,670xm1137,670r153,l1290,682r-153,l1137,670xe" fillcolor="#62993e" stroked="f">
                <v:path arrowok="t"/>
                <o:lock v:ext="edit" verticies="t"/>
              </v:shape>
              <v:shape id="_x0000_s1234" style="position:absolute;left:649;top:-801;width:1290;height:720" coordsize="1290,720" path="m,l147,r,25l,25,,xm374,713r154,l528,720r-154,l374,713xm756,689r153,l909,695r-153,l756,689xm1137,689r153,l1290,695r-153,l1137,689xe" fillcolor="#8fa2d4" stroked="f">
                <v:path arrowok="t"/>
                <o:lock v:ext="edit" verticies="t"/>
              </v:shape>
              <v:rect id="_x0000_s1235" style="position:absolute;left:532;top:-921;width:6;height:1045" fillcolor="#898989" strokecolor="#898989" strokeweight=".3pt">
                <v:stroke joinstyle="bevel"/>
              </v:rect>
              <v:shape id="_x0000_s1236" style="position:absolute;left:504;top:-924;width:31;height:1052" coordsize="31,1052" path="m,1045r31,l31,1052r-31,l,1045xm,836r31,l31,843,,843r,-7xm,627r31,l31,633,,633r,-6xm,418r31,l31,424,,424r,-6xm,209r31,l31,215,,215r,-6xm,l31,r,6l,6,,xe" fillcolor="#898989" strokecolor="#898989" strokeweight=".3pt">
                <v:stroke joinstyle="bevel"/>
                <v:path arrowok="t"/>
                <o:lock v:ext="edit" verticies="t"/>
              </v:shape>
              <v:rect id="_x0000_s1237" style="position:absolute;left:535;top:121;width:1518;height:7" fillcolor="#898989" strokecolor="#898989" strokeweight=".3pt">
                <v:stroke joinstyle="bevel"/>
              </v:rect>
              <v:shape id="_x0000_s1238" style="position:absolute;left:532;top:124;width:1524;height:25" coordsize="1524,25" path="m6,r,25l,25,,,6,xm381,r,25l375,25,375,r6,xm762,r,25l756,25,756,r6,xm1143,r,25l1137,25r,-25l1143,xm1524,r,25l1518,25r,-25l1524,xe" fillcolor="#898989" strokecolor="#898989" strokeweight=".3pt">
                <v:stroke joinstyle="bevel"/>
                <v:path arrowok="t"/>
                <o:lock v:ext="edit" verticies="t"/>
              </v:shape>
              <v:rect id="_x0000_s1239" style="position:absolute;left:414;top:78;width:41;height:232;mso-wrap-style:none" filled="f" stroked="f">
                <v:textbox style="mso-next-textbox:#_x0000_s1239;mso-fit-shape-to-text:t" inset="0,0,0,0">
                  <w:txbxContent>
                    <w:p w:rsidR="000B433A" w:rsidRDefault="000B433A">
                      <w:r>
                        <w:rPr>
                          <w:rFonts w:cs="Calibri"/>
                          <w:color w:val="000000"/>
                          <w:sz w:val="8"/>
                          <w:szCs w:val="8"/>
                          <w:lang w:val="en-US"/>
                        </w:rPr>
                        <w:t>0</w:t>
                      </w:r>
                    </w:p>
                  </w:txbxContent>
                </v:textbox>
              </v:rect>
              <v:rect id="_x0000_s1240" style="position:absolute;left:230;top:-131;width:221;height:232;mso-wrap-style:none" filled="f" stroked="f">
                <v:textbox style="mso-next-textbox:#_x0000_s1240;mso-fit-shape-to-text:t" inset="0,0,0,0">
                  <w:txbxContent>
                    <w:p w:rsidR="000B433A" w:rsidRDefault="000B433A">
                      <w:r>
                        <w:rPr>
                          <w:rFonts w:cs="Calibri"/>
                          <w:color w:val="000000"/>
                          <w:sz w:val="8"/>
                          <w:szCs w:val="8"/>
                          <w:lang w:val="en-US"/>
                        </w:rPr>
                        <w:t>10 000</w:t>
                      </w:r>
                    </w:p>
                  </w:txbxContent>
                </v:textbox>
              </v:rect>
              <v:rect id="_x0000_s1241" style="position:absolute;left:230;top:-341;width:221;height:232;mso-wrap-style:none" filled="f" stroked="f">
                <v:textbox style="mso-next-textbox:#_x0000_s1241;mso-fit-shape-to-text:t" inset="0,0,0,0">
                  <w:txbxContent>
                    <w:p w:rsidR="000B433A" w:rsidRDefault="000B433A">
                      <w:r>
                        <w:rPr>
                          <w:rFonts w:cs="Calibri"/>
                          <w:color w:val="000000"/>
                          <w:sz w:val="8"/>
                          <w:szCs w:val="8"/>
                          <w:lang w:val="en-US"/>
                        </w:rPr>
                        <w:t>20 000</w:t>
                      </w:r>
                    </w:p>
                  </w:txbxContent>
                </v:textbox>
              </v:rect>
              <v:rect id="_x0000_s1242" style="position:absolute;left:230;top:-550;width:221;height:232;mso-wrap-style:none" filled="f" stroked="f">
                <v:textbox style="mso-next-textbox:#_x0000_s1242;mso-fit-shape-to-text:t" inset="0,0,0,0">
                  <w:txbxContent>
                    <w:p w:rsidR="000B433A" w:rsidRDefault="000B433A">
                      <w:r>
                        <w:rPr>
                          <w:rFonts w:cs="Calibri"/>
                          <w:color w:val="000000"/>
                          <w:sz w:val="8"/>
                          <w:szCs w:val="8"/>
                          <w:lang w:val="en-US"/>
                        </w:rPr>
                        <w:t>30 000</w:t>
                      </w:r>
                    </w:p>
                  </w:txbxContent>
                </v:textbox>
              </v:rect>
              <v:rect id="_x0000_s1243" style="position:absolute;left:230;top:-759;width:221;height:232;mso-wrap-style:none" filled="f" stroked="f">
                <v:textbox style="mso-next-textbox:#_x0000_s1243;mso-fit-shape-to-text:t" inset="0,0,0,0">
                  <w:txbxContent>
                    <w:p w:rsidR="000B433A" w:rsidRDefault="000B433A">
                      <w:r>
                        <w:rPr>
                          <w:rFonts w:cs="Calibri"/>
                          <w:color w:val="000000"/>
                          <w:sz w:val="8"/>
                          <w:szCs w:val="8"/>
                          <w:lang w:val="en-US"/>
                        </w:rPr>
                        <w:t>40 000</w:t>
                      </w:r>
                    </w:p>
                  </w:txbxContent>
                </v:textbox>
              </v:rect>
              <v:rect id="_x0000_s1244" style="position:absolute;left:230;top:-969;width:221;height:232;mso-wrap-style:none" filled="f" stroked="f">
                <v:textbox style="mso-next-textbox:#_x0000_s1244;mso-fit-shape-to-text:t" inset="0,0,0,0">
                  <w:txbxContent>
                    <w:p w:rsidR="000B433A" w:rsidRDefault="000B433A">
                      <w:r>
                        <w:rPr>
                          <w:rFonts w:cs="Calibri"/>
                          <w:color w:val="000000"/>
                          <w:sz w:val="8"/>
                          <w:szCs w:val="8"/>
                          <w:lang w:val="en-US"/>
                        </w:rPr>
                        <w:t>50 000</w:t>
                      </w:r>
                    </w:p>
                  </w:txbxContent>
                </v:textbox>
              </v:rect>
              <v:rect id="_x0000_s1245" style="position:absolute;left:640;top:185;width:163;height:232;mso-wrap-style:none" filled="f" stroked="f">
                <v:textbox style="mso-next-textbox:#_x0000_s1245;mso-fit-shape-to-text:t" inset="0,0,0,0">
                  <w:txbxContent>
                    <w:p w:rsidR="000B433A" w:rsidRDefault="000B433A">
                      <w:r>
                        <w:rPr>
                          <w:rFonts w:cs="Calibri"/>
                          <w:color w:val="000000"/>
                          <w:sz w:val="8"/>
                          <w:szCs w:val="8"/>
                          <w:lang w:val="en-US"/>
                        </w:rPr>
                        <w:t>2005</w:t>
                      </w:r>
                    </w:p>
                  </w:txbxContent>
                </v:textbox>
              </v:rect>
              <v:rect id="_x0000_s1246" style="position:absolute;left:1020;top:185;width:163;height:232;mso-wrap-style:none" filled="f" stroked="f">
                <v:textbox style="mso-next-textbox:#_x0000_s1246;mso-fit-shape-to-text:t" inset="0,0,0,0">
                  <w:txbxContent>
                    <w:p w:rsidR="000B433A" w:rsidRDefault="000B433A">
                      <w:r>
                        <w:rPr>
                          <w:rFonts w:cs="Calibri"/>
                          <w:color w:val="000000"/>
                          <w:sz w:val="8"/>
                          <w:szCs w:val="8"/>
                          <w:lang w:val="en-US"/>
                        </w:rPr>
                        <w:t>2015</w:t>
                      </w:r>
                    </w:p>
                  </w:txbxContent>
                </v:textbox>
              </v:rect>
              <v:rect id="_x0000_s1247" style="position:absolute;left:1302;top:185;width:359;height:232;mso-wrap-style:none" filled="f" stroked="f">
                <v:textbox style="mso-next-textbox:#_x0000_s1247;mso-fit-shape-to-text:t" inset="0,0,0,0">
                  <w:txbxContent>
                    <w:p w:rsidR="000B433A" w:rsidRDefault="000B433A">
                      <w:r>
                        <w:rPr>
                          <w:rFonts w:cs="Calibri"/>
                          <w:color w:val="000000"/>
                          <w:sz w:val="8"/>
                          <w:szCs w:val="8"/>
                          <w:lang w:val="en-US"/>
                        </w:rPr>
                        <w:t>2030 WEM</w:t>
                      </w:r>
                    </w:p>
                  </w:txbxContent>
                </v:textbox>
              </v:rect>
              <v:rect id="_x0000_s1248" style="position:absolute;left:1675;top:185;width:367;height:232;mso-wrap-style:none" filled="f" stroked="f">
                <v:textbox style="mso-next-textbox:#_x0000_s1248;mso-fit-shape-to-text:t" inset="0,0,0,0">
                  <w:txbxContent>
                    <w:p w:rsidR="000B433A" w:rsidRDefault="000B433A">
                      <w:r>
                        <w:rPr>
                          <w:rFonts w:cs="Calibri"/>
                          <w:color w:val="000000"/>
                          <w:sz w:val="8"/>
                          <w:szCs w:val="8"/>
                          <w:lang w:val="en-US"/>
                        </w:rPr>
                        <w:t>2030 WAM</w:t>
                      </w:r>
                    </w:p>
                  </w:txbxContent>
                </v:textbox>
              </v:rect>
              <v:rect id="_x0000_s1249" style="position:absolute;left:189;top:-303;width:45;height:148;mso-wrap-style:none" filled="f" stroked="f">
                <v:textbox style="mso-next-textbox:#_x0000_s1249;mso-fit-shape-to-text:t" inset="0,0,0,0">
                  <w:txbxContent>
                    <w:p w:rsidR="000B433A" w:rsidRDefault="000B433A">
                      <w:proofErr w:type="gramStart"/>
                      <w:r>
                        <w:rPr>
                          <w:rFonts w:cs="Calibri"/>
                          <w:b/>
                          <w:bCs/>
                          <w:color w:val="000000"/>
                          <w:sz w:val="2"/>
                          <w:szCs w:val="2"/>
                          <w:lang w:val="en-US"/>
                        </w:rPr>
                        <w:t>t</w:t>
                      </w:r>
                      <w:proofErr w:type="gramEnd"/>
                      <w:r>
                        <w:rPr>
                          <w:rFonts w:cs="Calibri"/>
                          <w:b/>
                          <w:bCs/>
                          <w:color w:val="000000"/>
                          <w:sz w:val="2"/>
                          <w:szCs w:val="2"/>
                          <w:lang w:val="en-US"/>
                        </w:rPr>
                        <w:t xml:space="preserve"> SO2</w:t>
                      </w:r>
                    </w:p>
                  </w:txbxContent>
                </v:textbox>
              </v:rect>
              <v:rect id="_x0000_s1250" style="position:absolute;left:535;top:-1277;width:1880;height:317;mso-wrap-style:none" filled="f" stroked="f">
                <v:textbox style="mso-next-textbox:#_x0000_s1250;mso-fit-shape-to-text:t" inset="0,0,0,0">
                  <w:txbxContent>
                    <w:p w:rsidR="000B433A" w:rsidRDefault="000B433A">
                      <w:r>
                        <w:rPr>
                          <w:rFonts w:cs="Calibri"/>
                          <w:b/>
                          <w:bCs/>
                          <w:color w:val="000000"/>
                          <w:sz w:val="14"/>
                          <w:szCs w:val="14"/>
                          <w:lang w:val="en-US"/>
                        </w:rPr>
                        <w:t>Entwicklung der SO</w:t>
                      </w:r>
                      <w:r w:rsidRPr="004C69B8">
                        <w:rPr>
                          <w:rFonts w:cs="Calibri"/>
                          <w:b/>
                          <w:bCs/>
                          <w:color w:val="000000"/>
                          <w:sz w:val="10"/>
                          <w:szCs w:val="10"/>
                          <w:lang w:val="en-US"/>
                        </w:rPr>
                        <w:t>2</w:t>
                      </w:r>
                      <w:r>
                        <w:rPr>
                          <w:rFonts w:cs="Calibri"/>
                          <w:b/>
                          <w:bCs/>
                          <w:color w:val="000000"/>
                          <w:sz w:val="14"/>
                          <w:szCs w:val="14"/>
                          <w:lang w:val="en-US"/>
                        </w:rPr>
                        <w:t>-Emissionen</w:t>
                      </w:r>
                    </w:p>
                  </w:txbxContent>
                </v:textbox>
              </v:rect>
              <v:rect id="_x0000_s1251" style="position:absolute;left:2373;top:-1197;width:141;height:457;mso-wrap-style:none" filled="f" stroked="f">
                <v:textbox style="mso-next-textbox:#_x0000_s1251;mso-fit-shape-to-text:t" inset="0,0,0,0">
                  <w:txbxContent>
                    <w:p w:rsidR="000B433A" w:rsidRDefault="000B433A"/>
                  </w:txbxContent>
                </v:textbox>
              </v:rect>
              <v:rect id="_x0000_s1252" style="position:absolute;left:1064;top:-1099;width:362;height:317;mso-wrap-style:none" filled="f" stroked="f">
                <v:textbox style="mso-next-textbox:#_x0000_s1252;mso-fit-shape-to-text:t" inset="0,0,0,0">
                  <w:txbxContent>
                    <w:p w:rsidR="000B433A" w:rsidRDefault="000B433A">
                      <w:r>
                        <w:rPr>
                          <w:rFonts w:cs="Calibri"/>
                          <w:b/>
                          <w:bCs/>
                          <w:color w:val="000000"/>
                          <w:sz w:val="14"/>
                          <w:szCs w:val="14"/>
                          <w:lang w:val="en-US"/>
                        </w:rPr>
                        <w:t>(WEM</w:t>
                      </w:r>
                    </w:p>
                  </w:txbxContent>
                </v:textbox>
              </v:rect>
              <v:rect id="_x0000_s1253" style="position:absolute;left:1451;top:-1099;width:43;height:317;mso-wrap-style:none" filled="f" stroked="f">
                <v:textbox style="mso-next-textbox:#_x0000_s1253;mso-fit-shape-to-text:t" inset="0,0,0,0">
                  <w:txbxContent>
                    <w:p w:rsidR="000B433A" w:rsidRDefault="000B433A">
                      <w:r>
                        <w:rPr>
                          <w:rFonts w:cs="Calibri"/>
                          <w:b/>
                          <w:bCs/>
                          <w:color w:val="000000"/>
                          <w:sz w:val="14"/>
                          <w:szCs w:val="14"/>
                          <w:lang w:val="en-US"/>
                        </w:rPr>
                        <w:t>-</w:t>
                      </w:r>
                    </w:p>
                  </w:txbxContent>
                </v:textbox>
              </v:rect>
              <v:rect id="_x0000_s1254" style="position:absolute;left:1494;top:-1099;width:378;height:317;mso-wrap-style:none" filled="f" stroked="f">
                <v:textbox style="mso-next-textbox:#_x0000_s1254;mso-fit-shape-to-text:t" inset="0,0,0,0">
                  <w:txbxContent>
                    <w:p w:rsidR="000B433A" w:rsidRDefault="000B433A">
                      <w:r>
                        <w:rPr>
                          <w:rFonts w:cs="Calibri"/>
                          <w:b/>
                          <w:bCs/>
                          <w:color w:val="000000"/>
                          <w:sz w:val="14"/>
                          <w:szCs w:val="14"/>
                          <w:lang w:val="en-US"/>
                        </w:rPr>
                        <w:t>WAM)</w:t>
                      </w:r>
                    </w:p>
                  </w:txbxContent>
                </v:textbox>
              </v:rect>
              <v:rect id="_x0000_s1255" style="position:absolute;left:2124;top:-868;width:49;height:49" fillcolor="#f1a78a" stroked="f"/>
              <v:rect id="_x0000_s1256" style="position:absolute;left:2191;top:-894;width:414;height:232;mso-wrap-style:none" filled="f" stroked="f">
                <v:textbox style="mso-next-textbox:#_x0000_s1256;mso-fit-shape-to-text:t" inset="0,0,0,0">
                  <w:txbxContent>
                    <w:p w:rsidR="000B433A" w:rsidRDefault="000B433A">
                      <w:proofErr w:type="gramStart"/>
                      <w:r>
                        <w:rPr>
                          <w:rFonts w:cs="Calibri"/>
                          <w:color w:val="000000"/>
                          <w:sz w:val="8"/>
                          <w:szCs w:val="8"/>
                          <w:lang w:val="en-US"/>
                        </w:rPr>
                        <w:t>Landwirtsch.</w:t>
                      </w:r>
                      <w:proofErr w:type="gramEnd"/>
                    </w:p>
                  </w:txbxContent>
                </v:textbox>
              </v:rect>
              <v:rect id="_x0000_s1257" style="position:absolute;left:2124;top:-721;width:49;height:49" fillcolor="#8fa2d4" stroked="f"/>
              <v:rect id="_x0000_s1258" style="position:absolute;left:2191;top:-746;width:228;height:232;mso-wrap-style:none" filled="f" stroked="f">
                <v:textbox style="mso-next-textbox:#_x0000_s1258;mso-fit-shape-to-text:t" inset="0,0,0,0">
                  <w:txbxContent>
                    <w:p w:rsidR="000B433A" w:rsidRDefault="000B433A">
                      <w:r>
                        <w:rPr>
                          <w:rFonts w:cs="Calibri"/>
                          <w:color w:val="000000"/>
                          <w:sz w:val="8"/>
                          <w:szCs w:val="8"/>
                          <w:lang w:val="en-US"/>
                        </w:rPr>
                        <w:t>Abfälle</w:t>
                      </w:r>
                    </w:p>
                  </w:txbxContent>
                </v:textbox>
              </v:rect>
              <v:rect id="_x0000_s1259" style="position:absolute;left:2124;top:-573;width:49;height:49" fillcolor="#62993e" stroked="f"/>
              <v:rect id="_x0000_s1260" style="position:absolute;left:2191;top:-597;width:318;height:232;mso-wrap-style:none" filled="f" stroked="f">
                <v:textbox style="mso-next-textbox:#_x0000_s1260;mso-fit-shape-to-text:t" inset="0,0,0,0">
                  <w:txbxContent>
                    <w:p w:rsidR="000B433A" w:rsidRDefault="000B433A">
                      <w:r>
                        <w:rPr>
                          <w:rFonts w:cs="Calibri"/>
                          <w:color w:val="000000"/>
                          <w:sz w:val="8"/>
                          <w:szCs w:val="8"/>
                          <w:lang w:val="en-US"/>
                        </w:rPr>
                        <w:t>Transport</w:t>
                      </w:r>
                    </w:p>
                  </w:txbxContent>
                </v:textbox>
              </v:rect>
              <v:rect id="_x0000_s1261" style="position:absolute;left:2124;top:-426;width:49;height:49" fillcolor="#5089bc" stroked="f"/>
              <v:rect id="_x0000_s1262" style="position:absolute;left:2191;top:-449;width:345;height:232;mso-wrap-style:none" filled="f" stroked="f">
                <v:textbox style="mso-next-textbox:#_x0000_s1262;mso-fit-shape-to-text:t" inset="0,0,0,0">
                  <w:txbxContent>
                    <w:p w:rsidR="000B433A" w:rsidRDefault="000B433A">
                      <w:proofErr w:type="gramStart"/>
                      <w:r>
                        <w:rPr>
                          <w:rFonts w:cs="Calibri"/>
                          <w:color w:val="000000"/>
                          <w:sz w:val="8"/>
                          <w:szCs w:val="8"/>
                          <w:lang w:val="en-US"/>
                        </w:rPr>
                        <w:t>Lösungsm.</w:t>
                      </w:r>
                      <w:proofErr w:type="gramEnd"/>
                    </w:p>
                  </w:txbxContent>
                </v:textbox>
              </v:rect>
              <v:rect id="_x0000_s1263" style="position:absolute;left:2124;top:-278;width:49;height:49" fillcolor="#e2aa00" stroked="f"/>
              <v:rect id="_x0000_s1264" style="position:absolute;left:2191;top:-301;width:559;height:232;mso-wrap-style:none" filled="f" stroked="f">
                <v:textbox style="mso-next-textbox:#_x0000_s1264;mso-fit-shape-to-text:t" inset="0,0,0,0">
                  <w:txbxContent>
                    <w:p w:rsidR="000B433A" w:rsidRPr="00E566D5" w:rsidRDefault="000B433A" w:rsidP="00E566D5">
                      <w:pPr>
                        <w:rPr>
                          <w:rFonts w:cs="Calibri"/>
                          <w:color w:val="000000"/>
                          <w:sz w:val="8"/>
                          <w:szCs w:val="8"/>
                          <w:lang w:val="en-US"/>
                        </w:rPr>
                      </w:pPr>
                      <w:r w:rsidRPr="00E566D5">
                        <w:rPr>
                          <w:rFonts w:cs="Calibri"/>
                          <w:color w:val="000000"/>
                          <w:sz w:val="8"/>
                          <w:szCs w:val="8"/>
                          <w:lang w:val="en-US"/>
                        </w:rPr>
                        <w:t>Heizölgewinnung</w:t>
                      </w:r>
                    </w:p>
                  </w:txbxContent>
                </v:textbox>
              </v:rect>
              <v:rect id="_x0000_s1265" style="position:absolute;left:2124;top:-131;width:49;height:50" fillcolor="#929292" stroked="f"/>
              <v:rect id="_x0000_s1266" style="position:absolute;left:2191;top:-153;width:291;height:232;mso-wrap-style:none" filled="f" stroked="f">
                <v:textbox style="mso-next-textbox:#_x0000_s1266;mso-fit-shape-to-text:t" inset="0,0,0,0">
                  <w:txbxContent>
                    <w:p w:rsidR="000B433A" w:rsidRDefault="000B433A">
                      <w:r>
                        <w:rPr>
                          <w:rFonts w:cs="Calibri"/>
                          <w:color w:val="000000"/>
                          <w:sz w:val="8"/>
                          <w:szCs w:val="8"/>
                          <w:lang w:val="en-US"/>
                        </w:rPr>
                        <w:t>Industrie</w:t>
                      </w:r>
                    </w:p>
                  </w:txbxContent>
                </v:textbox>
              </v:rect>
              <v:rect id="_x0000_s1267" style="position:absolute;left:2124;top:17;width:49;height:55" fillcolor="#d26e2a" stroked="f"/>
              <v:rect id="_x0000_s1268" style="position:absolute;left:2191;top:-5;width:602;height:232;mso-wrap-style:none" filled="f" stroked="f">
                <v:textbox style="mso-next-textbox:#_x0000_s1268;mso-fit-shape-to-text:t" inset="0,0,0,0">
                  <w:txbxContent>
                    <w:p w:rsidR="000B433A" w:rsidRDefault="000B433A">
                      <w:proofErr w:type="gramStart"/>
                      <w:r>
                        <w:rPr>
                          <w:rFonts w:cs="Calibri"/>
                          <w:color w:val="000000"/>
                          <w:sz w:val="8"/>
                          <w:szCs w:val="8"/>
                          <w:lang w:val="en-US"/>
                        </w:rPr>
                        <w:t>Wohnen + Dienstl.</w:t>
                      </w:r>
                      <w:proofErr w:type="gramEnd"/>
                    </w:p>
                  </w:txbxContent>
                </v:textbox>
              </v:rect>
              <v:rect id="_x0000_s1269" style="position:absolute;left:2124;top:164;width:49;height:56" fillcolor="#3b64ad" stroked="f"/>
              <v:rect id="_x0000_s1270" style="position:absolute;left:2191;top:145;width:245;height:232;mso-wrap-style:none" filled="f" stroked="f">
                <v:textbox style="mso-next-textbox:#_x0000_s1270;mso-fit-shape-to-text:t" inset="0,0,0,0">
                  <w:txbxContent>
                    <w:p w:rsidR="000B433A" w:rsidRDefault="000B433A">
                      <w:r>
                        <w:rPr>
                          <w:rFonts w:cs="Calibri"/>
                          <w:color w:val="000000"/>
                          <w:sz w:val="8"/>
                          <w:szCs w:val="8"/>
                          <w:lang w:val="en-US"/>
                        </w:rPr>
                        <w:t>Energie</w:t>
                      </w:r>
                    </w:p>
                  </w:txbxContent>
                </v:textbox>
              </v:rect>
              <v:shape id="_x0000_s1271" style="position:absolute;left:3;top:-1342;width:2957;height:1777" coordsize="7696,4624" path="m,8hdc,4,4,,8,hal7688,hdc7693,,7696,4,7696,8hal7696,4616hdc7696,4621,7693,4624,7688,4624hal8,4624hdc4,4624,,4621,,4616hal,8hdxm16,4616hal8,4608r7680,l7680,4616,7680,8r8,8l8,16,16,8r,4608hdxe" fillcolor="#898989" strokecolor="#898989" strokeweight="0">
                <v:path arrowok="t"/>
                <o:lock v:ext="edit" verticies="t"/>
              </v:shape>
              <v:rect id="_x0000_s1272" style="position:absolute;left:1441;top:435;width:2957;height:1777" stroked="f"/>
              <v:rect id="_x0000_s1273" style="position:absolute;left:2013;top:835;width:1543;height:1069" stroked="f"/>
              <v:shape id="_x0000_s1274" style="position:absolute;left:2010;top:835;width:1537;height:916" coordsize="1537,916" path="m,910r1537,l1537,916,,916r,-6xm,756r1537,l1537,762,,762r,-6xm,608r1537,l1537,614,,614r,-6xm,455r1537,l1537,461,,461r,-6xm,301r1537,l1537,307,,307r,-6xm,153r1537,l1537,160,,160r,-7xm,l1537,r,6l,6,,xe" fillcolor="#898989" strokecolor="#898989" strokeweight=".3pt">
                <v:stroke joinstyle="bevel"/>
                <v:path arrowok="t"/>
                <o:lock v:ext="edit" verticies="t"/>
              </v:shape>
              <v:shape id="_x0000_s1275" style="position:absolute;left:2130;top:1818;width:1303;height:80" coordsize="1303,80" path="m,l154,r,80l,80,,xm381,56r154,l535,80r-154,l381,56xm762,50r154,l916,80r-154,l762,50xm1149,50r154,l1303,80r-154,l1149,50xe" fillcolor="#3b64ad" stroked="f">
                <v:path arrowok="t"/>
                <o:lock v:ext="edit" verticies="t"/>
              </v:shape>
              <v:shape id="_x0000_s1276" style="position:absolute;left:2130;top:1775;width:1303;height:99" coordsize="1303,99" path="m,l154,r,43l,43,,xm381,68r154,l535,99r-154,l381,68xm762,56r154,l916,93r-154,l762,56xm1149,62r154,l1303,93r-154,l1149,62xe" fillcolor="#d26e2a" stroked="f">
                <v:path arrowok="t"/>
                <o:lock v:ext="edit" verticies="t"/>
              </v:shape>
              <v:shape id="_x0000_s1277" style="position:absolute;left:2130;top:1449;width:1303;height:394" coordsize="1303,394" path="m,l154,r,326l,326,,xm381,240r154,l535,394r-154,l381,240xm762,246r154,l916,382r-154,l762,246xm1149,253r154,l1303,388r-154,l1149,253xe" fillcolor="#929292" stroked="f">
                <v:path arrowok="t"/>
                <o:lock v:ext="edit" verticies="t"/>
              </v:shape>
              <v:shape id="_x0000_s1278" style="position:absolute;left:2130;top:976;width:1303;height:726" coordsize="1303,726" path="m,l154,r,473l,473,,xm381,430r154,l535,713r-154,l381,430xm762,590r154,l916,719r-154,l762,590xm1149,609r154,l1303,726r-154,l1149,609xe" fillcolor="#62993e" stroked="f">
                <v:path arrowok="t"/>
                <o:lock v:ext="edit" verticies="t"/>
              </v:shape>
              <v:shape id="_x0000_s1279" style="position:absolute;left:2130;top:970;width:1303;height:615" coordsize="1303,615" path="m,l154,r,6l,6,,xm381,430r154,l535,436r-154,l381,430xm762,590r154,l916,596r-154,l762,590xm1149,609r154,l1303,615r-154,l1149,609xe" fillcolor="#8fa2d4" stroked="f">
                <v:path arrowok="t"/>
                <o:lock v:ext="edit" verticies="t"/>
              </v:shape>
              <v:shape id="_x0000_s1280" style="position:absolute;left:2130;top:921;width:1303;height:664" coordsize="1303,664" path="m,l154,r,49l,49,,xm381,436r154,l535,485r-154,l381,436xm762,596r154,l916,645r-154,l762,596xm1149,621r154,l1303,664r-154,l1149,621xe" fillcolor="#f1a78a" stroked="f">
                <v:path arrowok="t"/>
                <o:lock v:ext="edit" verticies="t"/>
              </v:shape>
              <v:rect id="_x0000_s1281" style="position:absolute;left:2007;top:838;width:6;height:1063" fillcolor="#898989" strokecolor="#898989" strokeweight=".3pt">
                <v:stroke joinstyle="bevel"/>
              </v:rect>
              <v:shape id="_x0000_s1282" style="position:absolute;left:1985;top:835;width:25;height:1069" coordsize="25,1069" path="m,1063r25,l25,1069r-25,l,1063xm,910r25,l25,916,,916r,-6xm,756r25,l25,762,,762r,-6xm,608r25,l25,614,,614r,-6xm,455r25,l25,461,,461r,-6xm,301r25,l25,307,,307r,-6xm,153r25,l25,160,,160r,-7xm,l25,r,6l,6,,xe" fillcolor="#898989" strokecolor="#898989" strokeweight=".3pt">
                <v:stroke joinstyle="bevel"/>
                <v:path arrowok="t"/>
                <o:lock v:ext="edit" verticies="t"/>
              </v:shape>
              <v:rect id="_x0000_s1283" style="position:absolute;left:2010;top:1898;width:1537;height:6" fillcolor="#898989" strokecolor="#898989" strokeweight=".3pt">
                <v:stroke joinstyle="bevel"/>
              </v:rect>
              <v:shape id="_x0000_s1284" style="position:absolute;left:2007;top:1901;width:1543;height:25" coordsize="1543,25" path="m6,r,25l,25,,,6,xm393,r,25l387,25,387,r6,xm775,r,25l768,25,768,r7,xm1162,r,25l1156,25r,-25l1162,xm1543,r,25l1537,25r,-25l1543,xe" fillcolor="#898989" strokecolor="#898989" strokeweight=".3pt">
                <v:stroke joinstyle="bevel"/>
                <v:path arrowok="t"/>
                <o:lock v:ext="edit" verticies="t"/>
              </v:shape>
              <v:rect id="_x0000_s1285" style="position:absolute;left:1894;top:1855;width:41;height:232;mso-wrap-style:none" filled="f" stroked="f">
                <v:textbox style="mso-next-textbox:#_x0000_s1285;mso-fit-shape-to-text:t" inset="0,0,0,0">
                  <w:txbxContent>
                    <w:p w:rsidR="000B433A" w:rsidRDefault="000B433A">
                      <w:r>
                        <w:rPr>
                          <w:rFonts w:cs="Calibri"/>
                          <w:color w:val="000000"/>
                          <w:sz w:val="8"/>
                          <w:szCs w:val="8"/>
                          <w:lang w:val="en-US"/>
                        </w:rPr>
                        <w:t>0</w:t>
                      </w:r>
                    </w:p>
                  </w:txbxContent>
                </v:textbox>
              </v:rect>
              <v:rect id="_x0000_s1286" style="position:absolute;left:1710;top:1703;width:221;height:232;mso-wrap-style:none" filled="f" stroked="f">
                <v:textbox style="mso-next-textbox:#_x0000_s1286;mso-fit-shape-to-text:t" inset="0,0,0,0">
                  <w:txbxContent>
                    <w:p w:rsidR="000B433A" w:rsidRDefault="000B433A">
                      <w:r>
                        <w:rPr>
                          <w:rFonts w:cs="Calibri"/>
                          <w:color w:val="000000"/>
                          <w:sz w:val="8"/>
                          <w:szCs w:val="8"/>
                          <w:lang w:val="en-US"/>
                        </w:rPr>
                        <w:t>20 000</w:t>
                      </w:r>
                    </w:p>
                  </w:txbxContent>
                </v:textbox>
              </v:rect>
              <v:rect id="_x0000_s1287" style="position:absolute;left:1710;top:1551;width:221;height:232;mso-wrap-style:none" filled="f" stroked="f">
                <v:textbox style="mso-next-textbox:#_x0000_s1287;mso-fit-shape-to-text:t" inset="0,0,0,0">
                  <w:txbxContent>
                    <w:p w:rsidR="000B433A" w:rsidRDefault="000B433A">
                      <w:r>
                        <w:rPr>
                          <w:rFonts w:cs="Calibri"/>
                          <w:color w:val="000000"/>
                          <w:sz w:val="8"/>
                          <w:szCs w:val="8"/>
                          <w:lang w:val="en-US"/>
                        </w:rPr>
                        <w:t>40 000</w:t>
                      </w:r>
                    </w:p>
                  </w:txbxContent>
                </v:textbox>
              </v:rect>
              <v:rect id="_x0000_s1288" style="position:absolute;left:1710;top:1399;width:221;height:232;mso-wrap-style:none" filled="f" stroked="f">
                <v:textbox style="mso-next-textbox:#_x0000_s1288;mso-fit-shape-to-text:t" inset="0,0,0,0">
                  <w:txbxContent>
                    <w:p w:rsidR="000B433A" w:rsidRDefault="000B433A">
                      <w:r>
                        <w:rPr>
                          <w:rFonts w:cs="Calibri"/>
                          <w:color w:val="000000"/>
                          <w:sz w:val="8"/>
                          <w:szCs w:val="8"/>
                          <w:lang w:val="en-US"/>
                        </w:rPr>
                        <w:t>60 000</w:t>
                      </w:r>
                    </w:p>
                  </w:txbxContent>
                </v:textbox>
              </v:rect>
              <v:rect id="_x0000_s1289" style="position:absolute;left:1710;top:1247;width:221;height:232;mso-wrap-style:none" filled="f" stroked="f">
                <v:textbox style="mso-next-textbox:#_x0000_s1289;mso-fit-shape-to-text:t" inset="0,0,0,0">
                  <w:txbxContent>
                    <w:p w:rsidR="000B433A" w:rsidRDefault="000B433A">
                      <w:r>
                        <w:rPr>
                          <w:rFonts w:cs="Calibri"/>
                          <w:color w:val="000000"/>
                          <w:sz w:val="8"/>
                          <w:szCs w:val="8"/>
                          <w:lang w:val="en-US"/>
                        </w:rPr>
                        <w:t>80 000</w:t>
                      </w:r>
                    </w:p>
                  </w:txbxContent>
                </v:textbox>
              </v:rect>
              <v:rect id="_x0000_s1290" style="position:absolute;left:1670;top:1095;width:262;height:232;mso-wrap-style:none" filled="f" stroked="f">
                <v:textbox style="mso-next-textbox:#_x0000_s1290;mso-fit-shape-to-text:t" inset="0,0,0,0">
                  <w:txbxContent>
                    <w:p w:rsidR="000B433A" w:rsidRDefault="000B433A">
                      <w:r>
                        <w:rPr>
                          <w:rFonts w:cs="Calibri"/>
                          <w:color w:val="000000"/>
                          <w:sz w:val="8"/>
                          <w:szCs w:val="8"/>
                          <w:lang w:val="en-US"/>
                        </w:rPr>
                        <w:t>100 000</w:t>
                      </w:r>
                    </w:p>
                  </w:txbxContent>
                </v:textbox>
              </v:rect>
              <v:rect id="_x0000_s1291" style="position:absolute;left:1670;top:944;width:262;height:232;mso-wrap-style:none" filled="f" stroked="f">
                <v:textbox style="mso-next-textbox:#_x0000_s1291;mso-fit-shape-to-text:t" inset="0,0,0,0">
                  <w:txbxContent>
                    <w:p w:rsidR="000B433A" w:rsidRDefault="000B433A">
                      <w:r>
                        <w:rPr>
                          <w:rFonts w:cs="Calibri"/>
                          <w:color w:val="000000"/>
                          <w:sz w:val="8"/>
                          <w:szCs w:val="8"/>
                          <w:lang w:val="en-US"/>
                        </w:rPr>
                        <w:t>120 000</w:t>
                      </w:r>
                    </w:p>
                  </w:txbxContent>
                </v:textbox>
              </v:rect>
              <v:rect id="_x0000_s1292" style="position:absolute;left:1670;top:793;width:262;height:232;mso-wrap-style:none" filled="f" stroked="f">
                <v:textbox style="mso-next-textbox:#_x0000_s1292;mso-fit-shape-to-text:t" inset="0,0,0,0">
                  <w:txbxContent>
                    <w:p w:rsidR="000B433A" w:rsidRDefault="000B433A">
                      <w:r>
                        <w:rPr>
                          <w:rFonts w:cs="Calibri"/>
                          <w:color w:val="000000"/>
                          <w:sz w:val="8"/>
                          <w:szCs w:val="8"/>
                          <w:lang w:val="en-US"/>
                        </w:rPr>
                        <w:t>140 000</w:t>
                      </w:r>
                    </w:p>
                  </w:txbxContent>
                </v:textbox>
              </v:rect>
              <v:rect id="_x0000_s1293" style="position:absolute;left:2120;top:1961;width:163;height:232;mso-wrap-style:none" filled="f" stroked="f">
                <v:textbox style="mso-next-textbox:#_x0000_s1293;mso-fit-shape-to-text:t" inset="0,0,0,0">
                  <w:txbxContent>
                    <w:p w:rsidR="000B433A" w:rsidRDefault="000B433A">
                      <w:r>
                        <w:rPr>
                          <w:rFonts w:cs="Calibri"/>
                          <w:color w:val="000000"/>
                          <w:sz w:val="8"/>
                          <w:szCs w:val="8"/>
                          <w:lang w:val="en-US"/>
                        </w:rPr>
                        <w:t>2005</w:t>
                      </w:r>
                    </w:p>
                  </w:txbxContent>
                </v:textbox>
              </v:rect>
              <v:rect id="_x0000_s1294" style="position:absolute;left:2504;top:1961;width:163;height:232;mso-wrap-style:none" filled="f" stroked="f">
                <v:textbox style="mso-next-textbox:#_x0000_s1294;mso-fit-shape-to-text:t" inset="0,0,0,0">
                  <w:txbxContent>
                    <w:p w:rsidR="000B433A" w:rsidRDefault="000B433A">
                      <w:r>
                        <w:rPr>
                          <w:rFonts w:cs="Calibri"/>
                          <w:color w:val="000000"/>
                          <w:sz w:val="8"/>
                          <w:szCs w:val="8"/>
                          <w:lang w:val="en-US"/>
                        </w:rPr>
                        <w:t>2015</w:t>
                      </w:r>
                    </w:p>
                  </w:txbxContent>
                </v:textbox>
              </v:rect>
              <v:rect id="_x0000_s1295" style="position:absolute;left:2789;top:1961;width:359;height:232;mso-wrap-style:none" filled="f" stroked="f">
                <v:textbox style="mso-next-textbox:#_x0000_s1295;mso-fit-shape-to-text:t" inset="0,0,0,0">
                  <w:txbxContent>
                    <w:p w:rsidR="000B433A" w:rsidRDefault="000B433A">
                      <w:r>
                        <w:rPr>
                          <w:rFonts w:cs="Calibri"/>
                          <w:color w:val="000000"/>
                          <w:sz w:val="8"/>
                          <w:szCs w:val="8"/>
                          <w:lang w:val="en-US"/>
                        </w:rPr>
                        <w:t>2030 WEM</w:t>
                      </w:r>
                    </w:p>
                  </w:txbxContent>
                </v:textbox>
              </v:rect>
              <v:rect id="_x0000_s1296" style="position:absolute;left:3167;top:1961;width:367;height:232;mso-wrap-style:none" filled="f" stroked="f">
                <v:textbox style="mso-next-textbox:#_x0000_s1296;mso-fit-shape-to-text:t" inset="0,0,0,0">
                  <w:txbxContent>
                    <w:p w:rsidR="000B433A" w:rsidRDefault="000B433A">
                      <w:r>
                        <w:rPr>
                          <w:rFonts w:cs="Calibri"/>
                          <w:color w:val="000000"/>
                          <w:sz w:val="8"/>
                          <w:szCs w:val="8"/>
                          <w:lang w:val="en-US"/>
                        </w:rPr>
                        <w:t>2030 WAM</w:t>
                      </w:r>
                    </w:p>
                  </w:txbxContent>
                </v:textbox>
              </v:rect>
              <v:rect id="_x0000_s1297" style="position:absolute;left:1627;top:1465;width:45;height:148;mso-wrap-style:none" filled="f" stroked="f">
                <v:textbox style="mso-next-textbox:#_x0000_s1297;mso-fit-shape-to-text:t" inset="0,0,0,0">
                  <w:txbxContent>
                    <w:p w:rsidR="000B433A" w:rsidRDefault="000B433A">
                      <w:proofErr w:type="gramStart"/>
                      <w:r>
                        <w:rPr>
                          <w:rFonts w:cs="Calibri"/>
                          <w:b/>
                          <w:bCs/>
                          <w:color w:val="000000"/>
                          <w:sz w:val="2"/>
                          <w:szCs w:val="2"/>
                          <w:lang w:val="en-US"/>
                        </w:rPr>
                        <w:t>t</w:t>
                      </w:r>
                      <w:proofErr w:type="gramEnd"/>
                      <w:r>
                        <w:rPr>
                          <w:rFonts w:cs="Calibri"/>
                          <w:b/>
                          <w:bCs/>
                          <w:color w:val="000000"/>
                          <w:sz w:val="2"/>
                          <w:szCs w:val="2"/>
                          <w:lang w:val="en-US"/>
                        </w:rPr>
                        <w:t xml:space="preserve"> Nox</w:t>
                      </w:r>
                    </w:p>
                  </w:txbxContent>
                </v:textbox>
              </v:rect>
              <v:rect id="_x0000_s1298" style="position:absolute;left:1961;top:500;width:1855;height:773;mso-wrap-style:none" filled="f" stroked="f">
                <v:textbox style="mso-next-textbox:#_x0000_s1298;mso-fit-shape-to-text:t" inset="0,0,0,0">
                  <w:txbxContent>
                    <w:p w:rsidR="000B433A" w:rsidRDefault="000B433A" w:rsidP="00C255EF">
                      <w:r>
                        <w:rPr>
                          <w:rFonts w:cs="Calibri"/>
                          <w:b/>
                          <w:bCs/>
                          <w:color w:val="000000"/>
                          <w:sz w:val="14"/>
                          <w:szCs w:val="14"/>
                          <w:lang w:val="en-US"/>
                        </w:rPr>
                        <w:t>Entwicklung der NO-Emissionen</w:t>
                      </w:r>
                    </w:p>
                    <w:p w:rsidR="000B433A" w:rsidRPr="00C255EF" w:rsidRDefault="000B433A" w:rsidP="00C255EF"/>
                  </w:txbxContent>
                </v:textbox>
              </v:rect>
              <v:rect id="_x0000_s1299" style="position:absolute;left:3830;top:580;width:46;height:260;mso-wrap-style:none" filled="f" stroked="f">
                <v:textbox style="mso-next-textbox:#_x0000_s1299;mso-fit-shape-to-text:t" inset="0,0,0,0">
                  <w:txbxContent>
                    <w:p w:rsidR="000B433A" w:rsidRDefault="000B433A">
                      <w:proofErr w:type="gramStart"/>
                      <w:r>
                        <w:rPr>
                          <w:rFonts w:cs="Calibri"/>
                          <w:b/>
                          <w:bCs/>
                          <w:color w:val="000000"/>
                          <w:sz w:val="10"/>
                          <w:szCs w:val="10"/>
                          <w:lang w:val="en-US"/>
                        </w:rPr>
                        <w:t>x</w:t>
                      </w:r>
                      <w:proofErr w:type="gramEnd"/>
                    </w:p>
                  </w:txbxContent>
                </v:textbox>
              </v:rect>
              <v:rect id="_x0000_s1300" style="position:absolute;left:2502;top:678;width:362;height:317;mso-wrap-style:none" filled="f" stroked="f">
                <v:textbox style="mso-next-textbox:#_x0000_s1300;mso-fit-shape-to-text:t" inset="0,0,0,0">
                  <w:txbxContent>
                    <w:p w:rsidR="000B433A" w:rsidRDefault="000B433A">
                      <w:r>
                        <w:rPr>
                          <w:rFonts w:cs="Calibri"/>
                          <w:b/>
                          <w:bCs/>
                          <w:color w:val="000000"/>
                          <w:sz w:val="14"/>
                          <w:szCs w:val="14"/>
                          <w:lang w:val="en-US"/>
                        </w:rPr>
                        <w:t>(WEM</w:t>
                      </w:r>
                    </w:p>
                  </w:txbxContent>
                </v:textbox>
              </v:rect>
              <v:rect id="_x0000_s1301" style="position:absolute;left:2889;top:678;width:43;height:317;mso-wrap-style:none" filled="f" stroked="f">
                <v:textbox style="mso-next-textbox:#_x0000_s1301;mso-fit-shape-to-text:t" inset="0,0,0,0">
                  <w:txbxContent>
                    <w:p w:rsidR="000B433A" w:rsidRDefault="000B433A">
                      <w:r>
                        <w:rPr>
                          <w:rFonts w:cs="Calibri"/>
                          <w:b/>
                          <w:bCs/>
                          <w:color w:val="000000"/>
                          <w:sz w:val="14"/>
                          <w:szCs w:val="14"/>
                          <w:lang w:val="en-US"/>
                        </w:rPr>
                        <w:t>-</w:t>
                      </w:r>
                    </w:p>
                  </w:txbxContent>
                </v:textbox>
              </v:rect>
              <v:rect id="_x0000_s1302" style="position:absolute;left:2932;top:678;width:378;height:317;mso-wrap-style:none" filled="f" stroked="f">
                <v:textbox style="mso-next-textbox:#_x0000_s1302;mso-fit-shape-to-text:t" inset="0,0,0,0">
                  <w:txbxContent>
                    <w:p w:rsidR="000B433A" w:rsidRDefault="000B433A">
                      <w:r>
                        <w:rPr>
                          <w:rFonts w:cs="Calibri"/>
                          <w:b/>
                          <w:bCs/>
                          <w:color w:val="000000"/>
                          <w:sz w:val="14"/>
                          <w:szCs w:val="14"/>
                          <w:lang w:val="en-US"/>
                        </w:rPr>
                        <w:t>WAM)</w:t>
                      </w:r>
                    </w:p>
                  </w:txbxContent>
                </v:textbox>
              </v:rect>
              <v:rect id="_x0000_s1303" style="position:absolute;left:3568;top:890;width:56;height:49" fillcolor="#f1a78a" stroked="f"/>
              <v:rect id="_x0000_s1304" style="position:absolute;left:3638;top:867;width:414;height:689;mso-wrap-style:none" filled="f" stroked="f">
                <v:textbox style="mso-next-textbox:#_x0000_s1304;mso-fit-shape-to-text:t" inset="0,0,0,0">
                  <w:txbxContent>
                    <w:p w:rsidR="000B433A" w:rsidRDefault="000B433A" w:rsidP="00EF56E6">
                      <w:proofErr w:type="gramStart"/>
                      <w:r>
                        <w:rPr>
                          <w:rFonts w:cs="Calibri"/>
                          <w:color w:val="000000"/>
                          <w:sz w:val="8"/>
                          <w:szCs w:val="8"/>
                          <w:lang w:val="en-US"/>
                        </w:rPr>
                        <w:t>Landwirtsch.</w:t>
                      </w:r>
                      <w:proofErr w:type="gramEnd"/>
                    </w:p>
                    <w:p w:rsidR="000B433A" w:rsidRPr="00EF56E6" w:rsidRDefault="000B433A" w:rsidP="00EF56E6"/>
                  </w:txbxContent>
                </v:textbox>
              </v:rect>
              <v:rect id="_x0000_s1305" style="position:absolute;left:3568;top:1038;width:56;height:49" fillcolor="#8fa2d4" stroked="f"/>
              <v:rect id="_x0000_s1306" style="position:absolute;left:3638;top:1015;width:228;height:689;mso-wrap-style:none" filled="f" stroked="f">
                <v:textbox style="mso-next-textbox:#_x0000_s1306;mso-fit-shape-to-text:t" inset="0,0,0,0">
                  <w:txbxContent>
                    <w:p w:rsidR="000B433A" w:rsidRDefault="000B433A" w:rsidP="00EF56E6">
                      <w:r>
                        <w:rPr>
                          <w:rFonts w:cs="Calibri"/>
                          <w:color w:val="000000"/>
                          <w:sz w:val="8"/>
                          <w:szCs w:val="8"/>
                          <w:lang w:val="en-US"/>
                        </w:rPr>
                        <w:t>Abfälle</w:t>
                      </w:r>
                    </w:p>
                    <w:p w:rsidR="000B433A" w:rsidRPr="00EF56E6" w:rsidRDefault="000B433A" w:rsidP="00EF56E6"/>
                  </w:txbxContent>
                </v:textbox>
              </v:rect>
              <v:rect id="_x0000_s1307" style="position:absolute;left:3568;top:1185;width:56;height:49" fillcolor="#62993e" stroked="f"/>
              <v:rect id="_x0000_s1308" style="position:absolute;left:3638;top:1163;width:318;height:232;mso-wrap-style:none" filled="f" stroked="f">
                <v:textbox style="mso-next-textbox:#_x0000_s1308;mso-fit-shape-to-text:t" inset="0,0,0,0">
                  <w:txbxContent>
                    <w:p w:rsidR="000B433A" w:rsidRDefault="000B433A">
                      <w:r>
                        <w:rPr>
                          <w:rFonts w:cs="Calibri"/>
                          <w:color w:val="000000"/>
                          <w:sz w:val="8"/>
                          <w:szCs w:val="8"/>
                          <w:lang w:val="en-US"/>
                        </w:rPr>
                        <w:t>Transport</w:t>
                      </w:r>
                    </w:p>
                  </w:txbxContent>
                </v:textbox>
              </v:rect>
              <v:rect id="_x0000_s1309" style="position:absolute;left:3568;top:1333;width:56;height:55" fillcolor="#5089bc" stroked="f"/>
              <v:rect id="_x0000_s1310" style="position:absolute;left:3638;top:1311;width:345;height:689;mso-wrap-style:none" filled="f" stroked="f">
                <v:textbox style="mso-next-textbox:#_x0000_s1310;mso-fit-shape-to-text:t" inset="0,0,0,0">
                  <w:txbxContent>
                    <w:p w:rsidR="000B433A" w:rsidRDefault="000B433A" w:rsidP="00EF56E6">
                      <w:proofErr w:type="gramStart"/>
                      <w:r>
                        <w:rPr>
                          <w:rFonts w:cs="Calibri"/>
                          <w:color w:val="000000"/>
                          <w:sz w:val="8"/>
                          <w:szCs w:val="8"/>
                          <w:lang w:val="en-US"/>
                        </w:rPr>
                        <w:t>Lösungsm.</w:t>
                      </w:r>
                      <w:proofErr w:type="gramEnd"/>
                    </w:p>
                    <w:p w:rsidR="000B433A" w:rsidRPr="00EF56E6" w:rsidRDefault="000B433A" w:rsidP="00EF56E6"/>
                  </w:txbxContent>
                </v:textbox>
              </v:rect>
              <v:rect id="_x0000_s1311" style="position:absolute;left:3568;top:1480;width:56;height:56" fillcolor="#e2aa00" stroked="f"/>
              <v:rect id="_x0000_s1312" style="position:absolute;left:3638;top:1460;width:559;height:232;mso-wrap-style:none" filled="f" stroked="f">
                <v:textbox style="mso-next-textbox:#_x0000_s1312;mso-fit-shape-to-text:t" inset="0,0,0,0">
                  <w:txbxContent>
                    <w:p w:rsidR="000B433A" w:rsidRPr="00E566D5" w:rsidRDefault="000B433A" w:rsidP="00E566D5">
                      <w:pPr>
                        <w:rPr>
                          <w:rFonts w:cs="Calibri"/>
                          <w:color w:val="000000"/>
                          <w:sz w:val="8"/>
                          <w:szCs w:val="8"/>
                          <w:lang w:val="en-US"/>
                        </w:rPr>
                      </w:pPr>
                      <w:r w:rsidRPr="00E566D5">
                        <w:rPr>
                          <w:rFonts w:cs="Calibri"/>
                          <w:color w:val="000000"/>
                          <w:sz w:val="8"/>
                          <w:szCs w:val="8"/>
                          <w:lang w:val="en-US"/>
                        </w:rPr>
                        <w:t>Heizölgewinnung</w:t>
                      </w:r>
                    </w:p>
                  </w:txbxContent>
                </v:textbox>
              </v:rect>
              <v:rect id="_x0000_s1313" style="position:absolute;left:3568;top:1628;width:56;height:55" fillcolor="#929292" stroked="f"/>
              <v:rect id="_x0000_s1314" style="position:absolute;left:3638;top:1608;width:291;height:232;mso-wrap-style:none" filled="f" stroked="f">
                <v:textbox style="mso-next-textbox:#_x0000_s1314;mso-fit-shape-to-text:t" inset="0,0,0,0">
                  <w:txbxContent>
                    <w:p w:rsidR="000B433A" w:rsidRDefault="000B433A">
                      <w:r>
                        <w:rPr>
                          <w:rFonts w:cs="Calibri"/>
                          <w:color w:val="000000"/>
                          <w:sz w:val="8"/>
                          <w:szCs w:val="8"/>
                          <w:lang w:val="en-US"/>
                        </w:rPr>
                        <w:t>Industrie</w:t>
                      </w:r>
                    </w:p>
                  </w:txbxContent>
                </v:textbox>
              </v:rect>
              <v:rect id="_x0000_s1315" style="position:absolute;left:3568;top:1782;width:56;height:49" fillcolor="#d26e2a" stroked="f"/>
              <v:rect id="_x0000_s1316" style="position:absolute;left:3638;top:1756;width:602;height:689;mso-wrap-style:none" filled="f" stroked="f">
                <v:textbox style="mso-next-textbox:#_x0000_s1316;mso-fit-shape-to-text:t" inset="0,0,0,0">
                  <w:txbxContent>
                    <w:p w:rsidR="000B433A" w:rsidRDefault="000B433A" w:rsidP="00C94D7A">
                      <w:proofErr w:type="gramStart"/>
                      <w:r>
                        <w:rPr>
                          <w:rFonts w:cs="Calibri"/>
                          <w:color w:val="000000"/>
                          <w:sz w:val="8"/>
                          <w:szCs w:val="8"/>
                          <w:lang w:val="en-US"/>
                        </w:rPr>
                        <w:t>Wohnen + Dienstl.</w:t>
                      </w:r>
                      <w:proofErr w:type="gramEnd"/>
                    </w:p>
                    <w:p w:rsidR="000B433A" w:rsidRPr="00C94D7A" w:rsidRDefault="000B433A" w:rsidP="00C94D7A"/>
                  </w:txbxContent>
                </v:textbox>
              </v:rect>
              <v:rect id="_x0000_s1317" style="position:absolute;left:3568;top:1929;width:56;height:49" fillcolor="#3b64ad" stroked="f"/>
              <v:rect id="_x0000_s1318" style="position:absolute;left:3638;top:1904;width:245;height:232;mso-wrap-style:none" filled="f" stroked="f">
                <v:textbox style="mso-next-textbox:#_x0000_s1318;mso-fit-shape-to-text:t" inset="0,0,0,0">
                  <w:txbxContent>
                    <w:p w:rsidR="000B433A" w:rsidRDefault="000B433A">
                      <w:r>
                        <w:rPr>
                          <w:rFonts w:cs="Calibri"/>
                          <w:color w:val="000000"/>
                          <w:sz w:val="8"/>
                          <w:szCs w:val="8"/>
                          <w:lang w:val="en-US"/>
                        </w:rPr>
                        <w:t>Energie</w:t>
                      </w:r>
                    </w:p>
                  </w:txbxContent>
                </v:textbox>
              </v:rect>
              <v:shape id="_x0000_s1319" style="position:absolute;left:1441;top:435;width:2957;height:1777" coordsize="7696,4624" path="m,8hdc,4,4,,8,hal7688,hdc7693,,7696,4,7696,8hal7696,4616hdc7696,4621,7693,4624,7688,4624hal8,4624hdc4,4624,,4621,,4616hal,8hdxm16,4616hal8,4608r7680,l7680,4616,7680,8r8,8l8,16,16,8r,4608hdxe" fillcolor="#898989" strokecolor="#898989" strokeweight="0">
                <v:path arrowok="t"/>
                <o:lock v:ext="edit" verticies="t"/>
              </v:shape>
              <v:rect id="_x0000_s1320" style="position:absolute;left:2954;top:-1342;width:2956;height:1777" stroked="f"/>
              <v:rect id="_x0000_s1321" style="position:absolute;left:3482;top:-930;width:1488;height:1058" stroked="f"/>
              <v:shape id="_x0000_s1322" style="position:absolute;left:3485;top:-936;width:1476;height:910" coordsize="1476,910" path="m,904r1476,l1476,910,,910r,-6xm,756r1476,l1476,762,,762r,-6xm,602r1476,l1476,609,,609r,-7xm,455r1476,l1476,461,,461r,-6xm,301r1476,l1476,307,,307r,-6xm,154r1476,l1476,160,,160r,-6xm,l1476,r,6l,6,,xe" fillcolor="#898989" strokecolor="#898989" strokeweight=".3pt">
                <v:stroke joinstyle="bevel"/>
                <v:path arrowok="t"/>
                <o:lock v:ext="edit" verticies="t"/>
              </v:shape>
              <v:shape id="_x0000_s1323" style="position:absolute;left:3593;top:115;width:1260;height:6" coordsize="1260,6" path="m,l147,r,6l,6,,xm369,l516,r,6l369,6r,-6xm738,l885,r,6l738,6r,-6xm1113,r147,l1260,6r-147,l1113,xe" fillcolor="#3b64ad" stroked="f">
                <v:path arrowok="t"/>
                <o:lock v:ext="edit" verticies="t"/>
              </v:shape>
              <v:shape id="_x0000_s1324" style="position:absolute;left:3593;top:97;width:1260;height:24" coordsize="1260,24" path="m,12r147,l147,24,,24,,12xm369,6r147,l516,24r-147,l369,6xm738,l885,r,18l738,18,738,xm1113,6r147,l1260,18r-147,l1113,6xe" fillcolor="#d26e2a" stroked="f">
                <v:path arrowok="t"/>
                <o:lock v:ext="edit" verticies="t"/>
              </v:shape>
              <v:shape id="_x0000_s1325" style="position:absolute;left:3593;top:72;width:1260;height:37" coordsize="1260,37" path="m,l147,r,37l,37,,xm369,l516,r,31l369,31,369,xm738,19r147,l885,25r-147,l738,19xm1113,6r147,l1260,31r-147,l1113,6xe" fillcolor="#929292" stroked="f">
                <v:path arrowok="t"/>
                <o:lock v:ext="edit" verticies="t"/>
              </v:shape>
              <v:shape id="_x0000_s1326" style="position:absolute;left:3593;top:48;width:1260;height:43" coordsize="1260,43" path="m,l147,r,24l,24,,xm369,18r147,l516,24r-147,l369,18xm738,24r147,l885,43r-147,l738,24xm1113,12r147,l1260,30r-147,l1113,12xe" fillcolor="#62993e" stroked="f">
                <v:path arrowok="t"/>
                <o:lock v:ext="edit" verticies="t"/>
              </v:shape>
              <v:shape id="_x0000_s1327" style="position:absolute;left:3593;top:41;width:1260;height:31" coordsize="1260,31" path="m,l147,r,7l,7,,xm369,19r147,l516,25r-147,l369,19xm738,25r147,l885,31r-147,l738,25xm1113,13r147,l1260,19r-147,l1113,13xe" fillcolor="#8fa2d4" stroked="f">
                <v:path arrowok="t"/>
                <o:lock v:ext="edit" verticies="t"/>
              </v:shape>
              <v:shape id="_x0000_s1328" style="position:absolute;left:3593;top:-832;width:1260;height:898" coordsize="1260,898" path="m,l147,r,873l,873,,xm369,68r147,l516,892r-147,l369,68xm738,142r147,l885,898r-147,l738,142xm1113,185r147,l1260,886r-147,l1113,185xe" fillcolor="#f1a78a" stroked="f">
                <v:path arrowok="t"/>
                <o:lock v:ext="edit" verticies="t"/>
              </v:shape>
              <v:rect id="_x0000_s1329" style="position:absolute;left:3482;top:-933;width:6;height:1057" fillcolor="#898989" strokecolor="#898989" strokeweight=".3pt">
                <v:stroke joinstyle="bevel"/>
              </v:rect>
              <v:shape id="_x0000_s1330" style="position:absolute;left:3455;top:-936;width:30;height:1064" coordsize="30,1064" path="m,1057r30,l30,1064r-30,l,1057xm,904r30,l30,910,,910r,-6xm,756r30,l30,762,,762r,-6xm,602r30,l30,609,,609r,-7xm,455r30,l30,461,,461r,-6xm,301r30,l30,307,,307r,-6xm,154r30,l30,160,,160r,-6xm,l30,r,6l,6,,xe" fillcolor="#898989" strokecolor="#898989" strokeweight=".3pt">
                <v:stroke joinstyle="bevel"/>
                <v:path arrowok="t"/>
                <o:lock v:ext="edit" verticies="t"/>
              </v:shape>
              <v:rect id="_x0000_s1331" style="position:absolute;left:3485;top:121;width:1476;height:7" fillcolor="#898989" strokecolor="#898989" strokeweight=".3pt">
                <v:stroke joinstyle="bevel"/>
              </v:rect>
              <v:shape id="_x0000_s1332" style="position:absolute;left:3482;top:124;width:1482;height:25" coordsize="1482,25" path="m6,r,25l,25,,,6,xm375,r,25l369,25,369,r6,xm744,r,25l738,25,738,r6,xm1113,r,25l1107,25r,-25l1113,xm1482,r,25l1476,25r,-25l1482,xe" fillcolor="#898989" strokecolor="#898989" strokeweight=".3pt">
                <v:stroke joinstyle="bevel"/>
                <v:path arrowok="t"/>
                <o:lock v:ext="edit" verticies="t"/>
              </v:shape>
              <v:rect id="_x0000_s1333" style="position:absolute;left:3365;top:78;width:41;height:232;mso-wrap-style:none" filled="f" stroked="f">
                <v:textbox style="mso-next-textbox:#_x0000_s1333;mso-fit-shape-to-text:t" inset="0,0,0,0">
                  <w:txbxContent>
                    <w:p w:rsidR="000B433A" w:rsidRDefault="000B433A">
                      <w:r>
                        <w:rPr>
                          <w:rFonts w:cs="Calibri"/>
                          <w:color w:val="000000"/>
                          <w:sz w:val="8"/>
                          <w:szCs w:val="8"/>
                          <w:lang w:val="en-US"/>
                        </w:rPr>
                        <w:t>0</w:t>
                      </w:r>
                    </w:p>
                  </w:txbxContent>
                </v:textbox>
              </v:rect>
              <v:rect id="_x0000_s1334" style="position:absolute;left:3226;top:-73;width:181;height:232;mso-wrap-style:none" filled="f" stroked="f">
                <v:textbox style="mso-next-textbox:#_x0000_s1334;mso-fit-shape-to-text:t" inset="0,0,0,0">
                  <w:txbxContent>
                    <w:p w:rsidR="000B433A" w:rsidRDefault="000B433A">
                      <w:r>
                        <w:rPr>
                          <w:rFonts w:cs="Calibri"/>
                          <w:color w:val="000000"/>
                          <w:sz w:val="8"/>
                          <w:szCs w:val="8"/>
                          <w:lang w:val="en-US"/>
                        </w:rPr>
                        <w:t>5 000</w:t>
                      </w:r>
                    </w:p>
                  </w:txbxContent>
                </v:textbox>
              </v:rect>
              <v:rect id="_x0000_s1335" style="position:absolute;left:3180;top:-223;width:221;height:232;mso-wrap-style:none" filled="f" stroked="f">
                <v:textbox style="mso-next-textbox:#_x0000_s1335;mso-fit-shape-to-text:t" inset="0,0,0,0">
                  <w:txbxContent>
                    <w:p w:rsidR="000B433A" w:rsidRDefault="000B433A">
                      <w:r>
                        <w:rPr>
                          <w:rFonts w:cs="Calibri"/>
                          <w:color w:val="000000"/>
                          <w:sz w:val="8"/>
                          <w:szCs w:val="8"/>
                          <w:lang w:val="en-US"/>
                        </w:rPr>
                        <w:t>10 000</w:t>
                      </w:r>
                    </w:p>
                  </w:txbxContent>
                </v:textbox>
              </v:rect>
              <v:rect id="_x0000_s1336" style="position:absolute;left:3180;top:-374;width:221;height:232;mso-wrap-style:none" filled="f" stroked="f">
                <v:textbox style="mso-next-textbox:#_x0000_s1336;mso-fit-shape-to-text:t" inset="0,0,0,0">
                  <w:txbxContent>
                    <w:p w:rsidR="000B433A" w:rsidRDefault="000B433A">
                      <w:r>
                        <w:rPr>
                          <w:rFonts w:cs="Calibri"/>
                          <w:color w:val="000000"/>
                          <w:sz w:val="8"/>
                          <w:szCs w:val="8"/>
                          <w:lang w:val="en-US"/>
                        </w:rPr>
                        <w:t>15 000</w:t>
                      </w:r>
                    </w:p>
                  </w:txbxContent>
                </v:textbox>
              </v:rect>
              <v:rect id="_x0000_s1337" style="position:absolute;left:3180;top:-525;width:221;height:232;mso-wrap-style:none" filled="f" stroked="f">
                <v:textbox style="mso-next-textbox:#_x0000_s1337;mso-fit-shape-to-text:t" inset="0,0,0,0">
                  <w:txbxContent>
                    <w:p w:rsidR="000B433A" w:rsidRDefault="000B433A">
                      <w:r>
                        <w:rPr>
                          <w:rFonts w:cs="Calibri"/>
                          <w:color w:val="000000"/>
                          <w:sz w:val="8"/>
                          <w:szCs w:val="8"/>
                          <w:lang w:val="en-US"/>
                        </w:rPr>
                        <w:t>20 000</w:t>
                      </w:r>
                    </w:p>
                  </w:txbxContent>
                </v:textbox>
              </v:rect>
              <v:rect id="_x0000_s1338" style="position:absolute;left:3180;top:-676;width:221;height:232;mso-wrap-style:none" filled="f" stroked="f">
                <v:textbox style="mso-next-textbox:#_x0000_s1338;mso-fit-shape-to-text:t" inset="0,0,0,0">
                  <w:txbxContent>
                    <w:p w:rsidR="000B433A" w:rsidRDefault="000B433A">
                      <w:r>
                        <w:rPr>
                          <w:rFonts w:cs="Calibri"/>
                          <w:color w:val="000000"/>
                          <w:sz w:val="8"/>
                          <w:szCs w:val="8"/>
                          <w:lang w:val="en-US"/>
                        </w:rPr>
                        <w:t>25 000</w:t>
                      </w:r>
                    </w:p>
                  </w:txbxContent>
                </v:textbox>
              </v:rect>
              <v:rect id="_x0000_s1339" style="position:absolute;left:3180;top:-825;width:221;height:232;mso-wrap-style:none" filled="f" stroked="f">
                <v:textbox style="mso-next-textbox:#_x0000_s1339;mso-fit-shape-to-text:t" inset="0,0,0,0">
                  <w:txbxContent>
                    <w:p w:rsidR="000B433A" w:rsidRDefault="000B433A">
                      <w:r>
                        <w:rPr>
                          <w:rFonts w:cs="Calibri"/>
                          <w:color w:val="000000"/>
                          <w:sz w:val="8"/>
                          <w:szCs w:val="8"/>
                          <w:lang w:val="en-US"/>
                        </w:rPr>
                        <w:t>30 000</w:t>
                      </w:r>
                    </w:p>
                  </w:txbxContent>
                </v:textbox>
              </v:rect>
              <v:rect id="_x0000_s1340" style="position:absolute;left:3180;top:-977;width:221;height:232;mso-wrap-style:none" filled="f" stroked="f">
                <v:textbox style="mso-next-textbox:#_x0000_s1340;mso-fit-shape-to-text:t" inset="0,0,0,0">
                  <w:txbxContent>
                    <w:p w:rsidR="000B433A" w:rsidRDefault="000B433A">
                      <w:r>
                        <w:rPr>
                          <w:rFonts w:cs="Calibri"/>
                          <w:color w:val="000000"/>
                          <w:sz w:val="8"/>
                          <w:szCs w:val="8"/>
                          <w:lang w:val="en-US"/>
                        </w:rPr>
                        <w:t>35 000</w:t>
                      </w:r>
                    </w:p>
                  </w:txbxContent>
                </v:textbox>
              </v:rect>
              <v:rect id="_x0000_s1341" style="position:absolute;left:3585;top:185;width:163;height:232;mso-wrap-style:none" filled="f" stroked="f">
                <v:textbox style="mso-next-textbox:#_x0000_s1341;mso-fit-shape-to-text:t" inset="0,0,0,0">
                  <w:txbxContent>
                    <w:p w:rsidR="000B433A" w:rsidRDefault="000B433A">
                      <w:r>
                        <w:rPr>
                          <w:rFonts w:cs="Calibri"/>
                          <w:color w:val="000000"/>
                          <w:sz w:val="8"/>
                          <w:szCs w:val="8"/>
                          <w:lang w:val="en-US"/>
                        </w:rPr>
                        <w:t>2005</w:t>
                      </w:r>
                    </w:p>
                  </w:txbxContent>
                </v:textbox>
              </v:rect>
              <v:rect id="_x0000_s1342" style="position:absolute;left:3954;top:185;width:163;height:232;mso-wrap-style:none" filled="f" stroked="f">
                <v:textbox style="mso-next-textbox:#_x0000_s1342;mso-fit-shape-to-text:t" inset="0,0,0,0">
                  <w:txbxContent>
                    <w:p w:rsidR="000B433A" w:rsidRDefault="000B433A">
                      <w:r>
                        <w:rPr>
                          <w:rFonts w:cs="Calibri"/>
                          <w:color w:val="000000"/>
                          <w:sz w:val="8"/>
                          <w:szCs w:val="8"/>
                          <w:lang w:val="en-US"/>
                        </w:rPr>
                        <w:t>2015</w:t>
                      </w:r>
                    </w:p>
                  </w:txbxContent>
                </v:textbox>
              </v:rect>
              <v:rect id="_x0000_s1343" style="position:absolute;left:4226;top:185;width:359;height:232;mso-wrap-style:none" filled="f" stroked="f">
                <v:textbox style="mso-next-textbox:#_x0000_s1343;mso-fit-shape-to-text:t" inset="0,0,0,0">
                  <w:txbxContent>
                    <w:p w:rsidR="000B433A" w:rsidRDefault="000B433A">
                      <w:r>
                        <w:rPr>
                          <w:rFonts w:cs="Calibri"/>
                          <w:color w:val="000000"/>
                          <w:sz w:val="8"/>
                          <w:szCs w:val="8"/>
                          <w:lang w:val="en-US"/>
                        </w:rPr>
                        <w:t>2030 WEM</w:t>
                      </w:r>
                    </w:p>
                  </w:txbxContent>
                </v:textbox>
              </v:rect>
              <v:rect id="_x0000_s1344" style="position:absolute;left:4693;top:185;width:163;height:232;mso-wrap-style:none" filled="f" stroked="f">
                <v:textbox style="mso-next-textbox:#_x0000_s1344;mso-fit-shape-to-text:t" inset="0,0,0,0">
                  <w:txbxContent>
                    <w:p w:rsidR="000B433A" w:rsidRDefault="000B433A">
                      <w:r>
                        <w:rPr>
                          <w:rFonts w:cs="Calibri"/>
                          <w:color w:val="000000"/>
                          <w:sz w:val="8"/>
                          <w:szCs w:val="8"/>
                          <w:lang w:val="en-US"/>
                        </w:rPr>
                        <w:t xml:space="preserve">2030 </w:t>
                      </w:r>
                    </w:p>
                  </w:txbxContent>
                </v:textbox>
              </v:rect>
              <v:rect id="_x0000_s1345" style="position:absolute;left:4681;top:283;width:186;height:232;mso-wrap-style:none" filled="f" stroked="f">
                <v:textbox style="mso-next-textbox:#_x0000_s1345;mso-fit-shape-to-text:t" inset="0,0,0,0">
                  <w:txbxContent>
                    <w:p w:rsidR="000B433A" w:rsidRDefault="000B433A">
                      <w:r>
                        <w:rPr>
                          <w:rFonts w:cs="Calibri"/>
                          <w:color w:val="000000"/>
                          <w:sz w:val="8"/>
                          <w:szCs w:val="8"/>
                          <w:lang w:val="en-US"/>
                        </w:rPr>
                        <w:t>WAM</w:t>
                      </w:r>
                    </w:p>
                  </w:txbxContent>
                </v:textbox>
              </v:rect>
              <v:rect id="_x0000_s1346" style="position:absolute;left:3139;top:-301;width:48;height:148;mso-wrap-style:none" filled="f" stroked="f">
                <v:textbox style="mso-next-textbox:#_x0000_s1346;mso-fit-shape-to-text:t" inset="0,0,0,0">
                  <w:txbxContent>
                    <w:p w:rsidR="000B433A" w:rsidRDefault="000B433A">
                      <w:proofErr w:type="gramStart"/>
                      <w:r>
                        <w:rPr>
                          <w:rFonts w:cs="Calibri"/>
                          <w:b/>
                          <w:bCs/>
                          <w:color w:val="000000"/>
                          <w:sz w:val="2"/>
                          <w:szCs w:val="2"/>
                          <w:lang w:val="en-US"/>
                        </w:rPr>
                        <w:t>t</w:t>
                      </w:r>
                      <w:proofErr w:type="gramEnd"/>
                      <w:r>
                        <w:rPr>
                          <w:rFonts w:cs="Calibri"/>
                          <w:b/>
                          <w:bCs/>
                          <w:color w:val="000000"/>
                          <w:sz w:val="2"/>
                          <w:szCs w:val="2"/>
                          <w:lang w:val="en-US"/>
                        </w:rPr>
                        <w:t xml:space="preserve"> NH3</w:t>
                      </w:r>
                    </w:p>
                  </w:txbxContent>
                </v:textbox>
              </v:rect>
              <v:rect id="_x0000_s1347" style="position:absolute;left:3473;top:-1277;width:1899;height:773;mso-wrap-style:none" filled="f" stroked="f">
                <v:textbox style="mso-next-textbox:#_x0000_s1347;mso-fit-shape-to-text:t" inset="0,0,0,0">
                  <w:txbxContent>
                    <w:p w:rsidR="000B433A" w:rsidRDefault="000B433A" w:rsidP="00C255EF">
                      <w:r>
                        <w:rPr>
                          <w:rFonts w:cs="Calibri"/>
                          <w:b/>
                          <w:bCs/>
                          <w:color w:val="000000"/>
                          <w:sz w:val="14"/>
                          <w:szCs w:val="14"/>
                          <w:lang w:val="en-US"/>
                        </w:rPr>
                        <w:t>Entwicklung der NH</w:t>
                      </w:r>
                      <w:r w:rsidRPr="00A61678">
                        <w:rPr>
                          <w:rFonts w:cs="Calibri"/>
                          <w:b/>
                          <w:bCs/>
                          <w:color w:val="000000"/>
                          <w:sz w:val="10"/>
                          <w:szCs w:val="10"/>
                          <w:lang w:val="en-US"/>
                        </w:rPr>
                        <w:t>3</w:t>
                      </w:r>
                      <w:r>
                        <w:rPr>
                          <w:rFonts w:cs="Calibri"/>
                          <w:b/>
                          <w:bCs/>
                          <w:color w:val="000000"/>
                          <w:sz w:val="14"/>
                          <w:szCs w:val="14"/>
                          <w:lang w:val="en-US"/>
                        </w:rPr>
                        <w:t>-Emissionen</w:t>
                      </w:r>
                    </w:p>
                    <w:p w:rsidR="000B433A" w:rsidRPr="00C255EF" w:rsidRDefault="000B433A" w:rsidP="00C255EF"/>
                  </w:txbxContent>
                </v:textbox>
              </v:rect>
              <v:rect id="_x0000_s1348" style="position:absolute;left:5336;top:-1197;width:141;height:457;mso-wrap-style:none" filled="f" stroked="f">
                <v:textbox style="mso-next-textbox:#_x0000_s1348;mso-fit-shape-to-text:t" inset="0,0,0,0">
                  <w:txbxContent>
                    <w:p w:rsidR="000B433A" w:rsidRDefault="000B433A"/>
                  </w:txbxContent>
                </v:textbox>
              </v:rect>
              <v:rect id="_x0000_s1349" style="position:absolute;left:4014;top:-1099;width:362;height:317;mso-wrap-style:none" filled="f" stroked="f">
                <v:textbox style="mso-next-textbox:#_x0000_s1349;mso-fit-shape-to-text:t" inset="0,0,0,0">
                  <w:txbxContent>
                    <w:p w:rsidR="000B433A" w:rsidRDefault="000B433A">
                      <w:r>
                        <w:rPr>
                          <w:rFonts w:cs="Calibri"/>
                          <w:b/>
                          <w:bCs/>
                          <w:color w:val="000000"/>
                          <w:sz w:val="14"/>
                          <w:szCs w:val="14"/>
                          <w:lang w:val="en-US"/>
                        </w:rPr>
                        <w:t>(WEM</w:t>
                      </w:r>
                    </w:p>
                  </w:txbxContent>
                </v:textbox>
              </v:rect>
              <v:rect id="_x0000_s1350" style="position:absolute;left:4401;top:-1099;width:43;height:317;mso-wrap-style:none" filled="f" stroked="f">
                <v:textbox style="mso-next-textbox:#_x0000_s1350;mso-fit-shape-to-text:t" inset="0,0,0,0">
                  <w:txbxContent>
                    <w:p w:rsidR="000B433A" w:rsidRDefault="000B433A">
                      <w:r>
                        <w:rPr>
                          <w:rFonts w:cs="Calibri"/>
                          <w:b/>
                          <w:bCs/>
                          <w:color w:val="000000"/>
                          <w:sz w:val="14"/>
                          <w:szCs w:val="14"/>
                          <w:lang w:val="en-US"/>
                        </w:rPr>
                        <w:t>-</w:t>
                      </w:r>
                    </w:p>
                  </w:txbxContent>
                </v:textbox>
              </v:rect>
              <v:rect id="_x0000_s1351" style="position:absolute;left:4444;top:-1099;width:378;height:317;mso-wrap-style:none" filled="f" stroked="f">
                <v:textbox style="mso-next-textbox:#_x0000_s1351;mso-fit-shape-to-text:t" inset="0,0,0,0">
                  <w:txbxContent>
                    <w:p w:rsidR="000B433A" w:rsidRDefault="000B433A">
                      <w:r>
                        <w:rPr>
                          <w:rFonts w:cs="Calibri"/>
                          <w:b/>
                          <w:bCs/>
                          <w:color w:val="000000"/>
                          <w:sz w:val="14"/>
                          <w:szCs w:val="14"/>
                          <w:lang w:val="en-US"/>
                        </w:rPr>
                        <w:t>WAM)</w:t>
                      </w:r>
                    </w:p>
                  </w:txbxContent>
                </v:textbox>
              </v:rect>
              <v:rect id="_x0000_s1352" style="position:absolute;left:5031;top:-881;width:56;height:56" fillcolor="#f1a78a" stroked="f"/>
              <v:rect id="_x0000_s1353" style="position:absolute;left:5101;top:-902;width:414;height:689;mso-wrap-style:none" filled="f" stroked="f">
                <v:textbox style="mso-next-textbox:#_x0000_s1353;mso-fit-shape-to-text:t" inset="0,0,0,0">
                  <w:txbxContent>
                    <w:p w:rsidR="000B433A" w:rsidRDefault="000B433A" w:rsidP="00EF56E6">
                      <w:proofErr w:type="gramStart"/>
                      <w:r>
                        <w:rPr>
                          <w:rFonts w:cs="Calibri"/>
                          <w:color w:val="000000"/>
                          <w:sz w:val="8"/>
                          <w:szCs w:val="8"/>
                          <w:lang w:val="en-US"/>
                        </w:rPr>
                        <w:t>Landwirtsch.</w:t>
                      </w:r>
                      <w:proofErr w:type="gramEnd"/>
                    </w:p>
                    <w:p w:rsidR="000B433A" w:rsidRPr="00EF56E6" w:rsidRDefault="000B433A" w:rsidP="00EF56E6"/>
                  </w:txbxContent>
                </v:textbox>
              </v:rect>
              <v:rect id="_x0000_s1354" style="position:absolute;left:5031;top:-733;width:56;height:55" fillcolor="#8fa2d4" stroked="f"/>
              <v:rect id="_x0000_s1355" style="position:absolute;left:5101;top:-754;width:228;height:689;mso-wrap-style:none" filled="f" stroked="f">
                <v:textbox style="mso-next-textbox:#_x0000_s1355;mso-fit-shape-to-text:t" inset="0,0,0,0">
                  <w:txbxContent>
                    <w:p w:rsidR="000B433A" w:rsidRDefault="000B433A" w:rsidP="00EF56E6">
                      <w:r>
                        <w:rPr>
                          <w:rFonts w:cs="Calibri"/>
                          <w:color w:val="000000"/>
                          <w:sz w:val="8"/>
                          <w:szCs w:val="8"/>
                          <w:lang w:val="en-US"/>
                        </w:rPr>
                        <w:t>Abfälle</w:t>
                      </w:r>
                    </w:p>
                    <w:p w:rsidR="000B433A" w:rsidRPr="00EF56E6" w:rsidRDefault="000B433A" w:rsidP="00EF56E6"/>
                  </w:txbxContent>
                </v:textbox>
              </v:rect>
              <v:rect id="_x0000_s1356" style="position:absolute;left:5031;top:-586;width:56;height:56" fillcolor="#62993e" stroked="f"/>
              <v:rect id="_x0000_s1357" style="position:absolute;left:5101;top:-606;width:318;height:232;mso-wrap-style:none" filled="f" stroked="f">
                <v:textbox style="mso-next-textbox:#_x0000_s1357;mso-fit-shape-to-text:t" inset="0,0,0,0">
                  <w:txbxContent>
                    <w:p w:rsidR="000B433A" w:rsidRDefault="000B433A">
                      <w:r>
                        <w:rPr>
                          <w:rFonts w:cs="Calibri"/>
                          <w:color w:val="000000"/>
                          <w:sz w:val="8"/>
                          <w:szCs w:val="8"/>
                          <w:lang w:val="en-US"/>
                        </w:rPr>
                        <w:t>Transport</w:t>
                      </w:r>
                    </w:p>
                  </w:txbxContent>
                </v:textbox>
              </v:rect>
              <v:rect id="_x0000_s1358" style="position:absolute;left:5031;top:-432;width:56;height:49" fillcolor="#5089bc" stroked="f"/>
              <v:rect id="_x0000_s1359" style="position:absolute;left:5101;top:-457;width:345;height:689;mso-wrap-style:none" filled="f" stroked="f">
                <v:textbox style="mso-next-textbox:#_x0000_s1359;mso-fit-shape-to-text:t" inset="0,0,0,0">
                  <w:txbxContent>
                    <w:p w:rsidR="000B433A" w:rsidRDefault="000B433A" w:rsidP="00EF56E6">
                      <w:proofErr w:type="gramStart"/>
                      <w:r>
                        <w:rPr>
                          <w:rFonts w:cs="Calibri"/>
                          <w:color w:val="000000"/>
                          <w:sz w:val="8"/>
                          <w:szCs w:val="8"/>
                          <w:lang w:val="en-US"/>
                        </w:rPr>
                        <w:t>Lösungsm.</w:t>
                      </w:r>
                      <w:proofErr w:type="gramEnd"/>
                    </w:p>
                    <w:p w:rsidR="000B433A" w:rsidRPr="00EF56E6" w:rsidRDefault="000B433A" w:rsidP="00EF56E6"/>
                  </w:txbxContent>
                </v:textbox>
              </v:rect>
              <v:rect id="_x0000_s1360" style="position:absolute;left:5031;top:-284;width:56;height:49" fillcolor="#e2aa00" stroked="f"/>
              <v:rect id="_x0000_s1361" style="position:absolute;left:5101;top:-309;width:559;height:232;mso-wrap-style:none" filled="f" stroked="f">
                <v:textbox style="mso-next-textbox:#_x0000_s1361;mso-fit-shape-to-text:t" inset="0,0,0,0">
                  <w:txbxContent>
                    <w:p w:rsidR="000B433A" w:rsidRPr="00E566D5" w:rsidRDefault="000B433A" w:rsidP="00E566D5">
                      <w:pPr>
                        <w:rPr>
                          <w:rFonts w:cs="Calibri"/>
                          <w:color w:val="000000"/>
                          <w:sz w:val="8"/>
                          <w:szCs w:val="8"/>
                          <w:lang w:val="en-US"/>
                        </w:rPr>
                      </w:pPr>
                      <w:r w:rsidRPr="00E566D5">
                        <w:rPr>
                          <w:rFonts w:cs="Calibri"/>
                          <w:color w:val="000000"/>
                          <w:sz w:val="8"/>
                          <w:szCs w:val="8"/>
                          <w:lang w:val="en-US"/>
                        </w:rPr>
                        <w:t>Heizölgewinnung</w:t>
                      </w:r>
                    </w:p>
                  </w:txbxContent>
                </v:textbox>
              </v:rect>
              <v:rect id="_x0000_s1362" style="position:absolute;left:5031;top:-137;width:56;height:49" fillcolor="#929292" stroked="f"/>
              <v:rect id="_x0000_s1363" style="position:absolute;left:5101;top:-161;width:291;height:232;mso-wrap-style:none" filled="f" stroked="f">
                <v:textbox style="mso-next-textbox:#_x0000_s1363;mso-fit-shape-to-text:t" inset="0,0,0,0">
                  <w:txbxContent>
                    <w:p w:rsidR="000B433A" w:rsidRDefault="000B433A">
                      <w:r>
                        <w:rPr>
                          <w:rFonts w:cs="Calibri"/>
                          <w:color w:val="000000"/>
                          <w:sz w:val="8"/>
                          <w:szCs w:val="8"/>
                          <w:lang w:val="en-US"/>
                        </w:rPr>
                        <w:t>Industrie</w:t>
                      </w:r>
                    </w:p>
                  </w:txbxContent>
                </v:textbox>
              </v:rect>
              <v:rect id="_x0000_s1364" style="position:absolute;left:5031;top:11;width:56;height:49" fillcolor="#d26e2a" stroked="f"/>
              <v:rect id="_x0000_s1365" style="position:absolute;left:5101;top:-13;width:602;height:689;mso-wrap-style:none" filled="f" stroked="f">
                <v:textbox style="mso-next-textbox:#_x0000_s1365;mso-fit-shape-to-text:t" inset="0,0,0,0">
                  <w:txbxContent>
                    <w:p w:rsidR="000B433A" w:rsidRDefault="000B433A" w:rsidP="00C94D7A">
                      <w:proofErr w:type="gramStart"/>
                      <w:r>
                        <w:rPr>
                          <w:rFonts w:cs="Calibri"/>
                          <w:color w:val="000000"/>
                          <w:sz w:val="8"/>
                          <w:szCs w:val="8"/>
                          <w:lang w:val="en-US"/>
                        </w:rPr>
                        <w:t>Wohnen + Dienstl.</w:t>
                      </w:r>
                      <w:proofErr w:type="gramEnd"/>
                    </w:p>
                    <w:p w:rsidR="000B433A" w:rsidRPr="00C94D7A" w:rsidRDefault="000B433A" w:rsidP="00C94D7A"/>
                  </w:txbxContent>
                </v:textbox>
              </v:rect>
              <v:rect id="_x0000_s1366" style="position:absolute;left:5031;top:158;width:56;height:49" fillcolor="#3b64ad" stroked="f"/>
              <v:rect id="_x0000_s1367" style="position:absolute;left:5101;top:136;width:245;height:232;mso-wrap-style:none" filled="f" stroked="f">
                <v:textbox style="mso-next-textbox:#_x0000_s1367;mso-fit-shape-to-text:t" inset="0,0,0,0">
                  <w:txbxContent>
                    <w:p w:rsidR="000B433A" w:rsidRDefault="000B433A">
                      <w:r>
                        <w:rPr>
                          <w:rFonts w:cs="Calibri"/>
                          <w:color w:val="000000"/>
                          <w:sz w:val="8"/>
                          <w:szCs w:val="8"/>
                          <w:lang w:val="en-US"/>
                        </w:rPr>
                        <w:t>Energie</w:t>
                      </w:r>
                    </w:p>
                  </w:txbxContent>
                </v:textbox>
              </v:rect>
              <v:shape id="_x0000_s1368" style="position:absolute;left:2954;top:-1342;width:2956;height:1777" coordsize="7696,4624" path="m,8hdc,4,4,,8,hal7688,hdc7693,,7696,4,7696,8hal7696,4616hdc7696,4621,7693,4624,7688,4624hal8,4624hdc4,4624,,4621,,4616hal,8hdxm16,4616hal8,4608r7680,l7680,4616,7680,8r8,8l8,16,16,8r,4608hdxe" fillcolor="#898989" strokecolor="#898989" strokeweight="0">
                <v:path arrowok="t"/>
                <o:lock v:ext="edit" verticies="t"/>
              </v:shape>
              <v:rect id="_x0000_s1369" style="position:absolute;left:5910;top:-1342;width:2957;height:1777" stroked="f"/>
              <v:rect id="_x0000_s1370" style="position:absolute;left:6439;top:-930;width:1537;height:1058" stroked="f"/>
              <v:shape id="_x0000_s1371" style="position:absolute;left:6442;top:-936;width:1524;height:910" coordsize="1524,910" path="m,904r1524,l1524,910,,910r,-6xm,756r1524,l1524,762,,762r,-6xm,602r1524,l1524,609,,609r,-7xm,455r1524,l1524,461,,461r,-6xm,301r1524,l1524,307,,307r,-6xm,154r1524,l1524,160,,160r,-6xm,l1524,r,6l,6,,xe" fillcolor="#898989" strokecolor="#898989" strokeweight=".3pt">
                <v:stroke joinstyle="bevel"/>
                <v:path arrowok="t"/>
                <o:lock v:ext="edit" verticies="t"/>
              </v:shape>
              <v:shape id="_x0000_s1372" style="position:absolute;left:6556;top:103;width:1297;height:18" coordsize="1297,18" path="m,l153,r,18l,18,,xm381,12r154,l535,18r-154,l381,12xm762,12r154,l916,18r-154,l762,12xm1143,12r154,l1297,18r-154,l1143,12xe" fillcolor="#3b64ad" stroked="f">
                <v:path arrowok="t"/>
                <o:lock v:ext="edit" verticies="t"/>
              </v:shape>
              <v:shape id="_x0000_s1373" style="position:absolute;left:6556;top:23;width:1297;height:98" coordsize="1297,98" path="m,12r153,l153,80,,80,,12xm381,25r154,l535,98r-154,l381,25xm762,l916,r,92l762,92,762,xm1143,31r154,l1297,98r-154,l1143,31xe" fillcolor="#d26e2a" stroked="f">
                <v:path arrowok="t"/>
                <o:lock v:ext="edit" verticies="t"/>
              </v:shape>
              <v:shape id="_x0000_s1374" style="position:absolute;left:6556;top:-88;width:1297;height:142" coordsize="1297,142" path="m,l153,r,123l,123,,xm381,62r154,l535,136r-154,l381,62xm762,37r154,l916,111r-154,l762,37xm1143,68r154,l1297,142r-154,l1143,68xe" fillcolor="#929292" stroked="f">
                <v:path arrowok="t"/>
                <o:lock v:ext="edit" verticies="t"/>
              </v:shape>
              <v:shape id="_x0000_s1375" style="position:absolute;left:6556;top:-125;width:1297;height:105" coordsize="1297,105" path="m,l153,r,37l,37,,xm381,80r154,l535,99r-154,l381,80xm762,56r154,l916,74r-154,l762,56xm1143,87r154,l1297,105r-154,l1143,87xe" fillcolor="#e2aa00" stroked="f">
                <v:path arrowok="t"/>
                <o:lock v:ext="edit" verticies="t"/>
              </v:shape>
              <v:shape id="_x0000_s1376" style="position:absolute;left:6556;top:-414;width:1297;height:376" coordsize="1297,376" path="m,l153,r,289l,289,,xm381,185r154,l535,369r-154,l381,185xm762,148r154,l916,345r-154,l762,148xm1143,173r154,l1297,376r-154,l1143,173xe" fillcolor="#5089bc" stroked="f">
                <v:path arrowok="t"/>
                <o:lock v:ext="edit" verticies="t"/>
              </v:shape>
              <v:shape id="_x0000_s1377" style="position:absolute;left:6556;top:-567;width:1297;height:338" coordsize="1297,338" path="m,l153,r,153l,153,,xm381,276r154,l535,338r-154,l381,276xm762,233r154,l916,301r-154,l762,233xm1143,264r154,l1297,326r-154,l1143,264xe" fillcolor="#62993e" stroked="f">
                <v:path arrowok="t"/>
                <o:lock v:ext="edit" verticies="t"/>
              </v:shape>
              <v:shape id="_x0000_s1378" style="position:absolute;left:6556;top:-573;width:1297;height:282" coordsize="1297,282" path="m,l153,r,6l,6,,xm381,276r154,l535,282r-154,l381,276xm762,233r154,l916,239r-154,l762,233xm1143,258r154,l1297,270r-154,l1143,258xe" fillcolor="#8fa2d4" stroked="f">
                <v:path arrowok="t"/>
                <o:lock v:ext="edit" verticies="t"/>
              </v:shape>
              <v:shape id="_x0000_s1379" style="position:absolute;left:6556;top:-752;width:1297;height:455" coordsize="1297,455" path="m,l153,r,179l,179,,xm381,289r154,l535,455r-154,l381,289xm762,252r154,l916,412r-154,l762,252xm1143,302r154,l1297,437r-154,l1143,302xe" fillcolor="#f1a78a" stroked="f">
                <v:path arrowok="t"/>
                <o:lock v:ext="edit" verticies="t"/>
              </v:shape>
              <v:rect id="_x0000_s1380" style="position:absolute;left:6439;top:-933;width:6;height:1057" fillcolor="#898989" strokecolor="#898989" strokeweight=".3pt">
                <v:stroke joinstyle="bevel"/>
              </v:rect>
              <v:shape id="_x0000_s1381" style="position:absolute;left:6411;top:-936;width:31;height:1064" coordsize="31,1064" path="m,1057r31,l31,1064r-31,l,1057xm,904r31,l31,910,,910r,-6xm,756r31,l31,762,,762r,-6xm,602r31,l31,609,,609r,-7xm,455r31,l31,461,,461r,-6xm,301r31,l31,307,,307r,-6xm,154r31,l31,160,,160r,-6xm,l31,r,6l,6,,xe" fillcolor="#898989" strokecolor="#898989" strokeweight=".3pt">
                <v:stroke joinstyle="bevel"/>
                <v:path arrowok="t"/>
                <o:lock v:ext="edit" verticies="t"/>
              </v:shape>
              <v:rect id="_x0000_s1382" style="position:absolute;left:6442;top:121;width:1524;height:7" fillcolor="#898989" strokecolor="#898989" strokeweight=".3pt">
                <v:stroke joinstyle="bevel"/>
              </v:rect>
              <v:shape id="_x0000_s1383" style="position:absolute;left:6439;top:124;width:1531;height:25" coordsize="1531,25" path="m6,r,25l,25,,,6,xm387,r,25l381,25,381,r6,xm768,r,25l762,25,762,r6,xm1149,r,25l1143,25r,-25l1149,xm1531,r,25l1524,25r,-25l1531,xe" fillcolor="#898989" strokecolor="#898989" strokeweight=".3pt">
                <v:stroke joinstyle="bevel"/>
                <v:path arrowok="t"/>
                <o:lock v:ext="edit" verticies="t"/>
              </v:shape>
              <v:rect id="_x0000_s1384" style="position:absolute;left:6321;top:78;width:41;height:232;mso-wrap-style:none" filled="f" stroked="f">
                <v:textbox style="mso-next-textbox:#_x0000_s1384;mso-fit-shape-to-text:t" inset="0,0,0,0">
                  <w:txbxContent>
                    <w:p w:rsidR="000B433A" w:rsidRDefault="000B433A">
                      <w:r>
                        <w:rPr>
                          <w:rFonts w:cs="Calibri"/>
                          <w:color w:val="000000"/>
                          <w:sz w:val="8"/>
                          <w:szCs w:val="8"/>
                          <w:lang w:val="en-US"/>
                        </w:rPr>
                        <w:t>0</w:t>
                      </w:r>
                    </w:p>
                  </w:txbxContent>
                </v:textbox>
              </v:rect>
              <v:rect id="_x0000_s1385" style="position:absolute;left:6137;top:-73;width:221;height:232;mso-wrap-style:none" filled="f" stroked="f">
                <v:textbox style="mso-next-textbox:#_x0000_s1385;mso-fit-shape-to-text:t" inset="0,0,0,0">
                  <w:txbxContent>
                    <w:p w:rsidR="000B433A" w:rsidRDefault="000B433A">
                      <w:r>
                        <w:rPr>
                          <w:rFonts w:cs="Calibri"/>
                          <w:color w:val="000000"/>
                          <w:sz w:val="8"/>
                          <w:szCs w:val="8"/>
                          <w:lang w:val="en-US"/>
                        </w:rPr>
                        <w:t>10 000</w:t>
                      </w:r>
                    </w:p>
                  </w:txbxContent>
                </v:textbox>
              </v:rect>
              <v:rect id="_x0000_s1386" style="position:absolute;left:6137;top:-223;width:221;height:232;mso-wrap-style:none" filled="f" stroked="f">
                <v:textbox style="mso-next-textbox:#_x0000_s1386;mso-fit-shape-to-text:t" inset="0,0,0,0">
                  <w:txbxContent>
                    <w:p w:rsidR="000B433A" w:rsidRDefault="000B433A">
                      <w:r>
                        <w:rPr>
                          <w:rFonts w:cs="Calibri"/>
                          <w:color w:val="000000"/>
                          <w:sz w:val="8"/>
                          <w:szCs w:val="8"/>
                          <w:lang w:val="en-US"/>
                        </w:rPr>
                        <w:t>20 000</w:t>
                      </w:r>
                    </w:p>
                  </w:txbxContent>
                </v:textbox>
              </v:rect>
              <v:rect id="_x0000_s1387" style="position:absolute;left:6137;top:-374;width:221;height:232;mso-wrap-style:none" filled="f" stroked="f">
                <v:textbox style="mso-next-textbox:#_x0000_s1387;mso-fit-shape-to-text:t" inset="0,0,0,0">
                  <w:txbxContent>
                    <w:p w:rsidR="000B433A" w:rsidRDefault="000B433A">
                      <w:r>
                        <w:rPr>
                          <w:rFonts w:cs="Calibri"/>
                          <w:color w:val="000000"/>
                          <w:sz w:val="8"/>
                          <w:szCs w:val="8"/>
                          <w:lang w:val="en-US"/>
                        </w:rPr>
                        <w:t>30 000</w:t>
                      </w:r>
                    </w:p>
                  </w:txbxContent>
                </v:textbox>
              </v:rect>
              <v:rect id="_x0000_s1388" style="position:absolute;left:6137;top:-525;width:221;height:232;mso-wrap-style:none" filled="f" stroked="f">
                <v:textbox style="mso-next-textbox:#_x0000_s1388;mso-fit-shape-to-text:t" inset="0,0,0,0">
                  <w:txbxContent>
                    <w:p w:rsidR="000B433A" w:rsidRDefault="000B433A">
                      <w:r>
                        <w:rPr>
                          <w:rFonts w:cs="Calibri"/>
                          <w:color w:val="000000"/>
                          <w:sz w:val="8"/>
                          <w:szCs w:val="8"/>
                          <w:lang w:val="en-US"/>
                        </w:rPr>
                        <w:t>40 000</w:t>
                      </w:r>
                    </w:p>
                  </w:txbxContent>
                </v:textbox>
              </v:rect>
              <v:rect id="_x0000_s1389" style="position:absolute;left:6137;top:-676;width:221;height:232;mso-wrap-style:none" filled="f" stroked="f">
                <v:textbox style="mso-next-textbox:#_x0000_s1389;mso-fit-shape-to-text:t" inset="0,0,0,0">
                  <w:txbxContent>
                    <w:p w:rsidR="000B433A" w:rsidRDefault="000B433A">
                      <w:r>
                        <w:rPr>
                          <w:rFonts w:cs="Calibri"/>
                          <w:color w:val="000000"/>
                          <w:sz w:val="8"/>
                          <w:szCs w:val="8"/>
                          <w:lang w:val="en-US"/>
                        </w:rPr>
                        <w:t>50 000</w:t>
                      </w:r>
                    </w:p>
                  </w:txbxContent>
                </v:textbox>
              </v:rect>
              <v:rect id="_x0000_s1390" style="position:absolute;left:6137;top:-825;width:221;height:232;mso-wrap-style:none" filled="f" stroked="f">
                <v:textbox style="mso-next-textbox:#_x0000_s1390;mso-fit-shape-to-text:t" inset="0,0,0,0">
                  <w:txbxContent>
                    <w:p w:rsidR="000B433A" w:rsidRDefault="000B433A">
                      <w:r>
                        <w:rPr>
                          <w:rFonts w:cs="Calibri"/>
                          <w:color w:val="000000"/>
                          <w:sz w:val="8"/>
                          <w:szCs w:val="8"/>
                          <w:lang w:val="en-US"/>
                        </w:rPr>
                        <w:t>60 000</w:t>
                      </w:r>
                    </w:p>
                  </w:txbxContent>
                </v:textbox>
              </v:rect>
              <v:rect id="_x0000_s1391" style="position:absolute;left:6137;top:-977;width:221;height:232;mso-wrap-style:none" filled="f" stroked="f">
                <v:textbox style="mso-next-textbox:#_x0000_s1391;mso-fit-shape-to-text:t" inset="0,0,0,0">
                  <w:txbxContent>
                    <w:p w:rsidR="000B433A" w:rsidRDefault="000B433A">
                      <w:r>
                        <w:rPr>
                          <w:rFonts w:cs="Calibri"/>
                          <w:color w:val="000000"/>
                          <w:sz w:val="8"/>
                          <w:szCs w:val="8"/>
                          <w:lang w:val="en-US"/>
                        </w:rPr>
                        <w:t>70 000</w:t>
                      </w:r>
                    </w:p>
                  </w:txbxContent>
                </v:textbox>
              </v:rect>
              <v:rect id="_x0000_s1392" style="position:absolute;left:6547;top:185;width:163;height:232;mso-wrap-style:none" filled="f" stroked="f">
                <v:textbox style="mso-next-textbox:#_x0000_s1392;mso-fit-shape-to-text:t" inset="0,0,0,0">
                  <w:txbxContent>
                    <w:p w:rsidR="000B433A" w:rsidRDefault="000B433A">
                      <w:r>
                        <w:rPr>
                          <w:rFonts w:cs="Calibri"/>
                          <w:color w:val="000000"/>
                          <w:sz w:val="8"/>
                          <w:szCs w:val="8"/>
                          <w:lang w:val="en-US"/>
                        </w:rPr>
                        <w:t>2005</w:t>
                      </w:r>
                    </w:p>
                  </w:txbxContent>
                </v:textbox>
              </v:rect>
              <v:rect id="_x0000_s1393" style="position:absolute;left:6929;top:185;width:163;height:232;mso-wrap-style:none" filled="f" stroked="f">
                <v:textbox style="mso-next-textbox:#_x0000_s1393;mso-fit-shape-to-text:t" inset="0,0,0,0">
                  <w:txbxContent>
                    <w:p w:rsidR="000B433A" w:rsidRDefault="000B433A">
                      <w:r>
                        <w:rPr>
                          <w:rFonts w:cs="Calibri"/>
                          <w:color w:val="000000"/>
                          <w:sz w:val="8"/>
                          <w:szCs w:val="8"/>
                          <w:lang w:val="en-US"/>
                        </w:rPr>
                        <w:t>2015</w:t>
                      </w:r>
                    </w:p>
                  </w:txbxContent>
                </v:textbox>
              </v:rect>
              <v:rect id="_x0000_s1394" style="position:absolute;left:7213;top:185;width:359;height:232;mso-wrap-style:none" filled="f" stroked="f">
                <v:textbox style="mso-next-textbox:#_x0000_s1394;mso-fit-shape-to-text:t" inset="0,0,0,0">
                  <w:txbxContent>
                    <w:p w:rsidR="000B433A" w:rsidRDefault="000B433A">
                      <w:r>
                        <w:rPr>
                          <w:rFonts w:cs="Calibri"/>
                          <w:color w:val="000000"/>
                          <w:sz w:val="8"/>
                          <w:szCs w:val="8"/>
                          <w:lang w:val="en-US"/>
                        </w:rPr>
                        <w:t>2030 WEM</w:t>
                      </w:r>
                    </w:p>
                  </w:txbxContent>
                </v:textbox>
              </v:rect>
              <v:rect id="_x0000_s1395" style="position:absolute;left:7589;top:185;width:367;height:232;mso-wrap-style:none" filled="f" stroked="f">
                <v:textbox style="mso-next-textbox:#_x0000_s1395;mso-fit-shape-to-text:t" inset="0,0,0,0">
                  <w:txbxContent>
                    <w:p w:rsidR="000B433A" w:rsidRDefault="000B433A">
                      <w:r>
                        <w:rPr>
                          <w:rFonts w:cs="Calibri"/>
                          <w:color w:val="000000"/>
                          <w:sz w:val="8"/>
                          <w:szCs w:val="8"/>
                          <w:lang w:val="en-US"/>
                        </w:rPr>
                        <w:t>2030 WAM</w:t>
                      </w:r>
                    </w:p>
                  </w:txbxContent>
                </v:textbox>
              </v:rect>
              <v:rect id="_x0000_s1396" style="position:absolute;left:6096;top:-240;width:79;height:148;mso-wrap-style:none" filled="f" stroked="f">
                <v:textbox style="mso-next-textbox:#_x0000_s1396;mso-fit-shape-to-text:t" inset="0,0,0,0">
                  <w:txbxContent>
                    <w:p w:rsidR="000B433A" w:rsidRDefault="000B433A">
                      <w:proofErr w:type="gramStart"/>
                      <w:r>
                        <w:rPr>
                          <w:rFonts w:cs="Calibri"/>
                          <w:b/>
                          <w:bCs/>
                          <w:color w:val="000000"/>
                          <w:sz w:val="2"/>
                          <w:szCs w:val="2"/>
                          <w:lang w:val="en-US"/>
                        </w:rPr>
                        <w:t>t</w:t>
                      </w:r>
                      <w:proofErr w:type="gramEnd"/>
                      <w:r>
                        <w:rPr>
                          <w:rFonts w:cs="Calibri"/>
                          <w:b/>
                          <w:bCs/>
                          <w:color w:val="000000"/>
                          <w:sz w:val="2"/>
                          <w:szCs w:val="2"/>
                          <w:lang w:val="en-US"/>
                        </w:rPr>
                        <w:t xml:space="preserve"> COVNM</w:t>
                      </w:r>
                    </w:p>
                  </w:txbxContent>
                </v:textbox>
              </v:rect>
              <v:rect id="_x0000_s1397" style="position:absolute;left:6307;top:-1277;width:2134;height:773;mso-wrap-style:none" filled="f" stroked="f">
                <v:textbox style="mso-next-textbox:#_x0000_s1397;mso-fit-shape-to-text:t" inset="0,0,0,0">
                  <w:txbxContent>
                    <w:p w:rsidR="000B433A" w:rsidRDefault="000B433A" w:rsidP="00C255EF">
                      <w:r>
                        <w:rPr>
                          <w:rFonts w:cs="Calibri"/>
                          <w:b/>
                          <w:bCs/>
                          <w:color w:val="000000"/>
                          <w:sz w:val="14"/>
                          <w:szCs w:val="14"/>
                          <w:lang w:val="en-US"/>
                        </w:rPr>
                        <w:t>Entwicklung der COVNM-Emissionen</w:t>
                      </w:r>
                    </w:p>
                    <w:p w:rsidR="000B433A" w:rsidRDefault="000B433A"/>
                  </w:txbxContent>
                </v:textbox>
              </v:rect>
              <v:rect id="_x0000_s1398" style="position:absolute;left:6971;top:-1099;width:362;height:317;mso-wrap-style:none" filled="f" stroked="f">
                <v:textbox style="mso-next-textbox:#_x0000_s1398;mso-fit-shape-to-text:t" inset="0,0,0,0">
                  <w:txbxContent>
                    <w:p w:rsidR="000B433A" w:rsidRDefault="000B433A">
                      <w:r>
                        <w:rPr>
                          <w:rFonts w:cs="Calibri"/>
                          <w:b/>
                          <w:bCs/>
                          <w:color w:val="000000"/>
                          <w:sz w:val="14"/>
                          <w:szCs w:val="14"/>
                          <w:lang w:val="en-US"/>
                        </w:rPr>
                        <w:t>(WEM</w:t>
                      </w:r>
                    </w:p>
                  </w:txbxContent>
                </v:textbox>
              </v:rect>
              <v:rect id="_x0000_s1399" style="position:absolute;left:7358;top:-1099;width:43;height:317;mso-wrap-style:none" filled="f" stroked="f">
                <v:textbox style="mso-next-textbox:#_x0000_s1399;mso-fit-shape-to-text:t" inset="0,0,0,0">
                  <w:txbxContent>
                    <w:p w:rsidR="000B433A" w:rsidRDefault="000B433A">
                      <w:r>
                        <w:rPr>
                          <w:rFonts w:cs="Calibri"/>
                          <w:b/>
                          <w:bCs/>
                          <w:color w:val="000000"/>
                          <w:sz w:val="14"/>
                          <w:szCs w:val="14"/>
                          <w:lang w:val="en-US"/>
                        </w:rPr>
                        <w:t>-</w:t>
                      </w:r>
                    </w:p>
                  </w:txbxContent>
                </v:textbox>
              </v:rect>
              <v:rect id="_x0000_s1400" style="position:absolute;left:7401;top:-1099;width:378;height:317;mso-wrap-style:none" filled="f" stroked="f">
                <v:textbox style="mso-next-textbox:#_x0000_s1400;mso-fit-shape-to-text:t" inset="0,0,0,0">
                  <w:txbxContent>
                    <w:p w:rsidR="000B433A" w:rsidRDefault="000B433A">
                      <w:r>
                        <w:rPr>
                          <w:rFonts w:cs="Calibri"/>
                          <w:b/>
                          <w:bCs/>
                          <w:color w:val="000000"/>
                          <w:sz w:val="14"/>
                          <w:szCs w:val="14"/>
                          <w:lang w:val="en-US"/>
                        </w:rPr>
                        <w:t>WAM)</w:t>
                      </w:r>
                    </w:p>
                  </w:txbxContent>
                </v:textbox>
              </v:rect>
              <v:rect id="_x0000_s1401" style="position:absolute;left:8037;top:-881;width:55;height:56" fillcolor="#f1a78a" stroked="f"/>
              <v:rect id="_x0000_s1402" style="position:absolute;left:8107;top:-902;width:414;height:689;mso-wrap-style:none" filled="f" stroked="f">
                <v:textbox style="mso-next-textbox:#_x0000_s1402;mso-fit-shape-to-text:t" inset="0,0,0,0">
                  <w:txbxContent>
                    <w:p w:rsidR="000B433A" w:rsidRDefault="000B433A" w:rsidP="00EF56E6">
                      <w:proofErr w:type="gramStart"/>
                      <w:r>
                        <w:rPr>
                          <w:rFonts w:cs="Calibri"/>
                          <w:color w:val="000000"/>
                          <w:sz w:val="8"/>
                          <w:szCs w:val="8"/>
                          <w:lang w:val="en-US"/>
                        </w:rPr>
                        <w:t>Landwirtsch.</w:t>
                      </w:r>
                      <w:proofErr w:type="gramEnd"/>
                    </w:p>
                    <w:p w:rsidR="000B433A" w:rsidRPr="00EF56E6" w:rsidRDefault="000B433A" w:rsidP="00EF56E6"/>
                  </w:txbxContent>
                </v:textbox>
              </v:rect>
              <v:rect id="_x0000_s1403" style="position:absolute;left:8037;top:-733;width:55;height:55" fillcolor="#8fa2d4" stroked="f"/>
              <v:rect id="_x0000_s1404" style="position:absolute;left:8107;top:-754;width:228;height:689;mso-wrap-style:none" filled="f" stroked="f">
                <v:textbox style="mso-next-textbox:#_x0000_s1404;mso-fit-shape-to-text:t" inset="0,0,0,0">
                  <w:txbxContent>
                    <w:p w:rsidR="000B433A" w:rsidRDefault="000B433A" w:rsidP="00EF56E6">
                      <w:r>
                        <w:rPr>
                          <w:rFonts w:cs="Calibri"/>
                          <w:color w:val="000000"/>
                          <w:sz w:val="8"/>
                          <w:szCs w:val="8"/>
                          <w:lang w:val="en-US"/>
                        </w:rPr>
                        <w:t>Abfälle</w:t>
                      </w:r>
                    </w:p>
                    <w:p w:rsidR="000B433A" w:rsidRPr="00EF56E6" w:rsidRDefault="000B433A" w:rsidP="00EF56E6"/>
                  </w:txbxContent>
                </v:textbox>
              </v:rect>
              <v:rect id="_x0000_s1405" style="position:absolute;left:8037;top:-586;width:55;height:56" fillcolor="#62993e" stroked="f"/>
              <v:rect id="_x0000_s1406" style="position:absolute;left:8107;top:-606;width:318;height:232;mso-wrap-style:none" filled="f" stroked="f">
                <v:textbox style="mso-next-textbox:#_x0000_s1406;mso-fit-shape-to-text:t" inset="0,0,0,0">
                  <w:txbxContent>
                    <w:p w:rsidR="000B433A" w:rsidRDefault="000B433A">
                      <w:r>
                        <w:rPr>
                          <w:rFonts w:cs="Calibri"/>
                          <w:color w:val="000000"/>
                          <w:sz w:val="8"/>
                          <w:szCs w:val="8"/>
                          <w:lang w:val="en-US"/>
                        </w:rPr>
                        <w:t>Transport</w:t>
                      </w:r>
                    </w:p>
                  </w:txbxContent>
                </v:textbox>
              </v:rect>
              <v:rect id="_x0000_s1407" style="position:absolute;left:8037;top:-432;width:55;height:49" fillcolor="#5089bc" stroked="f"/>
              <v:rect id="_x0000_s1408" style="position:absolute;left:8107;top:-457;width:345;height:689;mso-wrap-style:none" filled="f" stroked="f">
                <v:textbox style="mso-next-textbox:#_x0000_s1408;mso-fit-shape-to-text:t" inset="0,0,0,0">
                  <w:txbxContent>
                    <w:p w:rsidR="000B433A" w:rsidRDefault="000B433A" w:rsidP="00EF56E6">
                      <w:proofErr w:type="gramStart"/>
                      <w:r>
                        <w:rPr>
                          <w:rFonts w:cs="Calibri"/>
                          <w:color w:val="000000"/>
                          <w:sz w:val="8"/>
                          <w:szCs w:val="8"/>
                          <w:lang w:val="en-US"/>
                        </w:rPr>
                        <w:t>Lösungsm.</w:t>
                      </w:r>
                      <w:proofErr w:type="gramEnd"/>
                    </w:p>
                    <w:p w:rsidR="000B433A" w:rsidRPr="00EF56E6" w:rsidRDefault="000B433A" w:rsidP="00EF56E6"/>
                  </w:txbxContent>
                </v:textbox>
              </v:rect>
              <v:rect id="_x0000_s1409" style="position:absolute;left:8037;top:-284;width:55;height:49" fillcolor="#e2aa00" stroked="f"/>
              <v:rect id="_x0000_s1410" style="position:absolute;left:8107;top:-309;width:559;height:232;mso-wrap-style:none" filled="f" stroked="f">
                <v:textbox style="mso-next-textbox:#_x0000_s1410;mso-fit-shape-to-text:t" inset="0,0,0,0">
                  <w:txbxContent>
                    <w:p w:rsidR="000B433A" w:rsidRPr="00E566D5" w:rsidRDefault="000B433A" w:rsidP="00E566D5">
                      <w:pPr>
                        <w:rPr>
                          <w:rFonts w:cs="Calibri"/>
                          <w:color w:val="000000"/>
                          <w:sz w:val="8"/>
                          <w:szCs w:val="8"/>
                          <w:lang w:val="en-US"/>
                        </w:rPr>
                      </w:pPr>
                      <w:r w:rsidRPr="00E566D5">
                        <w:rPr>
                          <w:rFonts w:cs="Calibri"/>
                          <w:color w:val="000000"/>
                          <w:sz w:val="8"/>
                          <w:szCs w:val="8"/>
                          <w:lang w:val="en-US"/>
                        </w:rPr>
                        <w:t>Heizölgewinnung</w:t>
                      </w:r>
                    </w:p>
                  </w:txbxContent>
                </v:textbox>
              </v:rect>
              <v:rect id="_x0000_s1411" style="position:absolute;left:8037;top:-137;width:55;height:49" fillcolor="#929292" stroked="f"/>
              <v:rect id="_x0000_s1412" style="position:absolute;left:8107;top:-161;width:291;height:232;mso-wrap-style:none" filled="f" stroked="f">
                <v:textbox style="mso-next-textbox:#_x0000_s1412;mso-fit-shape-to-text:t" inset="0,0,0,0">
                  <w:txbxContent>
                    <w:p w:rsidR="000B433A" w:rsidRDefault="000B433A">
                      <w:r>
                        <w:rPr>
                          <w:rFonts w:cs="Calibri"/>
                          <w:color w:val="000000"/>
                          <w:sz w:val="8"/>
                          <w:szCs w:val="8"/>
                          <w:lang w:val="en-US"/>
                        </w:rPr>
                        <w:t>Industrie</w:t>
                      </w:r>
                    </w:p>
                  </w:txbxContent>
                </v:textbox>
              </v:rect>
              <v:rect id="_x0000_s1413" style="position:absolute;left:8037;top:11;width:55;height:49" fillcolor="#d26e2a" stroked="f"/>
              <v:rect id="_x0000_s1414" style="position:absolute;left:8107;top:-13;width:602;height:689;mso-wrap-style:none" filled="f" stroked="f">
                <v:textbox style="mso-next-textbox:#_x0000_s1414;mso-fit-shape-to-text:t" inset="0,0,0,0">
                  <w:txbxContent>
                    <w:p w:rsidR="000B433A" w:rsidRDefault="000B433A" w:rsidP="00C94D7A">
                      <w:proofErr w:type="gramStart"/>
                      <w:r>
                        <w:rPr>
                          <w:rFonts w:cs="Calibri"/>
                          <w:color w:val="000000"/>
                          <w:sz w:val="8"/>
                          <w:szCs w:val="8"/>
                          <w:lang w:val="en-US"/>
                        </w:rPr>
                        <w:t>Wohnen + Dienstl.</w:t>
                      </w:r>
                      <w:proofErr w:type="gramEnd"/>
                    </w:p>
                    <w:p w:rsidR="000B433A" w:rsidRPr="00C94D7A" w:rsidRDefault="000B433A" w:rsidP="00C94D7A"/>
                  </w:txbxContent>
                </v:textbox>
              </v:rect>
              <v:rect id="_x0000_s1415" style="position:absolute;left:8037;top:158;width:55;height:49" fillcolor="#3b64ad" stroked="f"/>
              <v:rect id="_x0000_s1416" style="position:absolute;left:8107;top:136;width:245;height:232;mso-wrap-style:none" filled="f" stroked="f">
                <v:textbox style="mso-next-textbox:#_x0000_s1416;mso-fit-shape-to-text:t" inset="0,0,0,0">
                  <w:txbxContent>
                    <w:p w:rsidR="000B433A" w:rsidRDefault="000B433A">
                      <w:r>
                        <w:rPr>
                          <w:rFonts w:cs="Calibri"/>
                          <w:color w:val="000000"/>
                          <w:sz w:val="8"/>
                          <w:szCs w:val="8"/>
                          <w:lang w:val="en-US"/>
                        </w:rPr>
                        <w:t>Energie</w:t>
                      </w:r>
                    </w:p>
                  </w:txbxContent>
                </v:textbox>
              </v:rect>
              <v:shape id="_x0000_s1417" style="position:absolute;left:5910;top:-1342;width:2957;height:1777" coordsize="7696,4624" path="m,8hdc,4,4,,8,hal7688,hdc7693,,7696,4,7696,8hal7696,4616hdc7696,4621,7693,4624,7688,4624hal8,4624hdc4,4624,,4621,,4616hal,8hdxm16,4616hal8,4608r7680,l7680,4616,7680,8r8,8l8,16,16,8r,4608hdxe" fillcolor="#898989" strokecolor="#898989" strokeweight="0">
                <v:path arrowok="t"/>
                <o:lock v:ext="edit" verticies="t"/>
              </v:shape>
              <v:rect id="_x0000_s1418" style="position:absolute;left:4392;top:435;width:2957;height:1777" stroked="f"/>
              <v:rect id="_x0000_s1419" style="position:absolute;left:4921;top:872;width:1524;height:1032" stroked="f"/>
              <v:shape id="_x0000_s1420" style="position:absolute;left:4924;top:865;width:1518;height:910" coordsize="1518,910" path="m,904r1518,l1518,910,,910r,-6xm,775r1518,l1518,781,,781r,-6xm,646r1518,l1518,652,,652r,-6xm,517r1518,l1518,523,,523r,-6xm,388r1518,l1518,394,,394r,-6xm,259r1518,l1518,265,,265r,-6xm,130r1518,l1518,136,,136r,-6xm,l1518,r,7l,7,,xe" fillcolor="#898989" strokecolor="#898989" strokeweight=".3pt">
                <v:stroke joinstyle="bevel"/>
                <v:path arrowok="t"/>
                <o:lock v:ext="edit" verticies="t"/>
              </v:shape>
              <v:shape id="_x0000_s1421" style="position:absolute;left:5037;top:1880;width:1291;height:18" coordsize="1291,18" path="m,l148,r,18l,18,,xm375,6r154,l529,18r-154,l375,6xm757,l910,r,18l757,18,757,xm1138,r153,l1291,18r-153,l1138,xe" fillcolor="#3b64ad" stroked="f">
                <v:path arrowok="t"/>
                <o:lock v:ext="edit" verticies="t"/>
              </v:shape>
              <v:shape id="_x0000_s1422" style="position:absolute;left:5037;top:1499;width:1291;height:387" coordsize="1291,387" path="m,55r148,l148,381,,381,,55xm375,12r154,l529,387r-154,l375,12xm757,l910,r,381l757,381,757,xm1138,110r153,l1291,381r-153,l1138,110xe" fillcolor="#d26e2a" stroked="f">
                <v:path arrowok="t"/>
                <o:lock v:ext="edit" verticies="t"/>
              </v:shape>
              <v:shape id="_x0000_s1423" style="position:absolute;left:5037;top:1154;width:1291;height:455" coordsize="1291,455" path="m,l148,r,400l,400,,xm375,252r154,l529,357r-154,l375,252xm757,240r153,l910,345r-153,l757,240xm1138,345r153,l1291,455r-153,l1138,345xe" fillcolor="#929292" stroked="f">
                <v:path arrowok="t"/>
                <o:lock v:ext="edit" verticies="t"/>
              </v:shape>
              <v:shape id="_x0000_s1424" style="position:absolute;left:5037;top:945;width:1291;height:554" coordsize="1291,554" path="m,l148,r,209l,209,,xm375,363r154,l529,461r-154,l375,363xm757,388r153,l910,449r-153,l757,388xm1138,498r153,l1291,554r-153,l1138,498xe" fillcolor="#62993e" stroked="f">
                <v:path arrowok="t"/>
                <o:lock v:ext="edit" verticies="t"/>
              </v:shape>
              <v:shape id="_x0000_s1425" style="position:absolute;left:5037;top:933;width:1291;height:510" coordsize="1291,510" path="m,l148,r,12l,12,,xm375,363r154,l529,375r-154,l375,363xm757,387r153,l910,400r-153,l757,387xm1138,492r153,l1291,510r-153,l1138,492xe" fillcolor="#8fa2d4" stroked="f">
                <v:path arrowok="t"/>
                <o:lock v:ext="edit" verticies="t"/>
              </v:shape>
              <v:shape id="_x0000_s1426" style="position:absolute;left:5037;top:921;width:1291;height:504" coordsize="1291,504" path="m,l148,r,12l,12,,xm375,356r154,l529,375r-154,l375,356xm757,381r153,l910,399r-153,l757,381xm1138,492r153,l1291,504r-153,l1138,492xe" fillcolor="#f1a78a" stroked="f">
                <v:path arrowok="t"/>
                <o:lock v:ext="edit" verticies="t"/>
              </v:shape>
            </v:group>
            <v:rect id="_x0000_s1427" style="position:absolute;left:4921;top:868;width:6;height:1033" fillcolor="#898989" strokecolor="#898989" strokeweight=".3pt">
              <v:stroke joinstyle="bevel"/>
            </v:rect>
            <v:shape id="_x0000_s1428" style="position:absolute;left:4893;top:865;width:31;height:1039" coordsize="31,1039" path="m,1033r31,l31,1039r-31,l,1033xm,904r31,l31,910,,910r,-6xm,775r31,l31,781,,781r,-6xm,646r31,l31,652,,652r,-6xm,517r31,l31,523,,523r,-6xm,388r31,l31,394,,394r,-6xm,259r31,l31,265,,265r,-6xm,130r31,l31,136,,136r,-6xm,l31,r,7l,7,,xe" fillcolor="#898989" strokecolor="#898989" strokeweight=".3pt">
              <v:stroke joinstyle="bevel"/>
              <v:path arrowok="t"/>
              <o:lock v:ext="edit" verticies="t"/>
            </v:shape>
            <v:rect id="_x0000_s1429" style="position:absolute;left:4924;top:1898;width:1518;height:6" fillcolor="#898989" strokecolor="#898989" strokeweight=".3pt">
              <v:stroke joinstyle="bevel"/>
            </v:rect>
            <v:shape id="_x0000_s1430" style="position:absolute;left:4921;top:1901;width:1524;height:25" coordsize="1524,25" path="m6,r,25l,25,,,6,xm381,r,25l375,25,375,r6,xm762,r,25l756,25,756,r6,xm1143,r,25l1137,25r,-25l1143,xm1524,r,25l1518,25r,-25l1524,xe" fillcolor="#898989" strokecolor="#898989" strokeweight=".3pt">
              <v:stroke joinstyle="bevel"/>
              <v:path arrowok="t"/>
              <o:lock v:ext="edit" verticies="t"/>
            </v:shape>
            <v:rect id="_x0000_s1431" style="position:absolute;left:4803;top:1855;width:41;height:232;mso-wrap-style:none" filled="f" stroked="f">
              <v:textbox style="mso-next-textbox:#_x0000_s1431;mso-fit-shape-to-text:t" inset="0,0,0,0">
                <w:txbxContent>
                  <w:p w:rsidR="000B433A" w:rsidRDefault="000B433A">
                    <w:r>
                      <w:rPr>
                        <w:rFonts w:cs="Calibri"/>
                        <w:color w:val="000000"/>
                        <w:sz w:val="8"/>
                        <w:szCs w:val="8"/>
                        <w:lang w:val="en-US"/>
                      </w:rPr>
                      <w:t>0</w:t>
                    </w:r>
                  </w:p>
                </w:txbxContent>
              </v:textbox>
            </v:rect>
            <v:rect id="_x0000_s1432" style="position:absolute;left:4664;top:1726;width:181;height:232;mso-wrap-style:none" filled="f" stroked="f">
              <v:textbox style="mso-next-textbox:#_x0000_s1432;mso-fit-shape-to-text:t" inset="0,0,0,0">
                <w:txbxContent>
                  <w:p w:rsidR="000B433A" w:rsidRDefault="000B433A">
                    <w:r>
                      <w:rPr>
                        <w:rFonts w:cs="Calibri"/>
                        <w:color w:val="000000"/>
                        <w:sz w:val="8"/>
                        <w:szCs w:val="8"/>
                        <w:lang w:val="en-US"/>
                      </w:rPr>
                      <w:t>2 000</w:t>
                    </w:r>
                  </w:p>
                </w:txbxContent>
              </v:textbox>
            </v:rect>
            <v:rect id="_x0000_s1433" style="position:absolute;left:4664;top:1597;width:181;height:232;mso-wrap-style:none" filled="f" stroked="f">
              <v:textbox style="mso-next-textbox:#_x0000_s1433;mso-fit-shape-to-text:t" inset="0,0,0,0">
                <w:txbxContent>
                  <w:p w:rsidR="000B433A" w:rsidRDefault="000B433A">
                    <w:r>
                      <w:rPr>
                        <w:rFonts w:cs="Calibri"/>
                        <w:color w:val="000000"/>
                        <w:sz w:val="8"/>
                        <w:szCs w:val="8"/>
                        <w:lang w:val="en-US"/>
                      </w:rPr>
                      <w:t>4 000</w:t>
                    </w:r>
                  </w:p>
                </w:txbxContent>
              </v:textbox>
            </v:rect>
            <v:rect id="_x0000_s1434" style="position:absolute;left:4664;top:1468;width:181;height:232;mso-wrap-style:none" filled="f" stroked="f">
              <v:textbox style="mso-next-textbox:#_x0000_s1434;mso-fit-shape-to-text:t" inset="0,0,0,0">
                <w:txbxContent>
                  <w:p w:rsidR="000B433A" w:rsidRDefault="000B433A">
                    <w:r>
                      <w:rPr>
                        <w:rFonts w:cs="Calibri"/>
                        <w:color w:val="000000"/>
                        <w:sz w:val="8"/>
                        <w:szCs w:val="8"/>
                        <w:lang w:val="en-US"/>
                      </w:rPr>
                      <w:t>6 000</w:t>
                    </w:r>
                  </w:p>
                </w:txbxContent>
              </v:textbox>
            </v:rect>
            <v:rect id="_x0000_s1435" style="position:absolute;left:4664;top:1341;width:181;height:232;mso-wrap-style:none" filled="f" stroked="f">
              <v:textbox style="mso-next-textbox:#_x0000_s1435;mso-fit-shape-to-text:t" inset="0,0,0,0">
                <w:txbxContent>
                  <w:p w:rsidR="000B433A" w:rsidRDefault="000B433A">
                    <w:r>
                      <w:rPr>
                        <w:rFonts w:cs="Calibri"/>
                        <w:color w:val="000000"/>
                        <w:sz w:val="8"/>
                        <w:szCs w:val="8"/>
                        <w:lang w:val="en-US"/>
                      </w:rPr>
                      <w:t>8 000</w:t>
                    </w:r>
                  </w:p>
                </w:txbxContent>
              </v:textbox>
            </v:rect>
            <v:rect id="_x0000_s1436" style="position:absolute;left:4618;top:1211;width:221;height:232;mso-wrap-style:none" filled="f" stroked="f">
              <v:textbox style="mso-next-textbox:#_x0000_s1436;mso-fit-shape-to-text:t" inset="0,0,0,0">
                <w:txbxContent>
                  <w:p w:rsidR="000B433A" w:rsidRDefault="000B433A">
                    <w:r>
                      <w:rPr>
                        <w:rFonts w:cs="Calibri"/>
                        <w:color w:val="000000"/>
                        <w:sz w:val="8"/>
                        <w:szCs w:val="8"/>
                        <w:lang w:val="en-US"/>
                      </w:rPr>
                      <w:t>10 000</w:t>
                    </w:r>
                  </w:p>
                </w:txbxContent>
              </v:textbox>
            </v:rect>
            <v:rect id="_x0000_s1437" style="position:absolute;left:4618;top:1082;width:221;height:232;mso-wrap-style:none" filled="f" stroked="f">
              <v:textbox style="mso-next-textbox:#_x0000_s1437;mso-fit-shape-to-text:t" inset="0,0,0,0">
                <w:txbxContent>
                  <w:p w:rsidR="000B433A" w:rsidRDefault="000B433A">
                    <w:r>
                      <w:rPr>
                        <w:rFonts w:cs="Calibri"/>
                        <w:color w:val="000000"/>
                        <w:sz w:val="8"/>
                        <w:szCs w:val="8"/>
                        <w:lang w:val="en-US"/>
                      </w:rPr>
                      <w:t>12 000</w:t>
                    </w:r>
                  </w:p>
                </w:txbxContent>
              </v:textbox>
            </v:rect>
            <v:rect id="_x0000_s1438" style="position:absolute;left:4618;top:953;width:221;height:232;mso-wrap-style:none" filled="f" stroked="f">
              <v:textbox style="mso-next-textbox:#_x0000_s1438;mso-fit-shape-to-text:t" inset="0,0,0,0">
                <w:txbxContent>
                  <w:p w:rsidR="000B433A" w:rsidRDefault="000B433A">
                    <w:r>
                      <w:rPr>
                        <w:rFonts w:cs="Calibri"/>
                        <w:color w:val="000000"/>
                        <w:sz w:val="8"/>
                        <w:szCs w:val="8"/>
                        <w:lang w:val="en-US"/>
                      </w:rPr>
                      <w:t>14 000</w:t>
                    </w:r>
                  </w:p>
                </w:txbxContent>
              </v:textbox>
            </v:rect>
            <v:rect id="_x0000_s1439" style="position:absolute;left:4618;top:824;width:221;height:232;mso-wrap-style:none" filled="f" stroked="f">
              <v:textbox style="mso-next-textbox:#_x0000_s1439;mso-fit-shape-to-text:t" inset="0,0,0,0">
                <w:txbxContent>
                  <w:p w:rsidR="000B433A" w:rsidRDefault="000B433A">
                    <w:r>
                      <w:rPr>
                        <w:rFonts w:cs="Calibri"/>
                        <w:color w:val="000000"/>
                        <w:sz w:val="8"/>
                        <w:szCs w:val="8"/>
                        <w:lang w:val="en-US"/>
                      </w:rPr>
                      <w:t>16 000</w:t>
                    </w:r>
                  </w:p>
                </w:txbxContent>
              </v:textbox>
            </v:rect>
            <v:rect id="_x0000_s1440" style="position:absolute;left:5029;top:1961;width:163;height:232;mso-wrap-style:none" filled="f" stroked="f">
              <v:textbox style="mso-next-textbox:#_x0000_s1440;mso-fit-shape-to-text:t" inset="0,0,0,0">
                <w:txbxContent>
                  <w:p w:rsidR="000B433A" w:rsidRDefault="000B433A">
                    <w:r>
                      <w:rPr>
                        <w:rFonts w:cs="Calibri"/>
                        <w:color w:val="000000"/>
                        <w:sz w:val="8"/>
                        <w:szCs w:val="8"/>
                        <w:lang w:val="en-US"/>
                      </w:rPr>
                      <w:t>2005</w:t>
                    </w:r>
                  </w:p>
                </w:txbxContent>
              </v:textbox>
            </v:rect>
            <v:rect id="_x0000_s1441" style="position:absolute;left:5409;top:1961;width:163;height:232;mso-wrap-style:none" filled="f" stroked="f">
              <v:textbox style="mso-next-textbox:#_x0000_s1441;mso-fit-shape-to-text:t" inset="0,0,0,0">
                <w:txbxContent>
                  <w:p w:rsidR="000B433A" w:rsidRDefault="000B433A">
                    <w:r>
                      <w:rPr>
                        <w:rFonts w:cs="Calibri"/>
                        <w:color w:val="000000"/>
                        <w:sz w:val="8"/>
                        <w:szCs w:val="8"/>
                        <w:lang w:val="en-US"/>
                      </w:rPr>
                      <w:t>2015</w:t>
                    </w:r>
                  </w:p>
                </w:txbxContent>
              </v:textbox>
            </v:rect>
            <v:rect id="_x0000_s1442" style="position:absolute;left:5691;top:1961;width:359;height:232;mso-wrap-style:none" filled="f" stroked="f">
              <v:textbox style="mso-next-textbox:#_x0000_s1442;mso-fit-shape-to-text:t" inset="0,0,0,0">
                <w:txbxContent>
                  <w:p w:rsidR="000B433A" w:rsidRDefault="000B433A">
                    <w:r>
                      <w:rPr>
                        <w:rFonts w:cs="Calibri"/>
                        <w:color w:val="000000"/>
                        <w:sz w:val="8"/>
                        <w:szCs w:val="8"/>
                        <w:lang w:val="en-US"/>
                      </w:rPr>
                      <w:t>2030 WEM</w:t>
                    </w:r>
                  </w:p>
                </w:txbxContent>
              </v:textbox>
            </v:rect>
            <v:rect id="_x0000_s1443" style="position:absolute;left:6064;top:1961;width:367;height:232;mso-wrap-style:none" filled="f" stroked="f">
              <v:textbox style="mso-next-textbox:#_x0000_s1443;mso-fit-shape-to-text:t" inset="0,0,0,0">
                <w:txbxContent>
                  <w:p w:rsidR="000B433A" w:rsidRDefault="000B433A">
                    <w:r>
                      <w:rPr>
                        <w:rFonts w:cs="Calibri"/>
                        <w:color w:val="000000"/>
                        <w:sz w:val="8"/>
                        <w:szCs w:val="8"/>
                        <w:lang w:val="en-US"/>
                      </w:rPr>
                      <w:t>2030 WAM</w:t>
                    </w:r>
                  </w:p>
                </w:txbxContent>
              </v:textbox>
            </v:rect>
            <v:rect id="_x0000_s1444" style="position:absolute;left:4577;top:1525;width:66;height:148;mso-wrap-style:none" filled="f" stroked="f">
              <v:textbox style="mso-next-textbox:#_x0000_s1444;mso-fit-shape-to-text:t" inset="0,0,0,0">
                <w:txbxContent>
                  <w:p w:rsidR="000B433A" w:rsidRDefault="000B433A">
                    <w:proofErr w:type="gramStart"/>
                    <w:r>
                      <w:rPr>
                        <w:rFonts w:cs="Calibri"/>
                        <w:b/>
                        <w:bCs/>
                        <w:color w:val="000000"/>
                        <w:sz w:val="2"/>
                        <w:szCs w:val="2"/>
                        <w:lang w:val="en-US"/>
                      </w:rPr>
                      <w:t>t</w:t>
                    </w:r>
                    <w:proofErr w:type="gramEnd"/>
                    <w:r>
                      <w:rPr>
                        <w:rFonts w:cs="Calibri"/>
                        <w:b/>
                        <w:bCs/>
                        <w:color w:val="000000"/>
                        <w:sz w:val="2"/>
                        <w:szCs w:val="2"/>
                        <w:lang w:val="en-US"/>
                      </w:rPr>
                      <w:t xml:space="preserve"> PM2.5</w:t>
                    </w:r>
                  </w:p>
                </w:txbxContent>
              </v:textbox>
            </v:rect>
            <v:rect id="_x0000_s1445" style="position:absolute;left:4838;top:500;width:2043;height:773;mso-wrap-style:none" filled="f" stroked="f">
              <v:textbox style="mso-next-textbox:#_x0000_s1445;mso-fit-shape-to-text:t" inset="0,0,0,0">
                <w:txbxContent>
                  <w:p w:rsidR="000B433A" w:rsidRPr="00B95FAC" w:rsidRDefault="000B433A" w:rsidP="00B95FAC">
                    <w:pPr>
                      <w:rPr>
                        <w:lang w:val="de-DE"/>
                      </w:rPr>
                    </w:pPr>
                    <w:r w:rsidRPr="00B95FAC">
                      <w:rPr>
                        <w:rFonts w:cs="Calibri"/>
                        <w:b/>
                        <w:bCs/>
                        <w:color w:val="000000"/>
                        <w:sz w:val="14"/>
                        <w:szCs w:val="14"/>
                        <w:lang w:val="de-DE"/>
                      </w:rPr>
                      <w:t>Entwicklung der PM2</w:t>
                    </w:r>
                    <w:r>
                      <w:rPr>
                        <w:rFonts w:cs="Calibri"/>
                        <w:b/>
                        <w:bCs/>
                        <w:color w:val="000000"/>
                        <w:sz w:val="14"/>
                        <w:szCs w:val="14"/>
                        <w:lang w:val="de-DE"/>
                      </w:rPr>
                      <w:t>,</w:t>
                    </w:r>
                    <w:r w:rsidRPr="00B95FAC">
                      <w:rPr>
                        <w:rFonts w:cs="Calibri"/>
                        <w:b/>
                        <w:bCs/>
                        <w:color w:val="000000"/>
                        <w:sz w:val="14"/>
                        <w:szCs w:val="14"/>
                        <w:lang w:val="de-DE"/>
                      </w:rPr>
                      <w:t>5-Emissionen</w:t>
                    </w:r>
                  </w:p>
                  <w:p w:rsidR="000B433A" w:rsidRPr="00B95FAC" w:rsidRDefault="000B433A">
                    <w:pPr>
                      <w:rPr>
                        <w:lang w:val="de-DE"/>
                      </w:rPr>
                    </w:pPr>
                  </w:p>
                </w:txbxContent>
              </v:textbox>
            </v:rect>
            <v:rect id="_x0000_s1446" style="position:absolute;left:5453;top:678;width:362;height:317;mso-wrap-style:none" filled="f" stroked="f">
              <v:textbox style="mso-next-textbox:#_x0000_s1446;mso-fit-shape-to-text:t" inset="0,0,0,0">
                <w:txbxContent>
                  <w:p w:rsidR="000B433A" w:rsidRDefault="000B433A">
                    <w:r>
                      <w:rPr>
                        <w:rFonts w:cs="Calibri"/>
                        <w:b/>
                        <w:bCs/>
                        <w:color w:val="000000"/>
                        <w:sz w:val="14"/>
                        <w:szCs w:val="14"/>
                        <w:lang w:val="en-US"/>
                      </w:rPr>
                      <w:t>(WEM</w:t>
                    </w:r>
                  </w:p>
                </w:txbxContent>
              </v:textbox>
            </v:rect>
            <v:rect id="_x0000_s1447" style="position:absolute;left:5840;top:678;width:43;height:317;mso-wrap-style:none" filled="f" stroked="f">
              <v:textbox style="mso-next-textbox:#_x0000_s1447;mso-fit-shape-to-text:t" inset="0,0,0,0">
                <w:txbxContent>
                  <w:p w:rsidR="000B433A" w:rsidRDefault="000B433A">
                    <w:r>
                      <w:rPr>
                        <w:rFonts w:cs="Calibri"/>
                        <w:b/>
                        <w:bCs/>
                        <w:color w:val="000000"/>
                        <w:sz w:val="14"/>
                        <w:szCs w:val="14"/>
                        <w:lang w:val="en-US"/>
                      </w:rPr>
                      <w:t>-</w:t>
                    </w:r>
                  </w:p>
                </w:txbxContent>
              </v:textbox>
            </v:rect>
            <v:rect id="_x0000_s1448" style="position:absolute;left:5883;top:678;width:378;height:317;mso-wrap-style:none" filled="f" stroked="f">
              <v:textbox style="mso-next-textbox:#_x0000_s1448;mso-fit-shape-to-text:t" inset="0,0,0,0">
                <w:txbxContent>
                  <w:p w:rsidR="000B433A" w:rsidRDefault="000B433A">
                    <w:r>
                      <w:rPr>
                        <w:rFonts w:cs="Calibri"/>
                        <w:b/>
                        <w:bCs/>
                        <w:color w:val="000000"/>
                        <w:sz w:val="14"/>
                        <w:szCs w:val="14"/>
                        <w:lang w:val="en-US"/>
                      </w:rPr>
                      <w:t>WAM)</w:t>
                    </w:r>
                  </w:p>
                </w:txbxContent>
              </v:textbox>
            </v:rect>
            <v:rect id="_x0000_s1449" style="position:absolute;left:6519;top:921;width:55;height:55" fillcolor="#f1a78a" stroked="f"/>
            <v:rect id="_x0000_s1450" style="position:absolute;left:6588;top:899;width:414;height:689;mso-wrap-style:none" filled="f" stroked="f">
              <v:textbox style="mso-next-textbox:#_x0000_s1450;mso-fit-shape-to-text:t" inset="0,0,0,0">
                <w:txbxContent>
                  <w:p w:rsidR="000B433A" w:rsidRDefault="000B433A" w:rsidP="00EF56E6">
                    <w:proofErr w:type="gramStart"/>
                    <w:r>
                      <w:rPr>
                        <w:rFonts w:cs="Calibri"/>
                        <w:color w:val="000000"/>
                        <w:sz w:val="8"/>
                        <w:szCs w:val="8"/>
                        <w:lang w:val="en-US"/>
                      </w:rPr>
                      <w:t>Landwirtsch.</w:t>
                    </w:r>
                    <w:proofErr w:type="gramEnd"/>
                  </w:p>
                  <w:p w:rsidR="000B433A" w:rsidRPr="00EF56E6" w:rsidRDefault="000B433A" w:rsidP="00EF56E6"/>
                </w:txbxContent>
              </v:textbox>
            </v:rect>
            <v:rect id="_x0000_s1451" style="position:absolute;left:6519;top:1068;width:55;height:56" fillcolor="#8fa2d4" stroked="f"/>
            <v:rect id="_x0000_s1452" style="position:absolute;left:6588;top:1048;width:228;height:689;mso-wrap-style:none" filled="f" stroked="f">
              <v:textbox style="mso-next-textbox:#_x0000_s1452;mso-fit-shape-to-text:t" inset="0,0,0,0">
                <w:txbxContent>
                  <w:p w:rsidR="000B433A" w:rsidRDefault="000B433A" w:rsidP="00EF56E6">
                    <w:r>
                      <w:rPr>
                        <w:rFonts w:cs="Calibri"/>
                        <w:color w:val="000000"/>
                        <w:sz w:val="8"/>
                        <w:szCs w:val="8"/>
                        <w:lang w:val="en-US"/>
                      </w:rPr>
                      <w:t>Abfälle</w:t>
                    </w:r>
                  </w:p>
                  <w:p w:rsidR="000B433A" w:rsidRPr="00EF56E6" w:rsidRDefault="000B433A" w:rsidP="00EF56E6"/>
                </w:txbxContent>
              </v:textbox>
            </v:rect>
            <v:rect id="_x0000_s1453" style="position:absolute;left:6519;top:1216;width:55;height:55" fillcolor="#62993e" stroked="f"/>
            <v:rect id="_x0000_s1454" style="position:absolute;left:6588;top:1196;width:318;height:232;mso-wrap-style:none" filled="f" stroked="f">
              <v:textbox style="mso-next-textbox:#_x0000_s1454;mso-fit-shape-to-text:t" inset="0,0,0,0">
                <w:txbxContent>
                  <w:p w:rsidR="000B433A" w:rsidRDefault="000B433A">
                    <w:r>
                      <w:rPr>
                        <w:rFonts w:cs="Calibri"/>
                        <w:color w:val="000000"/>
                        <w:sz w:val="8"/>
                        <w:szCs w:val="8"/>
                        <w:lang w:val="en-US"/>
                      </w:rPr>
                      <w:t>Transport</w:t>
                    </w:r>
                  </w:p>
                </w:txbxContent>
              </v:textbox>
            </v:rect>
            <v:rect id="_x0000_s1455" style="position:absolute;left:6519;top:1370;width:55;height:49" fillcolor="#5089bc" stroked="f"/>
            <v:rect id="_x0000_s1456" style="position:absolute;left:6588;top:1344;width:345;height:689;mso-wrap-style:none" filled="f" stroked="f">
              <v:textbox style="mso-next-textbox:#_x0000_s1456;mso-fit-shape-to-text:t" inset="0,0,0,0">
                <w:txbxContent>
                  <w:p w:rsidR="000B433A" w:rsidRDefault="000B433A" w:rsidP="00EF56E6">
                    <w:proofErr w:type="gramStart"/>
                    <w:r>
                      <w:rPr>
                        <w:rFonts w:cs="Calibri"/>
                        <w:color w:val="000000"/>
                        <w:sz w:val="8"/>
                        <w:szCs w:val="8"/>
                        <w:lang w:val="en-US"/>
                      </w:rPr>
                      <w:t>Lösungsm.</w:t>
                    </w:r>
                    <w:proofErr w:type="gramEnd"/>
                  </w:p>
                  <w:p w:rsidR="000B433A" w:rsidRPr="00EF56E6" w:rsidRDefault="000B433A" w:rsidP="00EF56E6"/>
                </w:txbxContent>
              </v:textbox>
            </v:rect>
            <v:rect id="_x0000_s1457" style="position:absolute;left:6519;top:1517;width:55;height:49" fillcolor="#e2aa00" stroked="f"/>
            <v:rect id="_x0000_s1458" style="position:absolute;left:6588;top:1492;width:559;height:232;mso-wrap-style:none" filled="f" stroked="f">
              <v:textbox style="mso-next-textbox:#_x0000_s1458;mso-fit-shape-to-text:t" inset="0,0,0,0">
                <w:txbxContent>
                  <w:p w:rsidR="000B433A" w:rsidRPr="00E566D5" w:rsidRDefault="000B433A" w:rsidP="00E566D5">
                    <w:pPr>
                      <w:rPr>
                        <w:rFonts w:cs="Calibri"/>
                        <w:color w:val="000000"/>
                        <w:sz w:val="8"/>
                        <w:szCs w:val="8"/>
                        <w:lang w:val="en-US"/>
                      </w:rPr>
                    </w:pPr>
                    <w:r w:rsidRPr="00E566D5">
                      <w:rPr>
                        <w:rFonts w:cs="Calibri"/>
                        <w:color w:val="000000"/>
                        <w:sz w:val="8"/>
                        <w:szCs w:val="8"/>
                        <w:lang w:val="en-US"/>
                      </w:rPr>
                      <w:t>Heizölgewinnung</w:t>
                    </w:r>
                  </w:p>
                </w:txbxContent>
              </v:textbox>
            </v:rect>
            <v:rect id="_x0000_s1459" style="position:absolute;left:6519;top:1665;width:55;height:49" fillcolor="#929292" stroked="f"/>
            <v:rect id="_x0000_s1460" style="position:absolute;left:6588;top:1641;width:291;height:232;mso-wrap-style:none" filled="f" stroked="f">
              <v:textbox style="mso-next-textbox:#_x0000_s1460;mso-fit-shape-to-text:t" inset="0,0,0,0">
                <w:txbxContent>
                  <w:p w:rsidR="000B433A" w:rsidRDefault="000B433A">
                    <w:r>
                      <w:rPr>
                        <w:rFonts w:cs="Calibri"/>
                        <w:color w:val="000000"/>
                        <w:sz w:val="8"/>
                        <w:szCs w:val="8"/>
                        <w:lang w:val="en-US"/>
                      </w:rPr>
                      <w:t>Industrie</w:t>
                    </w:r>
                  </w:p>
                </w:txbxContent>
              </v:textbox>
            </v:rect>
            <v:rect id="_x0000_s1461" style="position:absolute;left:6519;top:1812;width:55;height:49" fillcolor="#d26e2a" stroked="f"/>
            <v:rect id="_x0000_s1462" style="position:absolute;left:6588;top:1789;width:602;height:689;mso-wrap-style:none" filled="f" stroked="f">
              <v:textbox style="mso-next-textbox:#_x0000_s1462;mso-fit-shape-to-text:t" inset="0,0,0,0">
                <w:txbxContent>
                  <w:p w:rsidR="000B433A" w:rsidRDefault="000B433A" w:rsidP="00C94D7A">
                    <w:proofErr w:type="gramStart"/>
                    <w:r>
                      <w:rPr>
                        <w:rFonts w:cs="Calibri"/>
                        <w:color w:val="000000"/>
                        <w:sz w:val="8"/>
                        <w:szCs w:val="8"/>
                        <w:lang w:val="en-US"/>
                      </w:rPr>
                      <w:t>Wohnen + Dienstl.</w:t>
                    </w:r>
                    <w:proofErr w:type="gramEnd"/>
                  </w:p>
                  <w:p w:rsidR="000B433A" w:rsidRPr="00C94D7A" w:rsidRDefault="000B433A" w:rsidP="00C94D7A"/>
                </w:txbxContent>
              </v:textbox>
            </v:rect>
            <v:rect id="_x0000_s1463" style="position:absolute;left:6519;top:1960;width:55;height:49" fillcolor="#3b64ad" stroked="f"/>
            <v:rect id="_x0000_s1464" style="position:absolute;left:6588;top:1937;width:245;height:232;mso-wrap-style:none" filled="f" stroked="f">
              <v:textbox style="mso-next-textbox:#_x0000_s1464;mso-fit-shape-to-text:t" inset="0,0,0,0">
                <w:txbxContent>
                  <w:p w:rsidR="000B433A" w:rsidRDefault="000B433A">
                    <w:r>
                      <w:rPr>
                        <w:rFonts w:cs="Calibri"/>
                        <w:color w:val="000000"/>
                        <w:sz w:val="8"/>
                        <w:szCs w:val="8"/>
                        <w:lang w:val="en-US"/>
                      </w:rPr>
                      <w:t>Energie</w:t>
                    </w:r>
                  </w:p>
                </w:txbxContent>
              </v:textbox>
            </v:rect>
            <v:shape id="_x0000_s1465" style="position:absolute;left:4392;top:435;width:2957;height:1777" coordsize="7696,4624" path="m,8hdc,4,4,,8,hal7688,hdc7693,,7696,4,7696,8hal7696,4616hdc7696,4621,7693,4624,7688,4624hal8,4624hdc4,4624,,4621,,4616hal,8hdxm16,4616hal8,4608r7680,l7680,4616,7680,8r8,8l8,16,16,8r,4608hdxe" fillcolor="#898989" strokecolor="#898989" strokeweight="0">
              <v:path arrowok="t"/>
              <o:lock v:ext="edit" verticies="t"/>
            </v:shape>
            <w10:wrap type="none"/>
            <w10:anchorlock/>
          </v:group>
        </w:pict>
      </w:r>
    </w:p>
    <w:p w:rsidR="000B433A" w:rsidRPr="00505DDA" w:rsidRDefault="000B433A" w:rsidP="00505DDA">
      <w:pPr>
        <w:pStyle w:val="Lgende"/>
        <w:spacing w:after="0"/>
        <w:rPr>
          <w:color w:val="808080"/>
          <w:sz w:val="16"/>
          <w:lang w:val="de-DE"/>
        </w:rPr>
      </w:pPr>
      <w:r>
        <w:rPr>
          <w:color w:val="808080"/>
          <w:sz w:val="16"/>
          <w:lang w:val="de-DE"/>
        </w:rPr>
        <w:t>Entwicklung der Emissionen von X</w:t>
      </w:r>
    </w:p>
    <w:p w:rsidR="000B433A" w:rsidRPr="00505DDA" w:rsidRDefault="000B433A" w:rsidP="00505DDA">
      <w:pPr>
        <w:pStyle w:val="Lgende"/>
        <w:spacing w:after="0"/>
        <w:rPr>
          <w:color w:val="808080"/>
          <w:sz w:val="16"/>
          <w:lang w:val="de-DE"/>
        </w:rPr>
      </w:pPr>
      <w:r>
        <w:rPr>
          <w:color w:val="808080"/>
          <w:sz w:val="16"/>
          <w:lang w:val="de-DE"/>
        </w:rPr>
        <w:t>Landwirtschaft</w:t>
      </w:r>
    </w:p>
    <w:p w:rsidR="000B433A" w:rsidRPr="00505DDA" w:rsidRDefault="000B433A" w:rsidP="00505DDA">
      <w:pPr>
        <w:pStyle w:val="Lgende"/>
        <w:spacing w:after="0"/>
        <w:rPr>
          <w:color w:val="808080"/>
          <w:sz w:val="16"/>
          <w:lang w:val="de-DE"/>
        </w:rPr>
      </w:pPr>
      <w:r>
        <w:rPr>
          <w:color w:val="808080"/>
          <w:sz w:val="16"/>
          <w:lang w:val="de-DE"/>
        </w:rPr>
        <w:t>Abfälle</w:t>
      </w:r>
    </w:p>
    <w:p w:rsidR="000B433A" w:rsidRPr="00505DDA" w:rsidRDefault="000B433A" w:rsidP="00505DDA">
      <w:pPr>
        <w:pStyle w:val="Lgende"/>
        <w:spacing w:after="0"/>
        <w:rPr>
          <w:color w:val="808080"/>
          <w:sz w:val="16"/>
          <w:lang w:val="de-DE"/>
        </w:rPr>
      </w:pPr>
      <w:r>
        <w:rPr>
          <w:color w:val="808080"/>
          <w:sz w:val="16"/>
          <w:lang w:val="de-DE"/>
        </w:rPr>
        <w:t>Transport</w:t>
      </w:r>
    </w:p>
    <w:p w:rsidR="000B433A" w:rsidRPr="00505DDA" w:rsidRDefault="000B433A" w:rsidP="00505DDA">
      <w:pPr>
        <w:pStyle w:val="Lgende"/>
        <w:spacing w:after="0"/>
        <w:rPr>
          <w:color w:val="808080"/>
          <w:sz w:val="16"/>
          <w:lang w:val="de-DE"/>
        </w:rPr>
      </w:pPr>
      <w:r>
        <w:rPr>
          <w:color w:val="808080"/>
          <w:sz w:val="16"/>
          <w:lang w:val="de-DE"/>
        </w:rPr>
        <w:t>Lösungsmittel</w:t>
      </w:r>
    </w:p>
    <w:p w:rsidR="000B433A" w:rsidRPr="00505DDA" w:rsidRDefault="000B433A" w:rsidP="00505DDA">
      <w:pPr>
        <w:pStyle w:val="Lgende"/>
        <w:spacing w:after="0"/>
        <w:rPr>
          <w:color w:val="808080"/>
          <w:sz w:val="16"/>
          <w:lang w:val="de-DE"/>
        </w:rPr>
      </w:pPr>
      <w:r>
        <w:rPr>
          <w:color w:val="808080"/>
          <w:sz w:val="16"/>
          <w:lang w:val="de-DE"/>
        </w:rPr>
        <w:t>Förderung von Heizöl</w:t>
      </w:r>
    </w:p>
    <w:p w:rsidR="000B433A" w:rsidRPr="00505DDA" w:rsidRDefault="000B433A" w:rsidP="00505DDA">
      <w:pPr>
        <w:pStyle w:val="Lgende"/>
        <w:spacing w:after="0"/>
        <w:rPr>
          <w:color w:val="808080"/>
          <w:sz w:val="16"/>
          <w:lang w:val="de-DE"/>
        </w:rPr>
      </w:pPr>
      <w:r>
        <w:rPr>
          <w:color w:val="808080"/>
          <w:sz w:val="16"/>
          <w:lang w:val="de-DE"/>
        </w:rPr>
        <w:t>Industrie</w:t>
      </w:r>
    </w:p>
    <w:p w:rsidR="000B433A" w:rsidRPr="00505DDA" w:rsidRDefault="000B433A" w:rsidP="00505DDA">
      <w:pPr>
        <w:pStyle w:val="Lgende"/>
        <w:spacing w:after="0"/>
        <w:rPr>
          <w:color w:val="808080"/>
          <w:sz w:val="16"/>
          <w:lang w:val="de-DE"/>
        </w:rPr>
      </w:pPr>
      <w:r>
        <w:rPr>
          <w:color w:val="808080"/>
          <w:sz w:val="16"/>
          <w:lang w:val="de-DE"/>
        </w:rPr>
        <w:t>Wohnungssektor - Dienstleistungen</w:t>
      </w:r>
    </w:p>
    <w:p w:rsidR="000B433A" w:rsidRPr="00505DDA" w:rsidRDefault="000B433A" w:rsidP="00505DDA">
      <w:pPr>
        <w:pStyle w:val="Lgende"/>
        <w:spacing w:after="0"/>
        <w:jc w:val="both"/>
        <w:rPr>
          <w:color w:val="808080"/>
          <w:sz w:val="16"/>
          <w:lang w:val="de-DE"/>
        </w:rPr>
      </w:pPr>
      <w:r>
        <w:rPr>
          <w:color w:val="808080"/>
          <w:sz w:val="16"/>
          <w:lang w:val="de-DE"/>
        </w:rPr>
        <w:t>Energie</w:t>
      </w:r>
    </w:p>
    <w:p w:rsidR="000B433A" w:rsidRPr="00D07F58" w:rsidRDefault="000B433A" w:rsidP="00505DDA">
      <w:pPr>
        <w:pStyle w:val="Lgende"/>
        <w:jc w:val="both"/>
        <w:rPr>
          <w:lang w:val="de-DE"/>
        </w:rPr>
      </w:pPr>
      <w:r>
        <w:rPr>
          <w:lang w:val="de-DE"/>
        </w:rPr>
        <w:t xml:space="preserve">Abbildung </w:t>
      </w:r>
      <w:r w:rsidR="005A6B21">
        <w:rPr>
          <w:lang w:val="de-DE"/>
        </w:rPr>
        <w:fldChar w:fldCharType="begin"/>
      </w:r>
      <w:r>
        <w:rPr>
          <w:lang w:val="de-DE"/>
        </w:rPr>
        <w:instrText xml:space="preserve"> SEQ Figure \* ARABIC </w:instrText>
      </w:r>
      <w:r w:rsidR="005A6B21">
        <w:rPr>
          <w:lang w:val="de-DE"/>
        </w:rPr>
        <w:fldChar w:fldCharType="separate"/>
      </w:r>
      <w:r>
        <w:rPr>
          <w:lang w:val="de-DE"/>
        </w:rPr>
        <w:t>13</w:t>
      </w:r>
      <w:r w:rsidR="005A6B21">
        <w:rPr>
          <w:lang w:val="de-DE"/>
        </w:rPr>
        <w:fldChar w:fldCharType="end"/>
      </w:r>
      <w:r>
        <w:rPr>
          <w:lang w:val="de-DE"/>
        </w:rPr>
        <w:t>: Entwicklung der Luftschadstoffemissionen nach Referenz- und Messszenarien (WEM und WAM)</w:t>
      </w:r>
    </w:p>
    <w:p w:rsidR="000B433A" w:rsidRPr="0022320C" w:rsidRDefault="000B433A" w:rsidP="008F6F57">
      <w:pPr>
        <w:pStyle w:val="TEXTEI7"/>
        <w:rPr>
          <w:rFonts w:ascii="Calibri" w:hAnsi="Calibri" w:cs="Calibri"/>
          <w:sz w:val="24"/>
          <w:szCs w:val="24"/>
          <w:lang w:val="de-DE"/>
        </w:rPr>
      </w:pPr>
      <w:r>
        <w:rPr>
          <w:rFonts w:ascii="Calibri" w:hAnsi="Calibri" w:cs="Calibri"/>
          <w:sz w:val="24"/>
          <w:lang w:val="de-DE"/>
        </w:rPr>
        <w:t xml:space="preserve">Durch die Anwendung der zusätzlichen spezifischen Politiken und Maßnahmen im Luftverkehr ist die Wallonie in der Lage, bis 2030 alle Verpflichtungen zu erfüllen. Es sei daran erinnert, dass die Verpflichtungen bis zum Jahre 2020 bereits 2017 erreicht wurden. </w:t>
      </w:r>
    </w:p>
    <w:p w:rsidR="000B433A" w:rsidRDefault="000B433A" w:rsidP="008F6F57">
      <w:pPr>
        <w:pStyle w:val="TEXTEI7"/>
        <w:rPr>
          <w:rFonts w:ascii="Calibri" w:hAnsi="Calibri" w:cs="Calibri"/>
          <w:sz w:val="24"/>
          <w:szCs w:val="24"/>
          <w:lang w:val="de-DE"/>
        </w:rPr>
      </w:pPr>
      <w:r>
        <w:rPr>
          <w:rFonts w:ascii="Calibri" w:hAnsi="Calibri" w:cs="Calibri"/>
          <w:sz w:val="24"/>
          <w:lang w:val="de-DE"/>
        </w:rPr>
        <w:t>Diese Leistungen in Bezug auf die Emissionsminderung führen zu einer signifikanten Verbesserung der Luftqualität, d. h. der Schadstoffkonzentrationen in der Luft, die den von der WHO vorgeschlagenen Richtwerten für den Gesundheitsschutz nahe kommen.</w:t>
      </w:r>
    </w:p>
    <w:p w:rsidR="000B433A" w:rsidRDefault="000B433A">
      <w:pPr>
        <w:spacing w:after="200"/>
        <w:jc w:val="left"/>
        <w:rPr>
          <w:rFonts w:cs="Calibri"/>
          <w:color w:val="191919"/>
          <w:szCs w:val="24"/>
          <w:lang w:val="de-DE"/>
        </w:rPr>
      </w:pPr>
      <w:r>
        <w:rPr>
          <w:rFonts w:cs="Calibri"/>
          <w:szCs w:val="24"/>
          <w:lang w:val="de-DE"/>
        </w:rPr>
        <w:br w:type="page"/>
      </w:r>
    </w:p>
    <w:p w:rsidR="000B433A" w:rsidRPr="00C73602" w:rsidRDefault="000B433A" w:rsidP="001B472E">
      <w:pPr>
        <w:pStyle w:val="Titre1"/>
        <w:numPr>
          <w:ilvl w:val="0"/>
          <w:numId w:val="1"/>
        </w:numPr>
        <w:ind w:left="851" w:hanging="851"/>
        <w:rPr>
          <w:rFonts w:ascii="Calibri" w:hAnsi="Calibri" w:cs="Calibri"/>
          <w:smallCaps/>
          <w:color w:val="1F497D"/>
          <w:sz w:val="32"/>
          <w:u w:val="single"/>
          <w:lang w:val="de-DE"/>
        </w:rPr>
      </w:pPr>
      <w:bookmarkStart w:id="20" w:name="_Toc7802434"/>
      <w:r>
        <w:rPr>
          <w:rFonts w:ascii="Calibri" w:hAnsi="Calibri" w:cs="Calibri"/>
          <w:smallCaps/>
          <w:color w:val="1F497D"/>
          <w:sz w:val="32"/>
          <w:u w:val="single"/>
          <w:lang w:val="de-DE"/>
        </w:rPr>
        <w:t>Zusammenfassung der aktuellen Richtlinien und Massnahmen</w:t>
      </w:r>
      <w:bookmarkEnd w:id="20"/>
      <w:r>
        <w:rPr>
          <w:rFonts w:ascii="Calibri" w:hAnsi="Calibri" w:cs="Calibri"/>
          <w:smallCaps/>
          <w:color w:val="1F497D"/>
          <w:sz w:val="32"/>
          <w:u w:val="single"/>
          <w:lang w:val="de-DE"/>
        </w:rPr>
        <w:t xml:space="preserve"> </w:t>
      </w:r>
    </w:p>
    <w:p w:rsidR="000B433A" w:rsidRDefault="000B433A" w:rsidP="00842711">
      <w:pPr>
        <w:rPr>
          <w:rFonts w:cs="Calibri"/>
          <w:lang w:val="de-DE"/>
        </w:rPr>
      </w:pPr>
      <w:r>
        <w:rPr>
          <w:rFonts w:cs="Calibri"/>
          <w:lang w:val="de-DE"/>
        </w:rPr>
        <w:t>Die derzeitigen Strategien und Maßnahmen entsprechen denen der aktuellen belgischen und wallonischen Gesetzgebung sowie denen vom LKEP 2016 - 2022, die tatsächlich umgesetzt wurden. Die vollständige Liste der Maßnahmen des LKEP 2016 ist in Anhang 1 enthalten. Maßnahmen, die sowohl die Reduzierung der Treibhausgasemissionen als auch die Verbesserung der Luftqualität betreffen, werden in den folgenden Kapiteln integriert und nach Sektoren gegliedert behandelt:</w:t>
      </w:r>
    </w:p>
    <w:p w:rsidR="000B433A" w:rsidRPr="00A21AFB" w:rsidRDefault="000B433A" w:rsidP="00093D26">
      <w:pPr>
        <w:pStyle w:val="Titre2"/>
        <w:numPr>
          <w:ilvl w:val="1"/>
          <w:numId w:val="1"/>
        </w:numPr>
        <w:ind w:left="851" w:hanging="851"/>
        <w:rPr>
          <w:rFonts w:ascii="Calibri" w:hAnsi="Calibri" w:cs="Calibri"/>
          <w:color w:val="1F497D"/>
          <w:sz w:val="28"/>
          <w:szCs w:val="28"/>
          <w:lang w:val="de-DE"/>
        </w:rPr>
      </w:pPr>
      <w:bookmarkStart w:id="21" w:name="_Toc7802435"/>
      <w:r>
        <w:rPr>
          <w:rFonts w:ascii="Calibri" w:hAnsi="Calibri" w:cs="Calibri"/>
          <w:color w:val="1F497D"/>
          <w:sz w:val="28"/>
          <w:lang w:val="de-DE"/>
        </w:rPr>
        <w:t>Transversale (oder „sektorübergreifende“) Maßnahmen</w:t>
      </w:r>
      <w:bookmarkEnd w:id="21"/>
    </w:p>
    <w:p w:rsidR="000B433A" w:rsidRPr="007E6E8D" w:rsidRDefault="000B433A" w:rsidP="00842711">
      <w:pPr>
        <w:rPr>
          <w:rFonts w:cs="Calibri"/>
          <w:lang w:val="de-DE"/>
        </w:rPr>
      </w:pPr>
      <w:r>
        <w:rPr>
          <w:rFonts w:cs="Calibri"/>
          <w:lang w:val="de-DE"/>
        </w:rPr>
        <w:t>In diesem Kapitel werden Maßnahmen zusammengefasst, die nicht in einen bestimmten Sektor einbezogen werden können, weil sie alle Sektoren betreffen, einschließlich der europäischen Verpflichtungen zur Erstellung von Aktionsplänen sowohl für Energie/Klima und Luftqualität als auch für die Stärkung von Forschung und Entwicklung im Bereich der Luftpolitik.</w:t>
      </w:r>
    </w:p>
    <w:p w:rsidR="000B433A" w:rsidRPr="00A21AFB" w:rsidRDefault="000B433A" w:rsidP="00093D26">
      <w:pPr>
        <w:pStyle w:val="Titre2"/>
        <w:numPr>
          <w:ilvl w:val="1"/>
          <w:numId w:val="1"/>
        </w:numPr>
        <w:ind w:left="851" w:hanging="851"/>
        <w:rPr>
          <w:rFonts w:ascii="Calibri" w:hAnsi="Calibri" w:cs="Calibri"/>
          <w:color w:val="1F497D"/>
          <w:sz w:val="28"/>
          <w:szCs w:val="28"/>
          <w:lang w:val="de-DE"/>
        </w:rPr>
      </w:pPr>
      <w:bookmarkStart w:id="22" w:name="_Toc7802436"/>
      <w:r>
        <w:rPr>
          <w:rFonts w:ascii="Calibri" w:hAnsi="Calibri" w:cs="Calibri"/>
          <w:color w:val="1F497D"/>
          <w:sz w:val="28"/>
          <w:lang w:val="de-DE"/>
        </w:rPr>
        <w:t>Energieerzeugung und -verteilung</w:t>
      </w:r>
      <w:bookmarkEnd w:id="22"/>
    </w:p>
    <w:p w:rsidR="000B433A" w:rsidRPr="005F5D9D" w:rsidRDefault="000B433A" w:rsidP="00842711">
      <w:pPr>
        <w:rPr>
          <w:rFonts w:cs="Calibri"/>
          <w:lang w:val="de-DE"/>
        </w:rPr>
      </w:pPr>
      <w:r>
        <w:rPr>
          <w:rFonts w:cs="Calibri"/>
          <w:lang w:val="de-DE"/>
        </w:rPr>
        <w:t>Im Hinblick auf die Energieerzeugung aus erneuerbaren Energiequellen verfolgt die Regierung eine freiwillige und realistische Strategie für die Festlegung der Quoten für grüne Zertifikate sowie für die Richtkurse nach Branche und die Budgets bis 2024. Sie reagiert damit auf die Forderung der Energieerzeuger nach einer klaren Vision der Zukunft, die es ihnen ermöglicht, ihre Investitionspolitik zu planen.</w:t>
      </w:r>
    </w:p>
    <w:p w:rsidR="000B433A" w:rsidRPr="005F5D9D" w:rsidRDefault="000B433A" w:rsidP="00842711">
      <w:pPr>
        <w:rPr>
          <w:rFonts w:cs="Calibri"/>
          <w:lang w:val="de-DE"/>
        </w:rPr>
      </w:pPr>
      <w:r>
        <w:rPr>
          <w:rFonts w:cs="Calibri"/>
          <w:lang w:val="de-DE"/>
        </w:rPr>
        <w:t xml:space="preserve">Die Ziele wurden somit unter Berücksichtigung der Erhaltung der Kosten auf ein annehmbares Niveau festgelegt, wobei gleichzeitig die Entwicklung der verschiedenen Verfahren der Energieerzeugung aus erneuerbaren Quellen ermöglicht wird. </w:t>
      </w:r>
    </w:p>
    <w:p w:rsidR="000B433A" w:rsidRPr="005F5D9D" w:rsidRDefault="000B433A" w:rsidP="00842711">
      <w:pPr>
        <w:rPr>
          <w:rFonts w:cs="Calibri"/>
          <w:lang w:val="de-DE"/>
        </w:rPr>
      </w:pPr>
      <w:r>
        <w:rPr>
          <w:rFonts w:cs="Calibri"/>
          <w:lang w:val="de-DE"/>
        </w:rPr>
        <w:t xml:space="preserve">Dieses Kapitel befasst sich ebenfalls mit der Anpassung und Entwicklung intelligenter Energienetze, der Speicherung und Flexibilität, mit einem auf Forschung und Entwicklung ausgerichteten Schwerpunkt. </w:t>
      </w:r>
    </w:p>
    <w:p w:rsidR="000B433A" w:rsidRPr="00A21AFB" w:rsidRDefault="000B433A" w:rsidP="00093D26">
      <w:pPr>
        <w:pStyle w:val="Titre2"/>
        <w:numPr>
          <w:ilvl w:val="1"/>
          <w:numId w:val="1"/>
        </w:numPr>
        <w:ind w:left="851" w:hanging="851"/>
        <w:rPr>
          <w:rFonts w:ascii="Calibri" w:hAnsi="Calibri" w:cs="Calibri"/>
          <w:color w:val="1F497D"/>
          <w:sz w:val="28"/>
          <w:szCs w:val="28"/>
          <w:lang w:val="de-DE"/>
        </w:rPr>
      </w:pPr>
      <w:bookmarkStart w:id="23" w:name="_Toc7802437"/>
      <w:r>
        <w:rPr>
          <w:rFonts w:ascii="Calibri" w:hAnsi="Calibri" w:cs="Calibri"/>
          <w:color w:val="1F497D"/>
          <w:sz w:val="28"/>
          <w:lang w:val="de-DE"/>
        </w:rPr>
        <w:t>Industrie</w:t>
      </w:r>
      <w:bookmarkEnd w:id="23"/>
    </w:p>
    <w:p w:rsidR="000B433A" w:rsidRPr="005F5D9D" w:rsidRDefault="000B433A" w:rsidP="00842711">
      <w:pPr>
        <w:rPr>
          <w:rFonts w:cs="Calibri"/>
          <w:lang w:val="de-DE"/>
        </w:rPr>
      </w:pPr>
      <w:r>
        <w:rPr>
          <w:rFonts w:cs="Calibri"/>
          <w:lang w:val="de-DE"/>
        </w:rPr>
        <w:t xml:space="preserve">Es werden umfangreiche Maßnahmen zur Reduzierung von Treibhausgasemissionen und anderen Luftschadstoffen im Industriesektor getroffen. </w:t>
      </w:r>
    </w:p>
    <w:p w:rsidR="000B433A" w:rsidRPr="005F5D9D" w:rsidRDefault="000B433A" w:rsidP="00842711">
      <w:pPr>
        <w:rPr>
          <w:rFonts w:cs="Calibri"/>
          <w:lang w:val="de-DE"/>
        </w:rPr>
      </w:pPr>
      <w:r>
        <w:rPr>
          <w:rFonts w:cs="Calibri"/>
          <w:lang w:val="de-DE"/>
        </w:rPr>
        <w:t>Was die Treibhausgase betrifft, so sind die beiden wichtigsten Mechanismen zur Verringerung der Emissionen aus dem Industriesektor die Errichtung eines europäischen Kohlenstoffmarktes (EHS-System) und der Abschluss von Energie- und CO2-Branchenabkommen zwischen der wallonischen Regierung und den wichtigsten Industriesektoren über ihre Verbände.</w:t>
      </w:r>
    </w:p>
    <w:p w:rsidR="000B433A" w:rsidRPr="005F5D9D" w:rsidRDefault="000B433A" w:rsidP="00842711">
      <w:pPr>
        <w:rPr>
          <w:rFonts w:cs="Calibri"/>
          <w:lang w:val="de-DE"/>
        </w:rPr>
      </w:pPr>
      <w:r>
        <w:rPr>
          <w:rFonts w:cs="Calibri"/>
          <w:lang w:val="de-DE"/>
        </w:rPr>
        <w:t xml:space="preserve">Es gibt weitere Maßnahmen, um diese Mechanismen zu fördern und insbesondere um die Unternehmen zu unterstützen, die nicht erfasst werden. </w:t>
      </w:r>
    </w:p>
    <w:p w:rsidR="000B433A" w:rsidRPr="005F5D9D" w:rsidRDefault="000B433A" w:rsidP="00842711">
      <w:pPr>
        <w:rPr>
          <w:rFonts w:cs="Calibri"/>
          <w:lang w:val="de-DE"/>
        </w:rPr>
      </w:pPr>
      <w:r>
        <w:rPr>
          <w:rFonts w:cs="Calibri"/>
          <w:lang w:val="de-DE"/>
        </w:rPr>
        <w:t>Parallel dazu werden auch Maßnahmen entwickelt, die sich speziell auf die Luftqualität beziehen und sich vor allem auf die kontinuierliche Verbesserung der Umweltgenehmigungen für Industrieanlagen und -tätigkeiten konzentrieren, die entsprechend der Bedeutung ihrer Umweltauswirkungen in drei Klassen eingeteilt sind. Die Genehmigungen für die umweltschädlichsten Industrieanlagen basieren auf der Umsetzung der besten verfügbaren Techniken...</w:t>
      </w:r>
    </w:p>
    <w:p w:rsidR="000B433A" w:rsidRPr="005F5D9D" w:rsidRDefault="000B433A" w:rsidP="00842711">
      <w:pPr>
        <w:rPr>
          <w:rFonts w:cs="Calibri"/>
          <w:lang w:val="de-DE"/>
        </w:rPr>
      </w:pPr>
      <w:r>
        <w:rPr>
          <w:rFonts w:cs="Calibri"/>
          <w:lang w:val="de-DE"/>
        </w:rPr>
        <w:t>Maßnahmen zur Verringerung der diffusen Feinstaubemissionen werden auch Industrieanlagen auferlegt, die wahrscheinlich bedeutende Quellen für diese Art von Emissionen sind, und zwar im Rahmen eines individuellen Plans zur Reduzierung der Feinstaubemissionen (PRF).</w:t>
      </w:r>
    </w:p>
    <w:p w:rsidR="000B433A" w:rsidRPr="00A21AFB" w:rsidRDefault="000B433A" w:rsidP="00093D26">
      <w:pPr>
        <w:pStyle w:val="Titre2"/>
        <w:numPr>
          <w:ilvl w:val="1"/>
          <w:numId w:val="1"/>
        </w:numPr>
        <w:ind w:left="851" w:hanging="851"/>
        <w:rPr>
          <w:rFonts w:ascii="Calibri" w:hAnsi="Calibri" w:cs="Calibri"/>
          <w:color w:val="1F497D"/>
          <w:sz w:val="28"/>
          <w:szCs w:val="28"/>
          <w:lang w:val="de-DE"/>
        </w:rPr>
      </w:pPr>
      <w:bookmarkStart w:id="24" w:name="_Toc7802438"/>
      <w:r>
        <w:rPr>
          <w:rFonts w:ascii="Calibri" w:hAnsi="Calibri" w:cs="Calibri"/>
          <w:color w:val="1F497D"/>
          <w:sz w:val="28"/>
          <w:lang w:val="de-DE"/>
        </w:rPr>
        <w:t>Wohnen und Dienstleistungen</w:t>
      </w:r>
      <w:bookmarkEnd w:id="24"/>
    </w:p>
    <w:p w:rsidR="000B433A" w:rsidRPr="005F5D9D" w:rsidRDefault="000B433A" w:rsidP="00842711">
      <w:pPr>
        <w:rPr>
          <w:rFonts w:cs="Calibri"/>
          <w:lang w:val="de-DE"/>
        </w:rPr>
      </w:pPr>
      <w:r>
        <w:rPr>
          <w:rFonts w:cs="Calibri"/>
          <w:lang w:val="de-DE"/>
        </w:rPr>
        <w:t>Die Maßnahmen, die den Wohn- und Dienstleistungssektor betreffen, werden zusammengefasst, da die meisten von ihnen für beide Sektoren identisch sind.</w:t>
      </w:r>
    </w:p>
    <w:p w:rsidR="000B433A" w:rsidRDefault="000B433A" w:rsidP="00842711">
      <w:pPr>
        <w:rPr>
          <w:rFonts w:cs="Calibri"/>
          <w:lang w:val="de-DE"/>
        </w:rPr>
      </w:pPr>
      <w:r>
        <w:rPr>
          <w:rFonts w:cs="Calibri"/>
          <w:lang w:val="de-DE"/>
        </w:rPr>
        <w:t xml:space="preserve">Diese Maßnahmen zielen auf die Verbesserung der Energieeffizienz der Gebäude sowie ihrer Ausrüstungen, aber auch, ganz allgemein, der Viertel und anderer bebauter Gebiete, ab und tragen zur Begrenzung der Schadstoffemissionen sowohl innerhalb als auch außerhalb von Gebäuden bei. </w:t>
      </w:r>
    </w:p>
    <w:p w:rsidR="000B433A" w:rsidRPr="005F5D9D" w:rsidRDefault="000B433A" w:rsidP="00842711">
      <w:pPr>
        <w:rPr>
          <w:rFonts w:cs="Calibri"/>
          <w:lang w:val="de-DE"/>
        </w:rPr>
      </w:pPr>
      <w:r>
        <w:rPr>
          <w:rFonts w:cs="Calibri"/>
          <w:lang w:val="de-DE"/>
        </w:rPr>
        <w:t xml:space="preserve">Die Verbesserungen zielen in erster Linie auf die Leistungsfähigkeit von Gebäuden und deren Systemen ab und basieren auf technischen Verbesserungen durch die Isolierung der verschiedenen Wände bestehender Gebäude, den Bau neuer Hochleistungsgebäude und die Installation effizienter Heizungs- und Lüftungssysteme. </w:t>
      </w:r>
    </w:p>
    <w:p w:rsidR="000B433A" w:rsidRPr="005F5D9D" w:rsidRDefault="000B433A" w:rsidP="00842711">
      <w:pPr>
        <w:rPr>
          <w:rFonts w:cs="Calibri"/>
          <w:lang w:val="de-DE"/>
        </w:rPr>
      </w:pPr>
      <w:r>
        <w:rPr>
          <w:rFonts w:cs="Calibri"/>
          <w:lang w:val="de-DE"/>
        </w:rPr>
        <w:t xml:space="preserve">Neben diesen technischen Verbesserungen kann das Verhalten der Bewohner oder der Verwalter der Gebäude, welches eine rationelle Verwendung von Energie zum Ziel hat, ebenfalls zu einer Verbesserung der Emissionen (von Treibhausgas und Luftschadstoffen) dieser Sektoren beitragen. </w:t>
      </w:r>
    </w:p>
    <w:p w:rsidR="000B433A" w:rsidRPr="005F5D9D" w:rsidRDefault="000B433A" w:rsidP="00842711">
      <w:pPr>
        <w:rPr>
          <w:rFonts w:cs="Calibri"/>
          <w:lang w:val="de-DE"/>
        </w:rPr>
      </w:pPr>
      <w:r>
        <w:rPr>
          <w:rFonts w:cs="Calibri"/>
          <w:lang w:val="de-DE"/>
        </w:rPr>
        <w:t xml:space="preserve">Die Maßnahmen betreffen ebenfalls die Ausbildung und Qualifizierung der Fachleute, die die Wohn- und Dienstleistungsgebäude konstruieren, renovieren oder ausstatten. </w:t>
      </w:r>
    </w:p>
    <w:p w:rsidR="000B433A" w:rsidRPr="005F5D9D" w:rsidRDefault="000B433A" w:rsidP="00842711">
      <w:pPr>
        <w:rPr>
          <w:rFonts w:cs="Calibri"/>
          <w:lang w:val="de-DE"/>
        </w:rPr>
      </w:pPr>
      <w:r>
        <w:rPr>
          <w:rFonts w:cs="Calibri"/>
          <w:lang w:val="de-DE"/>
        </w:rPr>
        <w:t>Der richtige Einsatz von Haushaltsheizungen ist unerlässlich, um die Emissionen von Luftschadstoffen zu reduzieren, insbesondere bei der Verwendung von Holz oder Kohle. In diesem Zusammenhang hat die Wallonische Region mehrere Sensibilisierungskampagnen zur Brandbekämpfung entwickelt, sowohl für Privatpersonen als auch für Fachleute, die zur Sensibilisierung der Öffentlichkeit beitragen müssen.</w:t>
      </w:r>
    </w:p>
    <w:p w:rsidR="000B433A" w:rsidRPr="005F5D9D" w:rsidRDefault="000B433A" w:rsidP="00842711">
      <w:pPr>
        <w:rPr>
          <w:rFonts w:cs="Calibri"/>
          <w:lang w:val="de-DE"/>
        </w:rPr>
      </w:pPr>
      <w:r>
        <w:rPr>
          <w:rFonts w:cs="Calibri"/>
          <w:lang w:val="de-DE"/>
        </w:rPr>
        <w:t>Neben diesen Maßnahmen im Zusammenhang mit Gebäuden oder Verbrennungsanlagen gibt es ein weiteres Instrument, nämlich die Raumordnung, die einen Gesamtüberblick über den Standort der verschiedenen Wohnhäuser, Unternehmen und Kommunikationsmittel etc. bietet. In diesem Sinne wird einem umfassenden Ansatz der Energieeffizienz in den städtischen Gebieten, die den Energiebedarf mindert, Priorität in der Reform der Entscheidungsverfahren in der Raumordnung eingeräumt.</w:t>
      </w:r>
    </w:p>
    <w:p w:rsidR="000B433A" w:rsidRPr="005F5D9D" w:rsidRDefault="000B433A" w:rsidP="00842711">
      <w:pPr>
        <w:rPr>
          <w:rFonts w:cs="Calibri"/>
          <w:lang w:val="de-DE"/>
        </w:rPr>
      </w:pPr>
      <w:r>
        <w:rPr>
          <w:rFonts w:cs="Calibri"/>
          <w:lang w:val="de-DE"/>
        </w:rPr>
        <w:t>Die öffentlichen Behörden sind in der Wallonie nicht zu übertreffen: die Wallonie, die Föderation Wallonie-Brüssel und die Deutsche Gemeinschaft renovieren jährlich 3 % ihrer Gebäude, um die derzeit optimale Energieeffizienz zu erreichen.</w:t>
      </w:r>
    </w:p>
    <w:p w:rsidR="000B433A" w:rsidRPr="00A21AFB" w:rsidRDefault="000B433A" w:rsidP="00093D26">
      <w:pPr>
        <w:pStyle w:val="Titre2"/>
        <w:numPr>
          <w:ilvl w:val="1"/>
          <w:numId w:val="1"/>
        </w:numPr>
        <w:ind w:left="851" w:hanging="851"/>
        <w:rPr>
          <w:rFonts w:ascii="Calibri" w:hAnsi="Calibri" w:cs="Calibri"/>
          <w:color w:val="1F497D"/>
          <w:sz w:val="28"/>
          <w:szCs w:val="28"/>
          <w:lang w:val="de-DE"/>
        </w:rPr>
      </w:pPr>
      <w:bookmarkStart w:id="25" w:name="_Toc7802439"/>
      <w:r>
        <w:rPr>
          <w:rFonts w:ascii="Calibri" w:hAnsi="Calibri" w:cs="Calibri"/>
          <w:color w:val="1F497D"/>
          <w:sz w:val="28"/>
          <w:lang w:val="de-DE"/>
        </w:rPr>
        <w:t>Transport</w:t>
      </w:r>
      <w:bookmarkEnd w:id="25"/>
      <w:r>
        <w:rPr>
          <w:rFonts w:ascii="Calibri" w:hAnsi="Calibri" w:cs="Calibri"/>
          <w:color w:val="1F497D"/>
          <w:sz w:val="28"/>
          <w:lang w:val="de-DE"/>
        </w:rPr>
        <w:t xml:space="preserve"> </w:t>
      </w:r>
    </w:p>
    <w:p w:rsidR="000B433A" w:rsidRPr="005F5D9D" w:rsidRDefault="000B433A" w:rsidP="00842711">
      <w:pPr>
        <w:rPr>
          <w:rFonts w:cs="Calibri"/>
          <w:lang w:val="de-DE"/>
        </w:rPr>
      </w:pPr>
      <w:r>
        <w:rPr>
          <w:rFonts w:cs="Calibri"/>
          <w:lang w:val="de-DE"/>
        </w:rPr>
        <w:t>Die Emissionen des Transportsektors sind erheblich und nehmen nur langsam ab. Um eine Trendwende zu erreichen, sind Maßnahmen auf regionaler, auf föderaler und auf europäischer Ebene erforderlich. Diese Maßnahmen müssen sowohl auf wirksamere technologische als auch auf verhaltensorientierte Lösungen (modale Verlagerung oder Reduzierung der Mobilität) abzielen.</w:t>
      </w:r>
    </w:p>
    <w:p w:rsidR="000B433A" w:rsidRPr="005F5D9D" w:rsidRDefault="000B433A" w:rsidP="00842711">
      <w:pPr>
        <w:rPr>
          <w:rFonts w:cs="Calibri"/>
          <w:lang w:val="de-DE"/>
        </w:rPr>
      </w:pPr>
      <w:r>
        <w:rPr>
          <w:rFonts w:cs="Calibri"/>
          <w:lang w:val="de-DE"/>
        </w:rPr>
        <w:t xml:space="preserve">All diese Maßnahmen haben direkte Auswirkungen auf die Treibhausgasemissionen und auf den Ausstoß von Luftschadstoffen. </w:t>
      </w:r>
    </w:p>
    <w:p w:rsidR="000B433A" w:rsidRPr="005F5D9D" w:rsidRDefault="000B433A" w:rsidP="00842711">
      <w:pPr>
        <w:rPr>
          <w:rFonts w:cs="Calibri"/>
          <w:lang w:val="de-DE"/>
        </w:rPr>
      </w:pPr>
      <w:r>
        <w:rPr>
          <w:rFonts w:cs="Calibri"/>
          <w:lang w:val="de-DE"/>
        </w:rPr>
        <w:t>Sie sind unter verschiedenen Achsen zusammengefasst, die in gleicher Weise für den Personen- und Güterverkehr gegliedert werden.</w:t>
      </w:r>
    </w:p>
    <w:p w:rsidR="000B433A" w:rsidRPr="00A21AFB" w:rsidRDefault="000B433A" w:rsidP="00093D26">
      <w:pPr>
        <w:pStyle w:val="Titre2"/>
        <w:numPr>
          <w:ilvl w:val="1"/>
          <w:numId w:val="1"/>
        </w:numPr>
        <w:ind w:left="851" w:hanging="851"/>
        <w:rPr>
          <w:rFonts w:ascii="Calibri" w:hAnsi="Calibri" w:cs="Calibri"/>
          <w:color w:val="1F497D"/>
          <w:sz w:val="28"/>
          <w:szCs w:val="28"/>
          <w:lang w:val="de-DE"/>
        </w:rPr>
      </w:pPr>
      <w:bookmarkStart w:id="26" w:name="_Toc7802440"/>
      <w:r>
        <w:rPr>
          <w:rFonts w:ascii="Calibri" w:hAnsi="Calibri" w:cs="Calibri"/>
          <w:color w:val="1F497D"/>
          <w:sz w:val="28"/>
          <w:lang w:val="de-DE"/>
        </w:rPr>
        <w:t>Fluorierte Gase</w:t>
      </w:r>
      <w:bookmarkEnd w:id="26"/>
    </w:p>
    <w:p w:rsidR="000B433A" w:rsidRPr="005F5D9D" w:rsidRDefault="000B433A" w:rsidP="00037323">
      <w:pPr>
        <w:rPr>
          <w:rFonts w:cs="Calibri"/>
          <w:lang w:val="de-DE"/>
        </w:rPr>
      </w:pPr>
      <w:r>
        <w:rPr>
          <w:rFonts w:cs="Calibri"/>
          <w:lang w:val="de-DE"/>
        </w:rPr>
        <w:t xml:space="preserve">Fluorierte Gase aus der Familie der Fluorkohlenwasserstoffe sind vor allem für ihre Verwendung in Kühlsystemen wie Haushaltskühlschränke und -gefrierschränke, industrielle Kühlräume, Kühltheken des Lebensmittelvertriebs oder Klimaanlagen bekannt. </w:t>
      </w:r>
    </w:p>
    <w:p w:rsidR="000B433A" w:rsidRPr="005F5D9D" w:rsidRDefault="000B433A" w:rsidP="00037323">
      <w:pPr>
        <w:rPr>
          <w:rFonts w:cs="Calibri"/>
          <w:lang w:val="de-DE"/>
        </w:rPr>
      </w:pPr>
      <w:r>
        <w:rPr>
          <w:rFonts w:cs="Calibri"/>
          <w:lang w:val="de-DE"/>
        </w:rPr>
        <w:t>Betroffen sind drei Arten von Unterfamilien von Kältemitteln:</w:t>
      </w:r>
      <w:r w:rsidRPr="005F5D9D">
        <w:rPr>
          <w:rFonts w:cs="Calibri"/>
          <w:lang w:val="de-DE"/>
        </w:rPr>
        <w:tab/>
      </w:r>
      <w:r>
        <w:rPr>
          <w:rFonts w:cs="Calibri"/>
          <w:lang w:val="de-DE"/>
        </w:rPr>
        <w:t xml:space="preserve">fluorierte Kohlenwasserstoffe (HFC), </w:t>
      </w:r>
      <w:r w:rsidRPr="005F5D9D">
        <w:rPr>
          <w:rFonts w:cs="Calibri"/>
          <w:lang w:val="de-DE"/>
        </w:rPr>
        <w:tab/>
      </w:r>
      <w:r>
        <w:rPr>
          <w:rFonts w:cs="Calibri"/>
          <w:lang w:val="de-DE"/>
        </w:rPr>
        <w:t>Fluorchlorkohlenwasserstoffe (CFC), teilhalogenierte Fluorchlorkohlenwasserstoffe (HCFC). Andere fluorierte Treibhausgase sind in bestimmten Anwendungen zulässig, Schwefelhexafluorid (SF6) und Perfluorkohlenwasserstoffe (PFC), deren Verwendung bei weitem geringer ist.</w:t>
      </w:r>
    </w:p>
    <w:p w:rsidR="000B433A" w:rsidRPr="005F5D9D" w:rsidRDefault="000B433A" w:rsidP="00037323">
      <w:pPr>
        <w:rPr>
          <w:rFonts w:cs="Calibri"/>
          <w:lang w:val="de-DE"/>
        </w:rPr>
      </w:pPr>
      <w:r>
        <w:rPr>
          <w:rFonts w:cs="Calibri"/>
          <w:lang w:val="de-DE"/>
        </w:rPr>
        <w:t xml:space="preserve">Maßnahmen zur Verringerung der Treibhausgasemissionen auf Grundlage fluorierter Gase und insbesondere von HFC lassen sich in zwei Gruppen einteilen: </w:t>
      </w:r>
    </w:p>
    <w:p w:rsidR="000B433A" w:rsidRDefault="000B433A">
      <w:pPr>
        <w:pStyle w:val="Paragraphedeliste"/>
        <w:numPr>
          <w:ilvl w:val="0"/>
          <w:numId w:val="62"/>
        </w:numPr>
        <w:rPr>
          <w:rFonts w:cs="Calibri"/>
          <w:lang w:val="de-DE"/>
        </w:rPr>
      </w:pPr>
      <w:r>
        <w:rPr>
          <w:rFonts w:cs="Calibri"/>
          <w:lang w:val="de-DE"/>
        </w:rPr>
        <w:t>Einschließung und Rückgewinnung der Gase zur Begrenzung der direkten Emissionen bei ihrer Verwendung oder bei der Beseitigung/Verwertung von Gütern und Ausrüstungen, für die sie verwendet werden;</w:t>
      </w:r>
    </w:p>
    <w:p w:rsidR="000B433A" w:rsidRDefault="000B433A">
      <w:pPr>
        <w:pStyle w:val="Paragraphedeliste"/>
        <w:numPr>
          <w:ilvl w:val="0"/>
          <w:numId w:val="62"/>
        </w:numPr>
        <w:rPr>
          <w:rFonts w:cs="Calibri"/>
          <w:lang w:val="de-DE"/>
        </w:rPr>
      </w:pPr>
      <w:r>
        <w:rPr>
          <w:rFonts w:cs="Calibri"/>
          <w:lang w:val="de-DE"/>
        </w:rPr>
        <w:t>Entwicklung von Systemen, die Gase verwenden, welche geringere Auswirkungen auf die Klimaerwärmung haben, also Gase mit einem geringen Global Warming Potential (GWP) oder ohne GWP.</w:t>
      </w:r>
    </w:p>
    <w:p w:rsidR="000B433A" w:rsidRPr="00A21AFB" w:rsidRDefault="000B433A" w:rsidP="00093D26">
      <w:pPr>
        <w:pStyle w:val="Titre2"/>
        <w:numPr>
          <w:ilvl w:val="1"/>
          <w:numId w:val="1"/>
        </w:numPr>
        <w:ind w:left="851" w:hanging="851"/>
        <w:rPr>
          <w:rFonts w:ascii="Calibri" w:hAnsi="Calibri" w:cs="Calibri"/>
          <w:color w:val="1F497D"/>
          <w:sz w:val="28"/>
          <w:szCs w:val="28"/>
          <w:lang w:val="de-DE"/>
        </w:rPr>
      </w:pPr>
      <w:bookmarkStart w:id="27" w:name="_Toc7802441"/>
      <w:r>
        <w:rPr>
          <w:rFonts w:ascii="Calibri" w:hAnsi="Calibri" w:cs="Calibri"/>
          <w:color w:val="1F497D"/>
          <w:sz w:val="28"/>
          <w:lang w:val="de-DE"/>
        </w:rPr>
        <w:t>Land- und Forstwirtschaft</w:t>
      </w:r>
      <w:bookmarkEnd w:id="27"/>
    </w:p>
    <w:p w:rsidR="000B433A" w:rsidRPr="005F5D9D" w:rsidRDefault="000B433A" w:rsidP="00842711">
      <w:pPr>
        <w:rPr>
          <w:rFonts w:cs="Calibri"/>
          <w:lang w:val="de-DE"/>
        </w:rPr>
      </w:pPr>
      <w:r>
        <w:rPr>
          <w:rFonts w:cs="Calibri"/>
          <w:lang w:val="de-DE"/>
        </w:rPr>
        <w:t xml:space="preserve">Im landwirtschaftlichen Sektor erstreckt sich der Großteil der Maßnahmen eher auf die Anbaumethoden oder den Einsatz von Betriebsmitteln als auf den Energieverbrauch. Der Luft-Klima-Energie-Plan 2016 - 2022 stützt sich daher auf bestehende Ansätze, wie die Agrarumwelt- und Klimamaßnahme (AUKM) (z. B.: geringer Viehbesatz oder Futterautonomie etc.) und die Cross-Compliance-Normen für landwirtschaftliche Beihilfen im Rahmen der Gemeinsamen Agrarpolitik (GAP), beispielsweise im Zusammenhang mit dem Programm für nachhaltigen Stickstoffeinsatz (PNSE). </w:t>
      </w:r>
    </w:p>
    <w:p w:rsidR="000B433A" w:rsidRPr="005F5D9D" w:rsidRDefault="000B433A" w:rsidP="00842711">
      <w:pPr>
        <w:rPr>
          <w:rFonts w:cs="Calibri"/>
          <w:lang w:val="de-DE"/>
        </w:rPr>
      </w:pPr>
      <w:r>
        <w:rPr>
          <w:rFonts w:cs="Calibri"/>
          <w:lang w:val="de-DE"/>
        </w:rPr>
        <w:t>Die vom LKEP 2030 vorgeschlagenen neuen Maßnahmen werden dazu beitragen, die Emissionen von Ammoniak (NH</w:t>
      </w:r>
      <w:r w:rsidRPr="003514A5">
        <w:rPr>
          <w:vertAlign w:val="subscript"/>
          <w:lang w:val="de-DE"/>
        </w:rPr>
        <w:t>3</w:t>
      </w:r>
      <w:r>
        <w:rPr>
          <w:rFonts w:cs="Calibri"/>
          <w:lang w:val="de-DE"/>
        </w:rPr>
        <w:t>), einem wichtigen luftverunreinigenden Vorläufer von Sekundärpartikeln, im Einklang mit den Reduktionszielen der NEC-Richtlinie zu verringern und ihren Anhang III mit spezifischen Maßnahmen zur Reduzierung von Ammoniak (NH</w:t>
      </w:r>
      <w:r w:rsidRPr="003514A5">
        <w:rPr>
          <w:vertAlign w:val="subscript"/>
          <w:lang w:val="de-DE"/>
        </w:rPr>
        <w:t>3</w:t>
      </w:r>
      <w:r>
        <w:rPr>
          <w:rFonts w:cs="Calibri"/>
          <w:lang w:val="de-DE"/>
        </w:rPr>
        <w:t>) umzusetzen.</w:t>
      </w:r>
    </w:p>
    <w:p w:rsidR="000B433A" w:rsidRPr="005F5D9D" w:rsidRDefault="000B433A" w:rsidP="00842711">
      <w:pPr>
        <w:rPr>
          <w:rFonts w:cs="Calibri"/>
          <w:lang w:val="de-DE"/>
        </w:rPr>
      </w:pPr>
      <w:r>
        <w:rPr>
          <w:rFonts w:cs="Calibri"/>
          <w:lang w:val="de-DE"/>
        </w:rPr>
        <w:t xml:space="preserve">Der Forstsektor fällt nicht unter die Zielvorgaben 2020 des europäischen Klima-Energie-Pakets. In der Entscheidung EG 529/2013 vom 21. Mai 2013 indessen werden die Regeln zur Verbuchung der mit der Bewirtschaftung von Forst- und Landwirtschaftsflächen verbundenen Emissionen und Kohlenstoffbindung festgelegt (sog. LULUCF-Sektor für Land Use, Land Use Change &amp; Forestry). Diese Entscheidung stellt lediglich eine erste Etappe zur Festlegung spezifischer Zielvorgaben für diesen Sektor, wahrscheinlich bis 2020, dar. </w:t>
      </w:r>
    </w:p>
    <w:p w:rsidR="000B433A" w:rsidRDefault="000B433A">
      <w:pPr>
        <w:spacing w:after="200"/>
        <w:jc w:val="left"/>
        <w:rPr>
          <w:rFonts w:cs="Calibri"/>
          <w:lang w:val="de-DE"/>
        </w:rPr>
      </w:pPr>
      <w:r>
        <w:rPr>
          <w:rFonts w:cs="Calibri"/>
          <w:lang w:val="de-DE"/>
        </w:rPr>
        <w:br w:type="page"/>
      </w:r>
    </w:p>
    <w:p w:rsidR="000B433A" w:rsidRPr="00C73602" w:rsidRDefault="000B433A" w:rsidP="001B472E">
      <w:pPr>
        <w:pStyle w:val="Titre1"/>
        <w:numPr>
          <w:ilvl w:val="0"/>
          <w:numId w:val="1"/>
        </w:numPr>
        <w:ind w:left="851" w:hanging="851"/>
        <w:rPr>
          <w:rFonts w:ascii="Calibri" w:hAnsi="Calibri" w:cs="Calibri"/>
          <w:smallCaps/>
          <w:color w:val="1F497D"/>
          <w:sz w:val="32"/>
          <w:u w:val="single"/>
          <w:lang w:val="de-DE"/>
        </w:rPr>
      </w:pPr>
      <w:bookmarkStart w:id="28" w:name="_Toc7802442"/>
      <w:r>
        <w:rPr>
          <w:rFonts w:ascii="Calibri" w:hAnsi="Calibri" w:cs="Calibri"/>
          <w:smallCaps/>
          <w:color w:val="1F497D"/>
          <w:sz w:val="32"/>
          <w:u w:val="single"/>
          <w:lang w:val="de-DE"/>
        </w:rPr>
        <w:t>Entwicklung bei unveränderten Richtlinien (WEM)</w:t>
      </w:r>
      <w:bookmarkEnd w:id="28"/>
      <w:r>
        <w:rPr>
          <w:rFonts w:ascii="Calibri" w:hAnsi="Calibri" w:cs="Calibri"/>
          <w:smallCaps/>
          <w:color w:val="1F497D"/>
          <w:sz w:val="32"/>
          <w:u w:val="single"/>
          <w:lang w:val="de-DE"/>
        </w:rPr>
        <w:t xml:space="preserve"> </w:t>
      </w:r>
    </w:p>
    <w:p w:rsidR="000B433A" w:rsidRPr="005F5D9D" w:rsidRDefault="000B433A" w:rsidP="00037323">
      <w:pPr>
        <w:rPr>
          <w:rFonts w:cs="Calibri"/>
          <w:lang w:val="de-DE"/>
        </w:rPr>
      </w:pPr>
      <w:r>
        <w:rPr>
          <w:rFonts w:cs="Calibri"/>
          <w:lang w:val="de-DE"/>
        </w:rPr>
        <w:t>Die vorgestellten Prognosen basieren auf den Arbeiten der Berater mit dem EPM-Modell (technisch-ökonomisches Modell) in der zweiten Jahreshälfte 2016, um die Anfang 2015 abgegebenen Prognosen für den Energieerzeugungs-, Industrie-, Wohn- und Dienstleistungssektor zu aktualisieren. Die Prognosen des Transportsektors wurden mit dem COPERT-Tool modelliert. Diese Prognosen können sich je nach Kontextwechsel oder der Existenz neuer Instrumente weiterentwickeln.</w:t>
      </w:r>
      <w:r w:rsidRPr="003514A5">
        <w:rPr>
          <w:b/>
          <w:vertAlign w:val="superscript"/>
          <w:lang w:val="de-DE"/>
        </w:rPr>
        <w:footnoteReference w:id="15"/>
      </w:r>
      <w:r>
        <w:rPr>
          <w:rFonts w:cs="Calibri"/>
          <w:lang w:val="de-DE"/>
        </w:rPr>
        <w:t xml:space="preserve"> Das Modell deckt weder alle Dimensionen der Energy Union (Markt, Netz usw.) ab, noch lässt es sämtliche Auswirkungen (Beschäftigung, Preise usw.) bestimmen. </w:t>
      </w:r>
    </w:p>
    <w:p w:rsidR="000B433A" w:rsidRPr="005F5D9D" w:rsidRDefault="000B433A" w:rsidP="00037323">
      <w:pPr>
        <w:rPr>
          <w:rFonts w:cs="Calibri"/>
          <w:lang w:val="de-DE"/>
        </w:rPr>
      </w:pPr>
      <w:r>
        <w:rPr>
          <w:rFonts w:cs="Calibri"/>
          <w:lang w:val="de-DE"/>
        </w:rPr>
        <w:t>Für Luftschadstoffe basieren die Prognosen für eine unveränderte Politik auf Politiken und Maßnahmen, die im Rahmen der bestehenden Klimapolitik festgelegt wurden, deren Auswirkungen in Form von Luftemissionen berechnet werden, und auf der Anwendung der bestehenden Luftpolitik.</w:t>
      </w:r>
    </w:p>
    <w:p w:rsidR="000B433A" w:rsidRPr="0080007A" w:rsidRDefault="000B433A" w:rsidP="00037323">
      <w:pPr>
        <w:rPr>
          <w:rFonts w:cs="Calibri"/>
          <w:color w:val="1F497D"/>
          <w:u w:val="single"/>
          <w:lang w:val="de-DE"/>
        </w:rPr>
      </w:pPr>
      <w:r>
        <w:rPr>
          <w:rFonts w:cs="Calibri"/>
          <w:color w:val="1F497D"/>
          <w:u w:val="single"/>
          <w:lang w:val="de-DE"/>
        </w:rPr>
        <w:t>Berücksichtigte Richtlinien und Maßnahmen</w:t>
      </w:r>
    </w:p>
    <w:p w:rsidR="000B433A" w:rsidRPr="005F5D9D" w:rsidRDefault="000B433A" w:rsidP="00037323">
      <w:pPr>
        <w:rPr>
          <w:rFonts w:cs="Calibri"/>
          <w:lang w:val="de-DE"/>
        </w:rPr>
      </w:pPr>
      <w:r>
        <w:rPr>
          <w:rFonts w:cs="Calibri"/>
          <w:lang w:val="de-DE"/>
        </w:rPr>
        <w:t xml:space="preserve">Es werden nur die wichtigsten investitionsfördernden Maßnahmen berücksichtigt (z. B. sind die Auswirkungen von „soft measures“ wie die Kommunikation nicht direkt integriert). Diese Entscheidung führt wahrscheinlich zu einer Überschätzung von Verbrauch und Emissionen, wobei sich das erhaltene Referenzszenario daher konservativ zeigt. </w:t>
      </w:r>
    </w:p>
    <w:p w:rsidR="000B433A" w:rsidRPr="005F5D9D" w:rsidRDefault="000B433A" w:rsidP="00037323">
      <w:pPr>
        <w:rPr>
          <w:rFonts w:cs="Calibri"/>
          <w:lang w:val="de-DE"/>
        </w:rPr>
      </w:pPr>
      <w:r>
        <w:rPr>
          <w:rFonts w:cs="Calibri"/>
          <w:lang w:val="de-DE"/>
        </w:rPr>
        <w:t xml:space="preserve">Die in diesem Kapitel beschriebenen Richtlinien werden in das Modell integriert, das auf der Analyse bestehender Daten (Datenbanken, regulatorische Texte usw.) basiert. </w:t>
      </w:r>
    </w:p>
    <w:p w:rsidR="000B433A" w:rsidRPr="005F5D9D" w:rsidRDefault="000B433A" w:rsidP="00037323">
      <w:pPr>
        <w:rPr>
          <w:rFonts w:cs="Calibri"/>
          <w:lang w:val="de-DE"/>
        </w:rPr>
      </w:pPr>
      <w:r>
        <w:rPr>
          <w:rFonts w:cs="Calibri"/>
          <w:lang w:val="de-DE"/>
        </w:rPr>
        <w:t>Wenn das Datum vom Ende einer Maßnahme bekannt ist, wird es berücksichtigt (Beispiel: grüne Zertifikate). Andernfalls wird die Maßnahme bis 2030 linear verlängert (Beispiel: Prämien).</w:t>
      </w:r>
    </w:p>
    <w:p w:rsidR="000B433A" w:rsidRPr="005F5D9D" w:rsidRDefault="000B433A" w:rsidP="00037323">
      <w:pPr>
        <w:rPr>
          <w:rFonts w:cs="Calibri"/>
          <w:lang w:val="de-DE"/>
        </w:rPr>
      </w:pPr>
      <w:r w:rsidRPr="00D07F58">
        <w:rPr>
          <w:lang w:val="de-DE"/>
        </w:rPr>
        <w:t xml:space="preserve">Alle nachstehend dargestellten Grafiken stellen historische Energiebilanzwerte für die Jahre 2005, 2010, 2015 zusammen (die dargestellten Zwischenjahre werden linear hochgerechnet und stellen daher keine offiziellen Daten dar). Die Jahre 2020, 2025 und 2030 werden aus </w:t>
      </w:r>
      <w:r w:rsidRPr="00237962">
        <w:rPr>
          <w:rFonts w:cs="Calibri"/>
          <w:lang w:val="de-DE"/>
        </w:rPr>
        <w:t>Modellierungsergebnissen</w:t>
      </w:r>
      <w:r w:rsidRPr="00D07F58">
        <w:rPr>
          <w:lang w:val="de-DE"/>
        </w:rPr>
        <w:t xml:space="preserve"> abgeleitet und die Zwischenjahre hochgerechnet.</w:t>
      </w:r>
    </w:p>
    <w:p w:rsidR="000B433A" w:rsidRPr="0080007A" w:rsidRDefault="000B433A" w:rsidP="00093D26">
      <w:pPr>
        <w:pStyle w:val="Titre2"/>
        <w:numPr>
          <w:ilvl w:val="1"/>
          <w:numId w:val="1"/>
        </w:numPr>
        <w:ind w:left="851" w:hanging="851"/>
        <w:rPr>
          <w:rFonts w:ascii="Calibri" w:hAnsi="Calibri" w:cs="Calibri"/>
          <w:color w:val="1F497D"/>
          <w:sz w:val="28"/>
          <w:szCs w:val="28"/>
          <w:lang w:val="de-DE"/>
        </w:rPr>
      </w:pPr>
      <w:bookmarkStart w:id="29" w:name="_Toc7802443"/>
      <w:r>
        <w:rPr>
          <w:rFonts w:ascii="Calibri" w:hAnsi="Calibri" w:cs="Calibri"/>
          <w:color w:val="1F497D"/>
          <w:sz w:val="28"/>
          <w:lang w:val="de-DE"/>
        </w:rPr>
        <w:t>Treibhausgasemissionen</w:t>
      </w:r>
      <w:bookmarkEnd w:id="29"/>
    </w:p>
    <w:p w:rsidR="000B433A" w:rsidRPr="005F5D9D" w:rsidRDefault="000B433A" w:rsidP="00EE1806">
      <w:pPr>
        <w:rPr>
          <w:rFonts w:cs="Calibri"/>
          <w:lang w:val="de-DE"/>
        </w:rPr>
      </w:pPr>
      <w:r>
        <w:rPr>
          <w:rFonts w:cs="Calibri"/>
          <w:lang w:val="de-DE"/>
        </w:rPr>
        <w:t xml:space="preserve">Die folgende Tabelle zeigt seit 2005 die Entwicklung der Treibhausgasemissionen aller Wirtschaftszweige und schätzt die Entwicklung bei unveränderter Politik ein (WEM für With Existing Measures). </w:t>
      </w:r>
    </w:p>
    <w:p w:rsidR="000B433A" w:rsidRPr="005F5D9D" w:rsidRDefault="00372180" w:rsidP="00EE1806">
      <w:pPr>
        <w:keepNext/>
        <w:rPr>
          <w:rFonts w:cs="Calibri"/>
          <w:lang w:val="de-DE"/>
        </w:rPr>
      </w:pPr>
      <w:r>
        <w:rPr>
          <w:rFonts w:cs="Calibri"/>
          <w:noProof/>
          <w:lang w:eastAsia="fr-BE"/>
        </w:rPr>
        <w:drawing>
          <wp:inline distT="0" distB="0" distL="0" distR="0">
            <wp:extent cx="5687060" cy="3784600"/>
            <wp:effectExtent l="19050" t="0" r="889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5687060" cy="3784600"/>
                    </a:xfrm>
                    <a:prstGeom prst="rect">
                      <a:avLst/>
                    </a:prstGeom>
                    <a:noFill/>
                    <a:ln w="9525">
                      <a:noFill/>
                      <a:miter lim="800000"/>
                      <a:headEnd/>
                      <a:tailEnd/>
                    </a:ln>
                  </pic:spPr>
                </pic:pic>
              </a:graphicData>
            </a:graphic>
          </wp:inline>
        </w:drawing>
      </w:r>
    </w:p>
    <w:p w:rsidR="000B433A" w:rsidRPr="0080007A" w:rsidRDefault="000B433A" w:rsidP="00EE1806">
      <w:pPr>
        <w:pStyle w:val="Lgende"/>
        <w:rPr>
          <w:rFonts w:cs="Calibri"/>
          <w:lang w:val="de-DE"/>
        </w:rPr>
      </w:pPr>
      <w:r>
        <w:rPr>
          <w:rFonts w:cs="Calibri"/>
          <w:lang w:val="de-DE"/>
        </w:rPr>
        <w:t xml:space="preserve">Abbildung </w:t>
      </w:r>
      <w:r w:rsidR="005A6B21" w:rsidRPr="0080007A">
        <w:rPr>
          <w:rFonts w:cs="Calibri"/>
          <w:lang w:val="de-DE"/>
        </w:rPr>
        <w:fldChar w:fldCharType="begin"/>
      </w:r>
      <w:r w:rsidRPr="0080007A">
        <w:rPr>
          <w:rFonts w:cs="Calibri"/>
          <w:lang w:val="de-DE"/>
        </w:rPr>
        <w:instrText xml:space="preserve"> SEQ Figure \* ARABIC </w:instrText>
      </w:r>
      <w:r w:rsidR="005A6B21" w:rsidRPr="0080007A">
        <w:rPr>
          <w:rFonts w:cs="Calibri"/>
          <w:lang w:val="de-DE"/>
        </w:rPr>
        <w:fldChar w:fldCharType="separate"/>
      </w:r>
      <w:r>
        <w:rPr>
          <w:rFonts w:cs="Calibri"/>
          <w:lang w:val="de-DE"/>
        </w:rPr>
        <w:t>14</w:t>
      </w:r>
      <w:r w:rsidR="005A6B21" w:rsidRPr="0080007A">
        <w:rPr>
          <w:rFonts w:cs="Calibri"/>
          <w:lang w:val="de-DE"/>
        </w:rPr>
        <w:fldChar w:fldCharType="end"/>
      </w:r>
      <w:r>
        <w:rPr>
          <w:rFonts w:cs="Calibri"/>
          <w:lang w:val="de-DE"/>
        </w:rPr>
        <w:t xml:space="preserve">: Entwicklung der Treibhausgasemissionen nach Sektoren </w:t>
      </w:r>
    </w:p>
    <w:p w:rsidR="000B433A" w:rsidRPr="005F5D9D" w:rsidRDefault="000B433A" w:rsidP="00EE1806">
      <w:pPr>
        <w:rPr>
          <w:rFonts w:cs="Calibri"/>
          <w:lang w:val="de-DE"/>
        </w:rPr>
      </w:pPr>
      <w:r>
        <w:rPr>
          <w:rFonts w:cs="Calibri"/>
          <w:lang w:val="de-DE"/>
        </w:rPr>
        <w:t>Ohne zusätzliche Maßnahmen werden die Emissionen aus jedem Sektor über den gesamten Zeitraum bis 2030 weitgehend stabil bleiben. Für die Sektoren Energieerzeugung, Industrie und Transport sind jedoch einige Steigerungen vorgesehen. Was den Sektor der Energieerzeugung betrifft, wird dieser im Jahr 2025 einen starken Anstieg der Emissionen verzeichnen, was der Schließung der Atomkraftwerke und deren teilweisen Ersatz durch Gaskraftwerke geschuldet ist, trotz zunehmender Stromerzeugung aus erneuerbaren Energien. Für den Industriesektor ist zwischen 2015 und 2020 ein Anstieg zu verzeichnen, da geschätzt wurde, dass der Sektor zu einem Aktivitätsniveau zurückkehren wird, das mit dem Niveau vergleichbar ist, das 2008 vor der Krise bestand. Und es wird geschätzt, dass die Aktivität im Verkehrssektor ihr bisheriges Wachstum fortsetzt.</w:t>
      </w:r>
    </w:p>
    <w:p w:rsidR="000B433A" w:rsidRPr="005F5D9D" w:rsidRDefault="000B433A" w:rsidP="00EE1806">
      <w:pPr>
        <w:rPr>
          <w:rFonts w:cs="Calibri"/>
          <w:lang w:val="de-DE"/>
        </w:rPr>
      </w:pPr>
      <w:r>
        <w:rPr>
          <w:rFonts w:cs="Calibri"/>
          <w:lang w:val="de-DE"/>
        </w:rPr>
        <w:t>Die folgenden Abschnitte beschreiben die wichtigsten geschätzten Veränderungen nach Sektoren.</w:t>
      </w:r>
    </w:p>
    <w:p w:rsidR="000B433A" w:rsidRPr="0080007A" w:rsidRDefault="000B433A" w:rsidP="00EE1806">
      <w:pPr>
        <w:rPr>
          <w:rFonts w:cs="Calibri"/>
          <w:color w:val="4F81BD"/>
          <w:u w:val="single"/>
          <w:lang w:val="de-DE"/>
        </w:rPr>
      </w:pPr>
      <w:r>
        <w:rPr>
          <w:rFonts w:cs="Calibri"/>
          <w:color w:val="4F81BD"/>
          <w:u w:val="single"/>
          <w:lang w:val="de-DE"/>
        </w:rPr>
        <w:t>Stromerzeugung</w:t>
      </w:r>
    </w:p>
    <w:p w:rsidR="000B433A" w:rsidRPr="005F5D9D" w:rsidRDefault="000B433A" w:rsidP="00EE1806">
      <w:pPr>
        <w:rPr>
          <w:rFonts w:cs="Calibri"/>
          <w:u w:val="single"/>
          <w:lang w:val="de-DE"/>
        </w:rPr>
      </w:pPr>
      <w:r>
        <w:rPr>
          <w:rFonts w:cs="Calibri"/>
          <w:lang w:val="de-DE"/>
        </w:rPr>
        <w:t>Zwischen 2005 und 2030 stiegen die Emissionen aus dem Stromerzeugungssektor um 12 % und ab 2025 deutlich an, was auf die Schließung von Kernkraftwerken und deren teilweisen Ersatz durch Gaskraftwerke zurückzuführen ist.</w:t>
      </w:r>
    </w:p>
    <w:p w:rsidR="000B433A" w:rsidRPr="0080007A" w:rsidRDefault="000B433A" w:rsidP="00EE1806">
      <w:pPr>
        <w:rPr>
          <w:rFonts w:cs="Calibri"/>
          <w:color w:val="4F81BD"/>
          <w:u w:val="single"/>
          <w:lang w:val="de-DE"/>
        </w:rPr>
      </w:pPr>
      <w:r>
        <w:rPr>
          <w:rFonts w:cs="Calibri"/>
          <w:color w:val="4F81BD"/>
          <w:u w:val="single"/>
          <w:lang w:val="de-DE"/>
        </w:rPr>
        <w:t>Industrie</w:t>
      </w:r>
    </w:p>
    <w:p w:rsidR="000B433A" w:rsidRPr="005F5D9D" w:rsidRDefault="000B433A" w:rsidP="00EE1806">
      <w:pPr>
        <w:rPr>
          <w:rFonts w:cs="Calibri"/>
          <w:lang w:val="de-DE"/>
        </w:rPr>
      </w:pPr>
      <w:r>
        <w:rPr>
          <w:rFonts w:cs="Calibri"/>
          <w:lang w:val="de-DE"/>
        </w:rPr>
        <w:t xml:space="preserve">Zwischen 2005 und 2030 sanken die Emissionen des Industriesektors um 39 %. </w:t>
      </w:r>
    </w:p>
    <w:p w:rsidR="000B433A" w:rsidRPr="005F5D9D" w:rsidRDefault="000B433A" w:rsidP="00EE1806">
      <w:pPr>
        <w:rPr>
          <w:rFonts w:cs="Calibri"/>
          <w:lang w:val="de-DE"/>
        </w:rPr>
      </w:pPr>
      <w:r>
        <w:rPr>
          <w:rFonts w:cs="Calibri"/>
          <w:lang w:val="de-DE"/>
        </w:rPr>
        <w:t>Die Treibhausgasemissionen des Industriesektors steigen bis 2020 und bleiben dann relativ stabil (trotz Wirtschaftswachstum werden Anstrengungen zur Energieeffizienz unternommen).</w:t>
      </w:r>
    </w:p>
    <w:p w:rsidR="000B433A" w:rsidRPr="0080007A" w:rsidRDefault="000B433A" w:rsidP="00EE1806">
      <w:pPr>
        <w:rPr>
          <w:rFonts w:cs="Calibri"/>
          <w:color w:val="4F81BD"/>
          <w:u w:val="single"/>
          <w:lang w:val="de-DE"/>
        </w:rPr>
      </w:pPr>
      <w:r>
        <w:rPr>
          <w:rFonts w:cs="Calibri"/>
          <w:color w:val="4F81BD"/>
          <w:u w:val="single"/>
          <w:lang w:val="de-DE"/>
        </w:rPr>
        <w:t>Transport</w:t>
      </w:r>
    </w:p>
    <w:p w:rsidR="000B433A" w:rsidRPr="005F5D9D" w:rsidRDefault="000B433A" w:rsidP="00EE1806">
      <w:pPr>
        <w:rPr>
          <w:rFonts w:cs="Calibri"/>
          <w:lang w:val="de-DE"/>
        </w:rPr>
      </w:pPr>
      <w:r>
        <w:rPr>
          <w:rFonts w:cs="Calibri"/>
          <w:lang w:val="de-DE"/>
        </w:rPr>
        <w:t>Zwischen 2005 und 2030 stiegen die Emissionen des Verkehrssektors um 8 %.</w:t>
      </w:r>
    </w:p>
    <w:p w:rsidR="000B433A" w:rsidRPr="005F5D9D" w:rsidRDefault="000B433A" w:rsidP="00EE1806">
      <w:pPr>
        <w:rPr>
          <w:rFonts w:cs="Calibri"/>
          <w:u w:val="single"/>
          <w:lang w:val="de-DE"/>
        </w:rPr>
      </w:pPr>
      <w:r>
        <w:rPr>
          <w:rFonts w:cs="Calibri"/>
          <w:lang w:val="de-DE"/>
        </w:rPr>
        <w:t>Ursache für den Anstieg der Emissionen ist die Entwicklung des Straßenverkehrs, da die Emissionen anderer Verkehrsträger stabil bleiben.</w:t>
      </w:r>
    </w:p>
    <w:p w:rsidR="000B433A" w:rsidRPr="0080007A" w:rsidRDefault="000B433A" w:rsidP="00EE1806">
      <w:pPr>
        <w:rPr>
          <w:rFonts w:cs="Calibri"/>
          <w:color w:val="4F81BD"/>
          <w:u w:val="single"/>
          <w:lang w:val="de-DE"/>
        </w:rPr>
      </w:pPr>
      <w:r>
        <w:rPr>
          <w:rFonts w:cs="Calibri"/>
          <w:color w:val="4F81BD"/>
          <w:u w:val="single"/>
          <w:lang w:val="de-DE"/>
        </w:rPr>
        <w:t>Wohnungssektor</w:t>
      </w:r>
    </w:p>
    <w:p w:rsidR="000B433A" w:rsidRPr="005F5D9D" w:rsidRDefault="000B433A" w:rsidP="00EE1806">
      <w:pPr>
        <w:rPr>
          <w:rFonts w:cs="Calibri"/>
          <w:lang w:val="de-DE"/>
        </w:rPr>
      </w:pPr>
      <w:r>
        <w:rPr>
          <w:rFonts w:cs="Calibri"/>
          <w:lang w:val="de-DE"/>
        </w:rPr>
        <w:t xml:space="preserve">Zwischen 2005 und 2030 sanken die Emissionen des Industriesektors um 30 %. </w:t>
      </w:r>
    </w:p>
    <w:p w:rsidR="000B433A" w:rsidRPr="005F5D9D" w:rsidRDefault="000B433A" w:rsidP="00EE1806">
      <w:pPr>
        <w:rPr>
          <w:rFonts w:cs="Calibri"/>
          <w:lang w:val="de-DE"/>
        </w:rPr>
      </w:pPr>
      <w:r>
        <w:rPr>
          <w:rFonts w:cs="Calibri"/>
          <w:lang w:val="de-DE"/>
        </w:rPr>
        <w:t xml:space="preserve">Insgesamt sanken die Treibhausgasemissionen im Zeitraum 2012 - 2030 bei konstantem Klima um 4,6 %. Es sei jedoch daran erinnert, dass das Wachstum des Wohnungsbestands im gleichen Zeitraum 11,7 % beträgt. Die durchschnittlichen globalen Treibhausgasemissionen pro Wohnung sanken daher im Laufe des Zeitraums um 6,2 %. </w:t>
      </w:r>
    </w:p>
    <w:p w:rsidR="000B433A" w:rsidRPr="005F5D9D" w:rsidRDefault="000B433A" w:rsidP="00EE1806">
      <w:pPr>
        <w:rPr>
          <w:rFonts w:cs="Calibri"/>
          <w:lang w:val="de-DE"/>
        </w:rPr>
      </w:pPr>
      <w:r>
        <w:rPr>
          <w:rFonts w:cs="Calibri"/>
          <w:lang w:val="de-DE"/>
        </w:rPr>
        <w:t xml:space="preserve">Die Emissionen pro Wohnung, die sich speziell auf die Heizung beziehen, sanken zwischen 2012 und 2030 um 15,8 %, was auf die Renovierung einiger bestehender Wohnungen und die Energieeffizienz neuer Wohnungen zurückzuführen ist. </w:t>
      </w:r>
    </w:p>
    <w:p w:rsidR="000B433A" w:rsidRPr="0080007A" w:rsidRDefault="000B433A" w:rsidP="00EE1806">
      <w:pPr>
        <w:rPr>
          <w:rFonts w:cs="Calibri"/>
          <w:color w:val="4F81BD"/>
          <w:u w:val="single"/>
          <w:lang w:val="de-DE"/>
        </w:rPr>
      </w:pPr>
      <w:r>
        <w:rPr>
          <w:rFonts w:cs="Calibri"/>
          <w:color w:val="4F81BD"/>
          <w:u w:val="single"/>
          <w:lang w:val="de-DE"/>
        </w:rPr>
        <w:t>Dienstleistungen</w:t>
      </w:r>
    </w:p>
    <w:p w:rsidR="000B433A" w:rsidRPr="005F5D9D" w:rsidRDefault="000B433A" w:rsidP="00EE1806">
      <w:pPr>
        <w:rPr>
          <w:rFonts w:cs="Calibri"/>
          <w:lang w:val="de-DE"/>
        </w:rPr>
      </w:pPr>
      <w:r>
        <w:rPr>
          <w:rFonts w:cs="Calibri"/>
          <w:lang w:val="de-DE"/>
        </w:rPr>
        <w:t>Zwischen 2005 und 2030 sinken die Emissionen des Dienstleistungssektors um 4 %.</w:t>
      </w:r>
    </w:p>
    <w:p w:rsidR="000B433A" w:rsidRPr="005F5D9D" w:rsidRDefault="000B433A" w:rsidP="00EE1806">
      <w:pPr>
        <w:rPr>
          <w:rFonts w:cs="Calibri"/>
          <w:lang w:val="de-DE"/>
        </w:rPr>
      </w:pPr>
      <w:r>
        <w:rPr>
          <w:rFonts w:cs="Calibri"/>
          <w:lang w:val="de-DE"/>
        </w:rPr>
        <w:t>Im Zeitraum 2012 - 2030 sinken die direkten Treibhausgasemissionen um 8,2 %, was einer Verringerung um 0,4 % pro Jahr entspricht. Im gleichen Zeitraum stieg die Zahl der Gebäude um 10,7 %. Die Treibhausgasemissionen pro m² sinken daher um 17,8 %, was einer Senkung von 0,8 % pro Jahr entspricht.</w:t>
      </w:r>
    </w:p>
    <w:p w:rsidR="000B433A" w:rsidRPr="0080007A" w:rsidRDefault="000B433A" w:rsidP="00EE1806">
      <w:pPr>
        <w:rPr>
          <w:rFonts w:cs="Calibri"/>
          <w:color w:val="4F81BD"/>
          <w:u w:val="single"/>
          <w:lang w:val="de-DE"/>
        </w:rPr>
      </w:pPr>
      <w:r>
        <w:rPr>
          <w:rFonts w:cs="Calibri"/>
          <w:color w:val="4F81BD"/>
          <w:u w:val="single"/>
          <w:lang w:val="de-DE"/>
        </w:rPr>
        <w:t>Landwirtschaft</w:t>
      </w:r>
    </w:p>
    <w:p w:rsidR="000B433A" w:rsidRPr="005F5D9D" w:rsidRDefault="000B433A" w:rsidP="00EE1806">
      <w:pPr>
        <w:rPr>
          <w:rFonts w:cs="Calibri"/>
          <w:lang w:val="de-DE"/>
        </w:rPr>
      </w:pPr>
      <w:r>
        <w:rPr>
          <w:rFonts w:cs="Calibri"/>
          <w:lang w:val="de-DE"/>
        </w:rPr>
        <w:t xml:space="preserve">Zwischen 2005 und 2030 sinken die Emissionen des Landwirtschaftssektors um 19 %. </w:t>
      </w:r>
    </w:p>
    <w:p w:rsidR="000B433A" w:rsidRPr="005F5D9D" w:rsidRDefault="000B433A" w:rsidP="00EE1806">
      <w:pPr>
        <w:rPr>
          <w:rFonts w:cs="Calibri"/>
          <w:lang w:val="de-DE"/>
        </w:rPr>
      </w:pPr>
      <w:r>
        <w:rPr>
          <w:rFonts w:cs="Calibri"/>
          <w:lang w:val="de-DE"/>
        </w:rPr>
        <w:t>Zur Abschätzung des tendenziellen Szenarios wurden frühere Trends der Entwicklung des Viehbestandes und der Düngemittelanwendung herangezogen.</w:t>
      </w:r>
    </w:p>
    <w:p w:rsidR="000B433A" w:rsidRPr="0080007A" w:rsidRDefault="000B433A" w:rsidP="00EE1806">
      <w:pPr>
        <w:rPr>
          <w:rFonts w:cs="Calibri"/>
          <w:color w:val="4F81BD"/>
          <w:u w:val="single"/>
          <w:lang w:val="de-DE"/>
        </w:rPr>
      </w:pPr>
      <w:r>
        <w:rPr>
          <w:rFonts w:cs="Calibri"/>
          <w:color w:val="4F81BD"/>
          <w:u w:val="single"/>
          <w:lang w:val="de-DE"/>
        </w:rPr>
        <w:t>Abfälle</w:t>
      </w:r>
    </w:p>
    <w:p w:rsidR="000B433A" w:rsidRPr="005F5D9D" w:rsidRDefault="000B433A" w:rsidP="00EE1806">
      <w:pPr>
        <w:rPr>
          <w:rFonts w:cs="Calibri"/>
          <w:lang w:val="de-DE"/>
        </w:rPr>
      </w:pPr>
      <w:r>
        <w:rPr>
          <w:rFonts w:cs="Calibri"/>
          <w:lang w:val="de-DE"/>
        </w:rPr>
        <w:t>Zwischen 2005 und 2030 sinken die CO</w:t>
      </w:r>
      <w:r w:rsidRPr="0080007A">
        <w:rPr>
          <w:rFonts w:cs="Calibri"/>
          <w:vertAlign w:val="subscript"/>
          <w:lang w:val="de-DE"/>
        </w:rPr>
        <w:t>2</w:t>
      </w:r>
      <w:r>
        <w:rPr>
          <w:rFonts w:cs="Calibri"/>
          <w:lang w:val="de-DE"/>
        </w:rPr>
        <w:t>-Emissionen des Abfallsektors um 69 %.</w:t>
      </w:r>
    </w:p>
    <w:p w:rsidR="000B433A" w:rsidRPr="0080007A" w:rsidRDefault="000B433A" w:rsidP="00EE1806">
      <w:pPr>
        <w:rPr>
          <w:rFonts w:cs="Calibri"/>
          <w:color w:val="4F81BD"/>
          <w:u w:val="single"/>
          <w:lang w:val="de-DE"/>
        </w:rPr>
      </w:pPr>
      <w:r>
        <w:rPr>
          <w:rFonts w:cs="Calibri"/>
          <w:color w:val="4F81BD"/>
          <w:u w:val="single"/>
          <w:lang w:val="de-DE"/>
        </w:rPr>
        <w:t>Sonstige</w:t>
      </w:r>
    </w:p>
    <w:p w:rsidR="000B433A" w:rsidRPr="005F5D9D" w:rsidRDefault="000B433A" w:rsidP="00EE1806">
      <w:pPr>
        <w:rPr>
          <w:rFonts w:cs="Calibri"/>
          <w:lang w:val="de-DE"/>
        </w:rPr>
      </w:pPr>
      <w:r>
        <w:rPr>
          <w:rFonts w:cs="Calibri"/>
          <w:lang w:val="de-DE"/>
        </w:rPr>
        <w:t>Zwischen 2005 und 2030 sinken die Emissionen aus anderen als den oben genannten Sektoren um 37 %.</w:t>
      </w:r>
    </w:p>
    <w:p w:rsidR="000B433A" w:rsidRPr="005F5D9D" w:rsidRDefault="000B433A" w:rsidP="00EE1806">
      <w:pPr>
        <w:rPr>
          <w:rFonts w:cs="Calibri"/>
          <w:lang w:val="de-DE"/>
        </w:rPr>
      </w:pPr>
      <w:r>
        <w:rPr>
          <w:rFonts w:cs="Calibri"/>
          <w:lang w:val="de-DE"/>
        </w:rPr>
        <w:t xml:space="preserve">Dazu gehören auch Sektoren, die fluorierte Gase verwenden, deren Emissionen allmählich abnehmen, um den geltenden Rechtsvorschriften zu entsprechen. Ebenfalls enthalten sind flüchtige Emissionen aus dem Militärsektor, die bei den Schätzungen für das Referenzszenario konstant bleiben. </w:t>
      </w:r>
    </w:p>
    <w:p w:rsidR="000B433A" w:rsidRPr="00093D26" w:rsidRDefault="000B433A" w:rsidP="00093D26">
      <w:pPr>
        <w:pStyle w:val="Titre2"/>
        <w:numPr>
          <w:ilvl w:val="1"/>
          <w:numId w:val="1"/>
        </w:numPr>
        <w:ind w:left="851" w:hanging="851"/>
        <w:rPr>
          <w:rFonts w:ascii="Calibri" w:hAnsi="Calibri" w:cs="Calibri"/>
          <w:color w:val="1F497D"/>
          <w:sz w:val="28"/>
          <w:szCs w:val="28"/>
          <w:lang w:val="de-DE"/>
        </w:rPr>
      </w:pPr>
      <w:bookmarkStart w:id="30" w:name="_Toc7802444"/>
      <w:r>
        <w:rPr>
          <w:rFonts w:ascii="Calibri" w:hAnsi="Calibri" w:cs="Calibri"/>
          <w:color w:val="1F497D"/>
          <w:sz w:val="28"/>
          <w:lang w:val="de-DE"/>
        </w:rPr>
        <w:t>Energieeffizienz</w:t>
      </w:r>
      <w:bookmarkEnd w:id="30"/>
      <w:r>
        <w:rPr>
          <w:rFonts w:ascii="Calibri" w:hAnsi="Calibri" w:cs="Calibri"/>
          <w:color w:val="1F497D"/>
          <w:sz w:val="28"/>
          <w:lang w:val="de-DE"/>
        </w:rPr>
        <w:t xml:space="preserve"> </w:t>
      </w:r>
    </w:p>
    <w:p w:rsidR="000B433A" w:rsidRDefault="000B433A">
      <w:pPr>
        <w:spacing w:line="240" w:lineRule="auto"/>
        <w:rPr>
          <w:rFonts w:cs="Calibri"/>
          <w:lang w:val="de-DE"/>
        </w:rPr>
      </w:pPr>
      <w:r>
        <w:rPr>
          <w:rFonts w:cs="Calibri"/>
          <w:lang w:val="de-DE"/>
        </w:rPr>
        <w:t>Der Endenergieverbrauch zeigt im Vergleich zu 2015 bis zum Jahr 2030 einen Aufwärtstrend. Dieser Anstieg ist hauptsächlich auf den Transport zurückzuführen.</w:t>
      </w:r>
    </w:p>
    <w:p w:rsidR="000B433A" w:rsidRDefault="000B433A" w:rsidP="00037323">
      <w:pPr>
        <w:spacing w:line="240" w:lineRule="auto"/>
        <w:rPr>
          <w:rFonts w:cs="Calibri"/>
          <w:lang w:val="de-DE"/>
        </w:rPr>
      </w:pPr>
    </w:p>
    <w:p w:rsidR="000B433A" w:rsidRDefault="00372180">
      <w:pPr>
        <w:spacing w:line="240" w:lineRule="auto"/>
        <w:jc w:val="center"/>
        <w:rPr>
          <w:rFonts w:cs="Calibri"/>
          <w:lang w:val="de-DE"/>
        </w:rPr>
      </w:pPr>
      <w:r>
        <w:rPr>
          <w:noProof/>
          <w:lang w:eastAsia="fr-BE"/>
        </w:rPr>
        <w:drawing>
          <wp:inline distT="0" distB="0" distL="0" distR="0">
            <wp:extent cx="5126990" cy="3181985"/>
            <wp:effectExtent l="19050" t="0" r="0" b="0"/>
            <wp:docPr id="25" name="Graphiqu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26"/>
                    <pic:cNvPicPr>
                      <a:picLocks noChangeArrowheads="1"/>
                    </pic:cNvPicPr>
                  </pic:nvPicPr>
                  <pic:blipFill>
                    <a:blip r:embed="rId30"/>
                    <a:srcRect b="-60"/>
                    <a:stretch>
                      <a:fillRect/>
                    </a:stretch>
                  </pic:blipFill>
                  <pic:spPr bwMode="auto">
                    <a:xfrm>
                      <a:off x="0" y="0"/>
                      <a:ext cx="5126990" cy="3181985"/>
                    </a:xfrm>
                    <a:prstGeom prst="rect">
                      <a:avLst/>
                    </a:prstGeom>
                    <a:noFill/>
                    <a:ln w="9525">
                      <a:noFill/>
                      <a:miter lim="800000"/>
                      <a:headEnd/>
                      <a:tailEnd/>
                    </a:ln>
                  </pic:spPr>
                </pic:pic>
              </a:graphicData>
            </a:graphic>
          </wp:inline>
        </w:drawing>
      </w:r>
    </w:p>
    <w:p w:rsidR="000B433A" w:rsidRDefault="000B433A" w:rsidP="00037323">
      <w:pPr>
        <w:spacing w:line="240" w:lineRule="auto"/>
        <w:rPr>
          <w:rFonts w:cs="Calibri"/>
          <w:lang w:val="de-DE"/>
        </w:rPr>
      </w:pPr>
      <w:r>
        <w:rPr>
          <w:rFonts w:cs="Calibri"/>
          <w:lang w:val="de-DE"/>
        </w:rPr>
        <w:t>Trotz dieses Anstiegs sinkt der Primärenergieverbrauch bis 2030, was auf die Schließung von Kernkraftwerken, die teilweise durch Gasdampfturbinenkraftwerke und erneuerbare Energien ersetzt wurden, und ein relativ hohes Importniveau zurückzuführen ist.</w:t>
      </w:r>
    </w:p>
    <w:p w:rsidR="000B433A" w:rsidRPr="00093D26" w:rsidRDefault="000B433A" w:rsidP="00093D26">
      <w:pPr>
        <w:pStyle w:val="Titre2"/>
        <w:numPr>
          <w:ilvl w:val="1"/>
          <w:numId w:val="1"/>
        </w:numPr>
        <w:ind w:left="851" w:hanging="851"/>
        <w:rPr>
          <w:rFonts w:ascii="Calibri" w:hAnsi="Calibri" w:cs="Calibri"/>
          <w:color w:val="1F497D"/>
          <w:sz w:val="28"/>
          <w:szCs w:val="28"/>
          <w:lang w:val="de-DE"/>
        </w:rPr>
      </w:pPr>
      <w:bookmarkStart w:id="31" w:name="_Toc7802445"/>
      <w:r>
        <w:rPr>
          <w:rFonts w:ascii="Calibri" w:hAnsi="Calibri" w:cs="Calibri"/>
          <w:color w:val="1F497D"/>
          <w:sz w:val="28"/>
          <w:lang w:val="de-DE"/>
        </w:rPr>
        <w:t>Erneuerbare Energie</w:t>
      </w:r>
      <w:bookmarkEnd w:id="31"/>
    </w:p>
    <w:p w:rsidR="000B433A" w:rsidRDefault="000B433A" w:rsidP="00037323">
      <w:pPr>
        <w:spacing w:line="240" w:lineRule="auto"/>
        <w:rPr>
          <w:rFonts w:cs="Calibri"/>
          <w:lang w:val="de-DE"/>
        </w:rPr>
      </w:pPr>
      <w:r>
        <w:rPr>
          <w:rFonts w:cs="Calibri"/>
          <w:lang w:val="de-DE"/>
        </w:rPr>
        <w:t xml:space="preserve">Der Anteil der erneuerbaren Energiequellen (EE) steigt bei unverändertem politischem Szenario von 10,74 % im Jahr 2015 auf 12,98 % im Jahr 2030. Die Veränderungsrate variiert je nach Branche und Sektor. </w:t>
      </w:r>
    </w:p>
    <w:p w:rsidR="000B433A" w:rsidRDefault="00372180">
      <w:pPr>
        <w:spacing w:line="240" w:lineRule="auto"/>
        <w:jc w:val="center"/>
        <w:rPr>
          <w:rFonts w:cs="Calibri"/>
          <w:lang w:val="de-DE"/>
        </w:rPr>
      </w:pPr>
      <w:r>
        <w:rPr>
          <w:noProof/>
          <w:lang w:eastAsia="fr-BE"/>
        </w:rPr>
        <w:drawing>
          <wp:inline distT="0" distB="0" distL="0" distR="0">
            <wp:extent cx="4587875" cy="2426335"/>
            <wp:effectExtent l="19050" t="0" r="3175" b="0"/>
            <wp:docPr id="26" name="Graphique 17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7033"/>
                    <pic:cNvPicPr>
                      <a:picLocks noChangeArrowheads="1"/>
                    </pic:cNvPicPr>
                  </pic:nvPicPr>
                  <pic:blipFill>
                    <a:blip r:embed="rId31"/>
                    <a:srcRect/>
                    <a:stretch>
                      <a:fillRect/>
                    </a:stretch>
                  </pic:blipFill>
                  <pic:spPr bwMode="auto">
                    <a:xfrm>
                      <a:off x="0" y="0"/>
                      <a:ext cx="4587875" cy="2426335"/>
                    </a:xfrm>
                    <a:prstGeom prst="rect">
                      <a:avLst/>
                    </a:prstGeom>
                    <a:noFill/>
                    <a:ln w="9525">
                      <a:noFill/>
                      <a:miter lim="800000"/>
                      <a:headEnd/>
                      <a:tailEnd/>
                    </a:ln>
                  </pic:spPr>
                </pic:pic>
              </a:graphicData>
            </a:graphic>
          </wp:inline>
        </w:drawing>
      </w:r>
    </w:p>
    <w:p w:rsidR="000B433A" w:rsidRPr="005F5D9D" w:rsidRDefault="000B433A" w:rsidP="00417A23">
      <w:pPr>
        <w:rPr>
          <w:rFonts w:cs="Calibri"/>
          <w:i/>
          <w:lang w:val="de-DE"/>
        </w:rPr>
      </w:pPr>
      <w:r>
        <w:rPr>
          <w:rFonts w:cs="Calibri"/>
          <w:lang w:val="de-DE"/>
        </w:rPr>
        <w:t xml:space="preserve">Bei der </w:t>
      </w:r>
      <w:r w:rsidRPr="003514A5">
        <w:rPr>
          <w:u w:val="single"/>
          <w:lang w:val="de-DE"/>
        </w:rPr>
        <w:t>Stromerzeugung aus erneuerbaren Energien</w:t>
      </w:r>
      <w:r>
        <w:rPr>
          <w:rFonts w:cs="Calibri"/>
          <w:lang w:val="de-DE"/>
        </w:rPr>
        <w:t xml:space="preserve"> wird der Mechanismus der grünen Zertifikate bis 2024 durch zusätzliche Produktion im Zusammenhang mit den vom EWR vom 26.11.2015 vorgesehenen Budgets berücksichtigt. Unter dem Einfluss des Mechanismus wächst die Stromerzeugung aus erneuerbaren Energien bis 2024 und stabilisiert sich dann (mangels Fortsetzung des Fördermechanismus für grüne Zertifikate nach 2024), mit Ausnahme der kleinen Photovoltaik. </w:t>
      </w:r>
    </w:p>
    <w:p w:rsidR="000B433A" w:rsidRPr="005F5D9D" w:rsidRDefault="000B433A" w:rsidP="00037323">
      <w:pPr>
        <w:spacing w:line="240" w:lineRule="auto"/>
        <w:rPr>
          <w:rFonts w:cs="Calibri"/>
          <w:lang w:val="de-DE"/>
        </w:rPr>
      </w:pPr>
      <w:r>
        <w:rPr>
          <w:rFonts w:cs="Calibri"/>
          <w:lang w:val="de-DE"/>
        </w:rPr>
        <w:t>Es wird davon ausgegangen, dass alle 2014 bestehenden Anlagen für erneuerbare Energiequellen innerhalb des Prognosezeitraums weiter bestehen werden, mit Ausnahme der Biomasseanlage AWIRS 4, die nach 2020 stillgelegt wird.</w:t>
      </w:r>
    </w:p>
    <w:p w:rsidR="000B433A" w:rsidRDefault="000B433A" w:rsidP="00037323">
      <w:pPr>
        <w:spacing w:line="240" w:lineRule="auto"/>
        <w:rPr>
          <w:rFonts w:cs="Calibri"/>
          <w:lang w:val="de-DE"/>
        </w:rPr>
      </w:pPr>
    </w:p>
    <w:p w:rsidR="000B433A" w:rsidRPr="005F5D9D" w:rsidRDefault="000B433A" w:rsidP="00037323">
      <w:pPr>
        <w:spacing w:line="240" w:lineRule="auto"/>
        <w:rPr>
          <w:rFonts w:cs="Calibri"/>
          <w:lang w:val="de-DE"/>
        </w:rPr>
      </w:pPr>
      <w:r w:rsidRPr="00D07F58">
        <w:rPr>
          <w:lang w:val="de-DE"/>
        </w:rPr>
        <w:t xml:space="preserve"> </w:t>
      </w:r>
      <w:r w:rsidR="00372180">
        <w:rPr>
          <w:noProof/>
          <w:lang w:eastAsia="fr-BE"/>
        </w:rPr>
        <w:drawing>
          <wp:inline distT="0" distB="0" distL="0" distR="0">
            <wp:extent cx="5126990" cy="3134360"/>
            <wp:effectExtent l="19050" t="0" r="0" b="0"/>
            <wp:docPr id="27" name="Graphique 17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7029"/>
                    <pic:cNvPicPr>
                      <a:picLocks noChangeArrowheads="1"/>
                    </pic:cNvPicPr>
                  </pic:nvPicPr>
                  <pic:blipFill>
                    <a:blip r:embed="rId32"/>
                    <a:srcRect b="-102"/>
                    <a:stretch>
                      <a:fillRect/>
                    </a:stretch>
                  </pic:blipFill>
                  <pic:spPr bwMode="auto">
                    <a:xfrm>
                      <a:off x="0" y="0"/>
                      <a:ext cx="5126990" cy="3134360"/>
                    </a:xfrm>
                    <a:prstGeom prst="rect">
                      <a:avLst/>
                    </a:prstGeom>
                    <a:noFill/>
                    <a:ln w="9525">
                      <a:noFill/>
                      <a:miter lim="800000"/>
                      <a:headEnd/>
                      <a:tailEnd/>
                    </a:ln>
                  </pic:spPr>
                </pic:pic>
              </a:graphicData>
            </a:graphic>
          </wp:inline>
        </w:drawing>
      </w:r>
    </w:p>
    <w:p w:rsidR="000B433A" w:rsidRPr="005F5D9D" w:rsidRDefault="000B433A" w:rsidP="00037323">
      <w:pPr>
        <w:rPr>
          <w:rFonts w:cs="Calibri"/>
          <w:lang w:val="de-DE"/>
        </w:rPr>
      </w:pPr>
      <w:r>
        <w:rPr>
          <w:rFonts w:cs="Calibri"/>
          <w:lang w:val="de-DE"/>
        </w:rPr>
        <w:t>Die Erzeugung von Strom aus erneuerbaren Energien betrifft hauptsächlich Windkraft, Biomasse (eventuell durch Kraft-Wärme-Kopplung) und Photovoltaik.</w:t>
      </w:r>
    </w:p>
    <w:p w:rsidR="000B433A" w:rsidRDefault="000B433A" w:rsidP="00037323">
      <w:pPr>
        <w:rPr>
          <w:rFonts w:cs="Calibri"/>
          <w:lang w:val="de-DE"/>
        </w:rPr>
      </w:pPr>
      <w:r>
        <w:rPr>
          <w:rFonts w:cs="Calibri"/>
          <w:lang w:val="de-DE"/>
        </w:rPr>
        <w:t xml:space="preserve">Die Produktion von </w:t>
      </w:r>
      <w:r w:rsidRPr="003514A5">
        <w:rPr>
          <w:u w:val="single"/>
          <w:lang w:val="de-DE"/>
        </w:rPr>
        <w:t>erneuerbarer Wärme</w:t>
      </w:r>
      <w:r>
        <w:rPr>
          <w:rFonts w:cs="Calibri"/>
          <w:lang w:val="de-DE"/>
        </w:rPr>
        <w:t xml:space="preserve"> zeigt in jeder Branche ein leichtes Wachstum. Die Kraft-Wärme-Kopplung wird durch den Mechanismus der grünen Zertifikate stimuliert, während andere Branchen durch bestehende Fördermechanismen und Verpflichtungen zur Energieeffizienz angetrieben werden.</w:t>
      </w:r>
    </w:p>
    <w:p w:rsidR="000B433A" w:rsidRDefault="00372180">
      <w:pPr>
        <w:jc w:val="center"/>
        <w:rPr>
          <w:rFonts w:cs="Calibri"/>
          <w:lang w:val="de-DE"/>
        </w:rPr>
      </w:pPr>
      <w:r>
        <w:rPr>
          <w:noProof/>
          <w:lang w:eastAsia="fr-BE"/>
        </w:rPr>
        <w:drawing>
          <wp:inline distT="0" distB="0" distL="0" distR="0">
            <wp:extent cx="5253990" cy="3514725"/>
            <wp:effectExtent l="19050" t="0" r="3810" b="0"/>
            <wp:docPr id="28" name="Graphique 17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7028"/>
                    <pic:cNvPicPr>
                      <a:picLocks noChangeArrowheads="1"/>
                    </pic:cNvPicPr>
                  </pic:nvPicPr>
                  <pic:blipFill>
                    <a:blip r:embed="rId33"/>
                    <a:srcRect/>
                    <a:stretch>
                      <a:fillRect/>
                    </a:stretch>
                  </pic:blipFill>
                  <pic:spPr bwMode="auto">
                    <a:xfrm>
                      <a:off x="0" y="0"/>
                      <a:ext cx="5253990" cy="3514725"/>
                    </a:xfrm>
                    <a:prstGeom prst="rect">
                      <a:avLst/>
                    </a:prstGeom>
                    <a:noFill/>
                    <a:ln w="9525">
                      <a:noFill/>
                      <a:miter lim="800000"/>
                      <a:headEnd/>
                      <a:tailEnd/>
                    </a:ln>
                  </pic:spPr>
                </pic:pic>
              </a:graphicData>
            </a:graphic>
          </wp:inline>
        </w:drawing>
      </w:r>
    </w:p>
    <w:p w:rsidR="000B433A" w:rsidRPr="0097741B" w:rsidRDefault="000B433A" w:rsidP="00093D26">
      <w:pPr>
        <w:pStyle w:val="Titre2"/>
        <w:numPr>
          <w:ilvl w:val="1"/>
          <w:numId w:val="1"/>
        </w:numPr>
        <w:ind w:left="851" w:hanging="851"/>
        <w:rPr>
          <w:rFonts w:ascii="Calibri" w:hAnsi="Calibri" w:cs="Calibri"/>
          <w:color w:val="1F497D"/>
          <w:sz w:val="28"/>
          <w:szCs w:val="28"/>
          <w:lang w:val="de-DE"/>
        </w:rPr>
      </w:pPr>
      <w:bookmarkStart w:id="32" w:name="_Toc7802446"/>
      <w:r>
        <w:rPr>
          <w:rFonts w:ascii="Calibri" w:hAnsi="Calibri" w:cs="Calibri"/>
          <w:color w:val="1F497D"/>
          <w:sz w:val="28"/>
          <w:lang w:val="de-DE"/>
        </w:rPr>
        <w:t>Luftschadstoffe</w:t>
      </w:r>
      <w:bookmarkEnd w:id="32"/>
    </w:p>
    <w:p w:rsidR="000B433A" w:rsidRPr="00166DF1" w:rsidRDefault="000B433A">
      <w:pPr>
        <w:pStyle w:val="TEXTEI7"/>
        <w:rPr>
          <w:rFonts w:ascii="Calibri" w:hAnsi="Calibri"/>
          <w:sz w:val="24"/>
          <w:lang w:val="de-DE"/>
        </w:rPr>
      </w:pPr>
      <w:r>
        <w:rPr>
          <w:rFonts w:ascii="Calibri" w:hAnsi="Calibri" w:cs="Calibri"/>
          <w:color w:val="auto"/>
          <w:sz w:val="24"/>
          <w:lang w:val="de-DE"/>
        </w:rPr>
        <w:t xml:space="preserve">Wie vorstehend erläutert, berücksichtigen die Prognosen für Luftschadstoffemissionen bei einer unveränderten Politik (WEM) die bestehenden Klimapolitiken und -maßnahmen (Energie, Transport, Gebäudeisolierung), einschließlich der Stilllegung von Kernkraftwerken im Jahr 2025, sowie die Anwendung der bestehenden Gesetzgebung in Bezug auf Luft.  Dieser Aspekt </w:t>
      </w:r>
      <w:r w:rsidRPr="00166DF1">
        <w:rPr>
          <w:rFonts w:ascii="Calibri" w:hAnsi="Calibri"/>
          <w:sz w:val="24"/>
          <w:lang w:val="de-DE"/>
        </w:rPr>
        <w:t>betrifft im Wesentlichen</w:t>
      </w:r>
      <w:r>
        <w:rPr>
          <w:rFonts w:ascii="Calibri" w:hAnsi="Calibri" w:cs="Calibri"/>
          <w:color w:val="auto"/>
          <w:sz w:val="24"/>
          <w:lang w:val="de-DE"/>
        </w:rPr>
        <w:t>:</w:t>
      </w:r>
    </w:p>
    <w:p w:rsidR="000B433A" w:rsidRDefault="000B433A">
      <w:pPr>
        <w:pStyle w:val="TEXTEI7"/>
        <w:numPr>
          <w:ilvl w:val="0"/>
          <w:numId w:val="15"/>
        </w:numPr>
        <w:rPr>
          <w:rFonts w:ascii="Calibri" w:hAnsi="Calibri"/>
          <w:sz w:val="24"/>
          <w:lang w:val="de-DE"/>
        </w:rPr>
      </w:pPr>
      <w:r>
        <w:rPr>
          <w:rFonts w:ascii="Calibri" w:hAnsi="Calibri"/>
          <w:sz w:val="24"/>
          <w:lang w:val="de-DE"/>
        </w:rPr>
        <w:t xml:space="preserve"> die Normen für Schwefel, Stickoxide und Partikel für kleine, mittlere und große Verbrennungsanlagen;</w:t>
      </w:r>
    </w:p>
    <w:p w:rsidR="000B433A" w:rsidRDefault="000B433A">
      <w:pPr>
        <w:pStyle w:val="TEXTEI7"/>
        <w:numPr>
          <w:ilvl w:val="0"/>
          <w:numId w:val="15"/>
        </w:numPr>
        <w:rPr>
          <w:rFonts w:ascii="Calibri" w:hAnsi="Calibri"/>
          <w:sz w:val="24"/>
          <w:lang w:val="de-DE"/>
        </w:rPr>
      </w:pPr>
      <w:r>
        <w:rPr>
          <w:rFonts w:ascii="Calibri" w:hAnsi="Calibri"/>
          <w:sz w:val="24"/>
          <w:lang w:val="de-DE"/>
        </w:rPr>
        <w:t>die Fahrzeug-Emissionsnormen (NOx und Partikel);</w:t>
      </w:r>
    </w:p>
    <w:p w:rsidR="000B433A" w:rsidRDefault="000B433A">
      <w:pPr>
        <w:pStyle w:val="TEXTEI7"/>
        <w:numPr>
          <w:ilvl w:val="0"/>
          <w:numId w:val="15"/>
        </w:numPr>
        <w:rPr>
          <w:rFonts w:ascii="Calibri" w:hAnsi="Calibri"/>
          <w:sz w:val="24"/>
          <w:lang w:val="de-DE"/>
        </w:rPr>
      </w:pPr>
      <w:r>
        <w:rPr>
          <w:rFonts w:ascii="Calibri" w:hAnsi="Calibri"/>
          <w:sz w:val="24"/>
          <w:lang w:val="de-DE"/>
        </w:rPr>
        <w:t xml:space="preserve">die Normen für alle Schadstoffe, die den Industriesektoren im Rahmen der Erteilung oder Überarbeitung von Umweltgenehmigungen auferlegt werden. </w:t>
      </w:r>
    </w:p>
    <w:p w:rsidR="000B433A" w:rsidRDefault="000B433A">
      <w:pPr>
        <w:pStyle w:val="TEXTEI7"/>
        <w:numPr>
          <w:ilvl w:val="0"/>
          <w:numId w:val="15"/>
        </w:numPr>
        <w:rPr>
          <w:rFonts w:ascii="Calibri" w:hAnsi="Calibri"/>
          <w:sz w:val="24"/>
          <w:lang w:val="de-DE"/>
        </w:rPr>
      </w:pPr>
      <w:r>
        <w:rPr>
          <w:rFonts w:ascii="Calibri" w:hAnsi="Calibri"/>
          <w:sz w:val="24"/>
          <w:lang w:val="de-DE"/>
        </w:rPr>
        <w:t>die Produktnormen (Brennstoffe, Kraftstoffe, lösungsmittelhaltige Produkte, Haushaltsgeräte usw.) unter föderaler Zuständigkeit;</w:t>
      </w:r>
    </w:p>
    <w:p w:rsidR="000B433A" w:rsidRPr="00166DF1" w:rsidRDefault="000B433A">
      <w:pPr>
        <w:pStyle w:val="TEXTEI7"/>
        <w:rPr>
          <w:rFonts w:ascii="Calibri" w:hAnsi="Calibri"/>
          <w:sz w:val="24"/>
          <w:lang w:val="de-DE"/>
        </w:rPr>
      </w:pPr>
      <w:r>
        <w:rPr>
          <w:rFonts w:ascii="Calibri" w:hAnsi="Calibri"/>
          <w:sz w:val="24"/>
          <w:lang w:val="de-DE"/>
        </w:rPr>
        <w:t>Die erste NEC-Richtlinie 2001/81 vom 23. Oktober 2001 legte absolute Emissionshöchstgrenzen (in absoluten Zahlen) für NO</w:t>
      </w:r>
      <w:r w:rsidRPr="00166DF1">
        <w:rPr>
          <w:rFonts w:ascii="Calibri" w:hAnsi="Calibri"/>
          <w:sz w:val="24"/>
          <w:vertAlign w:val="subscript"/>
          <w:lang w:val="de-DE"/>
        </w:rPr>
        <w:t>x</w:t>
      </w:r>
      <w:r>
        <w:rPr>
          <w:rFonts w:ascii="Calibri" w:hAnsi="Calibri"/>
          <w:sz w:val="24"/>
          <w:lang w:val="de-DE"/>
        </w:rPr>
        <w:t>, SO</w:t>
      </w:r>
      <w:r w:rsidRPr="00166DF1">
        <w:rPr>
          <w:rFonts w:ascii="Calibri" w:hAnsi="Calibri"/>
          <w:sz w:val="24"/>
          <w:vertAlign w:val="subscript"/>
          <w:lang w:val="de-DE"/>
        </w:rPr>
        <w:t>2</w:t>
      </w:r>
      <w:r>
        <w:rPr>
          <w:rFonts w:ascii="Calibri" w:hAnsi="Calibri"/>
          <w:sz w:val="24"/>
          <w:lang w:val="de-DE"/>
        </w:rPr>
        <w:t>, VOC und NH</w:t>
      </w:r>
      <w:r w:rsidRPr="00166DF1">
        <w:rPr>
          <w:rFonts w:ascii="Calibri" w:hAnsi="Calibri"/>
          <w:sz w:val="24"/>
          <w:vertAlign w:val="subscript"/>
          <w:lang w:val="de-DE"/>
        </w:rPr>
        <w:t>3</w:t>
      </w:r>
      <w:r>
        <w:rPr>
          <w:rFonts w:ascii="Calibri" w:hAnsi="Calibri"/>
          <w:sz w:val="24"/>
          <w:lang w:val="de-DE"/>
        </w:rPr>
        <w:t xml:space="preserve"> fest, die bis 2010 erreicht werden sollten und bis Ende 2019 gültig bleiben. Die Wallonie hat diese Obergrenzen seit 2010 eingehalten und ihre Bemühungen zur Senkung durch Verbesserung der oben genannten Normen fortgesetzt.</w:t>
      </w:r>
    </w:p>
    <w:p w:rsidR="000B433A" w:rsidRPr="00166DF1" w:rsidRDefault="000B433A">
      <w:pPr>
        <w:pStyle w:val="TEXTEI7"/>
        <w:rPr>
          <w:rFonts w:ascii="Calibri" w:hAnsi="Calibri"/>
          <w:sz w:val="24"/>
          <w:lang w:val="de-DE"/>
        </w:rPr>
      </w:pPr>
      <w:r>
        <w:rPr>
          <w:rFonts w:ascii="Calibri" w:hAnsi="Calibri"/>
          <w:sz w:val="24"/>
          <w:lang w:val="de-DE"/>
        </w:rPr>
        <w:t>Die Emissionen der 5 unter diesen LKEP fallenden Schadstoffe (die 2016 verabschiedete NEC-2-Richtlinie, die PM</w:t>
      </w:r>
      <w:r w:rsidRPr="00166DF1">
        <w:rPr>
          <w:rFonts w:ascii="Calibri" w:hAnsi="Calibri"/>
          <w:sz w:val="24"/>
          <w:vertAlign w:val="subscript"/>
          <w:lang w:val="de-DE"/>
        </w:rPr>
        <w:t>2</w:t>
      </w:r>
      <w:proofErr w:type="gramStart"/>
      <w:r w:rsidRPr="00166DF1">
        <w:rPr>
          <w:rFonts w:ascii="Calibri" w:hAnsi="Calibri"/>
          <w:sz w:val="24"/>
          <w:vertAlign w:val="subscript"/>
          <w:lang w:val="de-DE"/>
        </w:rPr>
        <w:t>,5</w:t>
      </w:r>
      <w:proofErr w:type="gramEnd"/>
      <w:r>
        <w:rPr>
          <w:rFonts w:ascii="Calibri" w:hAnsi="Calibri"/>
          <w:sz w:val="24"/>
          <w:lang w:val="de-DE"/>
        </w:rPr>
        <w:t xml:space="preserve"> in die Liste der zu reduzierenden Schadstoffe aufgenommen hat) sind von 2005 bis 2017 stetig zurückgegangen. Lediglich die Ammoniakemissionen zeigen zwischen 2005 und 2017 einen schwachen Rückgang von 9,6 %. Die Emissionen anderer Schadstoffe sind stärker zurückgegangen. </w:t>
      </w:r>
    </w:p>
    <w:p w:rsidR="000B433A" w:rsidRDefault="000B433A" w:rsidP="00037323">
      <w:pPr>
        <w:rPr>
          <w:rFonts w:cs="Calibri"/>
          <w:lang w:val="de-DE"/>
        </w:rPr>
      </w:pPr>
    </w:p>
    <w:p w:rsidR="000B433A" w:rsidRDefault="005A6B21" w:rsidP="009900FE">
      <w:pPr>
        <w:pStyle w:val="TEXTEI7"/>
        <w:keepNext/>
      </w:pPr>
      <w:r>
        <w:pict>
          <v:group id="_x0000_s1467" editas="canvas" style="width:443.95pt;height:187.6pt;mso-position-horizontal-relative:char;mso-position-vertical-relative:line" coordorigin=",-1345" coordsize="8879,3752">
            <o:lock v:ext="edit" aspectratio="t"/>
            <v:shape id="_x0000_s1468" type="#_x0000_t75" style="position:absolute;top:-1345;width:8879;height:3752" o:preferrelative="f">
              <v:fill o:detectmouseclick="t"/>
              <v:path o:extrusionok="t" o:connecttype="none"/>
              <o:lock v:ext="edit" text="t"/>
            </v:shape>
            <v:group id="_x0000_s1469" style="position:absolute;left:3;top:-1342;width:8873;height:3636" coordorigin="3,-1342" coordsize="8873,3636">
              <v:rect id="_x0000_s1470" style="position:absolute;left:3;top:-1342;width:2960;height:1777" stroked="f"/>
              <v:rect id="_x0000_s1471" style="position:absolute;left:532;top:-918;width:1477;height:1150" stroked="f"/>
              <v:shape id="_x0000_s1472" style="position:absolute;left:535;top:-918;width:1471;height:916" coordsize="1471,916" path="m,910r1471,l1471,916,,916r,-6xm,683r1471,l1471,689,,689r,-6xm,455r1471,l1471,461,,461r,-6xm,228r1471,l1471,234,,234r,-6xm,l1471,r,6l,6,,xe" fillcolor="#898989" strokecolor="#898989" strokeweight=".3pt">
                <v:stroke joinstyle="bevel"/>
                <v:path arrowok="t"/>
                <o:lock v:ext="edit" verticies="t"/>
              </v:shape>
              <v:shape id="_x0000_s1473" style="position:absolute;left:680;top:11;width:1175;height:215" coordsize="1175,215" path="m,l197,r,215l,215,,xm492,203r197,l689,215r-197,l492,203xm978,203r197,l1175,215r-197,l978,203xe" fillcolor="#3b64ad" stroked="f">
                <v:path arrowok="t"/>
                <o:lock v:ext="edit" verticies="t"/>
              </v:shape>
              <v:shape id="_x0000_s1474" style="position:absolute;left:680;top:-186;width:1175;height:400" coordsize="1175,400" path="m,l197,r,197l,197,,xm492,332r197,l689,400r-197,l492,332xm978,301r197,l1175,400r-197,l978,301xe" fillcolor="#d26e2a" stroked="f">
                <v:path arrowok="t"/>
                <o:lock v:ext="edit" verticies="t"/>
              </v:shape>
              <v:shape id="_x0000_s1475" style="position:absolute;left:680;top:-739;width:1175;height:885" coordsize="1175,885" path="m,l197,r,553l,553,,xm492,750r197,l689,885r-197,l492,750xm978,719r197,l1175,854r-197,l978,719xe" fillcolor="#929292" stroked="f">
                <v:path arrowok="t"/>
                <o:lock v:ext="edit" verticies="t"/>
              </v:shape>
              <v:shape id="_x0000_s1476" style="position:absolute;left:680;top:-758;width:1175;height:769" coordsize="1175,769" path="m,l197,r,19l,19,,xm492,756r197,l689,769r-197,l492,756xm978,732r197,l1175,738r-197,l978,732xe" fillcolor="#62993e" stroked="f">
                <v:path arrowok="t"/>
                <o:lock v:ext="edit" verticies="t"/>
              </v:shape>
              <v:shape id="_x0000_s1477" style="position:absolute;left:680;top:-782;width:1175;height:780" coordsize="1175,780" path="m,l197,r,24l,24,,xm492,774r197,l689,780r-197,l492,774xm978,750r197,l1175,756r-197,l978,750xe" fillcolor="#8fa2d4" stroked="f">
                <v:path arrowok="t"/>
                <o:lock v:ext="edit" verticies="t"/>
              </v:shape>
              <v:rect id="_x0000_s1478" style="position:absolute;left:532;top:-915;width:6;height:1138" fillcolor="#898989" strokecolor="#898989" strokeweight=".3pt">
                <v:stroke joinstyle="bevel"/>
              </v:rect>
              <v:shape id="_x0000_s1479" style="position:absolute;left:505;top:-918;width:30;height:1144" coordsize="30,1144" path="m,1138r30,l30,1144r-30,l,1138xm,910r30,l30,916,,916r,-6xm,683r30,l30,689,,689r,-6xm,455r30,l30,461,,461r,-6xm,228r30,l30,234,,234r,-6xm,l30,r,6l,6,,xe" fillcolor="#898989" strokecolor="#898989" strokeweight=".3pt">
                <v:stroke joinstyle="bevel"/>
                <v:path arrowok="t"/>
                <o:lock v:ext="edit" verticies="t"/>
              </v:shape>
              <v:rect id="_x0000_s1480" style="position:absolute;left:535;top:220;width:1471;height:6" fillcolor="#898989" strokecolor="#898989" strokeweight=".3pt">
                <v:stroke joinstyle="bevel"/>
              </v:rect>
              <v:shape id="_x0000_s1481" style="position:absolute;left:532;top:223;width:1477;height:24" coordsize="1477,24" path="m6,r,24l,24,,,6,xm493,r,24l486,24,486,r7,xm985,r,24l979,24,979,r6,xm1477,r,24l1471,24r,-24l1477,xe" fillcolor="#898989" strokecolor="#898989" strokeweight=".3pt">
                <v:stroke joinstyle="bevel"/>
                <v:path arrowok="t"/>
                <o:lock v:ext="edit" verticies="t"/>
              </v:shape>
              <v:rect id="_x0000_s1482" style="position:absolute;left:415;top:178;width:41;height:232;mso-wrap-style:none" filled="f" stroked="f">
                <v:textbox style="mso-fit-shape-to-text:t" inset="0,0,0,0">
                  <w:txbxContent>
                    <w:p w:rsidR="000B433A" w:rsidRDefault="000B433A">
                      <w:r>
                        <w:rPr>
                          <w:rFonts w:cs="Calibri"/>
                          <w:color w:val="000000"/>
                          <w:sz w:val="8"/>
                          <w:szCs w:val="8"/>
                          <w:lang w:val="en-US"/>
                        </w:rPr>
                        <w:t>0</w:t>
                      </w:r>
                    </w:p>
                  </w:txbxContent>
                </v:textbox>
              </v:rect>
              <v:rect id="_x0000_s1483" style="position:absolute;left:230;top:-50;width:221;height:232;mso-wrap-style:none" filled="f" stroked="f">
                <v:textbox style="mso-fit-shape-to-text:t" inset="0,0,0,0">
                  <w:txbxContent>
                    <w:p w:rsidR="000B433A" w:rsidRDefault="000B433A">
                      <w:r>
                        <w:rPr>
                          <w:rFonts w:cs="Calibri"/>
                          <w:color w:val="000000"/>
                          <w:sz w:val="8"/>
                          <w:szCs w:val="8"/>
                          <w:lang w:val="en-US"/>
                        </w:rPr>
                        <w:t>10 000</w:t>
                      </w:r>
                    </w:p>
                  </w:txbxContent>
                </v:textbox>
              </v:rect>
              <v:rect id="_x0000_s1484" style="position:absolute;left:230;top:-277;width:221;height:232;mso-wrap-style:none" filled="f" stroked="f">
                <v:textbox style="mso-fit-shape-to-text:t" inset="0,0,0,0">
                  <w:txbxContent>
                    <w:p w:rsidR="000B433A" w:rsidRDefault="000B433A">
                      <w:r>
                        <w:rPr>
                          <w:rFonts w:cs="Calibri"/>
                          <w:color w:val="000000"/>
                          <w:sz w:val="8"/>
                          <w:szCs w:val="8"/>
                          <w:lang w:val="en-US"/>
                        </w:rPr>
                        <w:t>20 000</w:t>
                      </w:r>
                    </w:p>
                  </w:txbxContent>
                </v:textbox>
              </v:rect>
              <v:rect id="_x0000_s1485" style="position:absolute;left:230;top:-505;width:221;height:232;mso-wrap-style:none" filled="f" stroked="f">
                <v:textbox style="mso-fit-shape-to-text:t" inset="0,0,0,0">
                  <w:txbxContent>
                    <w:p w:rsidR="000B433A" w:rsidRDefault="000B433A">
                      <w:r>
                        <w:rPr>
                          <w:rFonts w:cs="Calibri"/>
                          <w:color w:val="000000"/>
                          <w:sz w:val="8"/>
                          <w:szCs w:val="8"/>
                          <w:lang w:val="en-US"/>
                        </w:rPr>
                        <w:t>30 000</w:t>
                      </w:r>
                    </w:p>
                  </w:txbxContent>
                </v:textbox>
              </v:rect>
              <v:rect id="_x0000_s1486" style="position:absolute;left:230;top:-733;width:221;height:232;mso-wrap-style:none" filled="f" stroked="f">
                <v:textbox style="mso-fit-shape-to-text:t" inset="0,0,0,0">
                  <w:txbxContent>
                    <w:p w:rsidR="000B433A" w:rsidRDefault="000B433A">
                      <w:r>
                        <w:rPr>
                          <w:rFonts w:cs="Calibri"/>
                          <w:color w:val="000000"/>
                          <w:sz w:val="8"/>
                          <w:szCs w:val="8"/>
                          <w:lang w:val="en-US"/>
                        </w:rPr>
                        <w:t>40 000</w:t>
                      </w:r>
                    </w:p>
                  </w:txbxContent>
                </v:textbox>
              </v:rect>
              <v:rect id="_x0000_s1487" style="position:absolute;left:230;top:-961;width:221;height:232;mso-wrap-style:none" filled="f" stroked="f">
                <v:textbox style="mso-fit-shape-to-text:t" inset="0,0,0,0">
                  <w:txbxContent>
                    <w:p w:rsidR="000B433A" w:rsidRDefault="000B433A">
                      <w:r>
                        <w:rPr>
                          <w:rFonts w:cs="Calibri"/>
                          <w:color w:val="000000"/>
                          <w:sz w:val="8"/>
                          <w:szCs w:val="8"/>
                          <w:lang w:val="en-US"/>
                        </w:rPr>
                        <w:t>50 000</w:t>
                      </w:r>
                    </w:p>
                  </w:txbxContent>
                </v:textbox>
              </v:rect>
              <v:rect id="_x0000_s1488" style="position:absolute;left:696;top:285;width:163;height:232;mso-wrap-style:none" filled="f" stroked="f">
                <v:textbox style="mso-fit-shape-to-text:t" inset="0,0,0,0">
                  <w:txbxContent>
                    <w:p w:rsidR="000B433A" w:rsidRDefault="000B433A">
                      <w:r>
                        <w:rPr>
                          <w:rFonts w:cs="Calibri"/>
                          <w:color w:val="000000"/>
                          <w:sz w:val="8"/>
                          <w:szCs w:val="8"/>
                          <w:lang w:val="en-US"/>
                        </w:rPr>
                        <w:t>2005</w:t>
                      </w:r>
                    </w:p>
                  </w:txbxContent>
                </v:textbox>
              </v:rect>
              <v:rect id="_x0000_s1489" style="position:absolute;left:1187;top:285;width:163;height:232;mso-wrap-style:none" filled="f" stroked="f">
                <v:textbox style="mso-fit-shape-to-text:t" inset="0,0,0,0">
                  <w:txbxContent>
                    <w:p w:rsidR="000B433A" w:rsidRDefault="000B433A">
                      <w:r>
                        <w:rPr>
                          <w:rFonts w:cs="Calibri"/>
                          <w:color w:val="000000"/>
                          <w:sz w:val="8"/>
                          <w:szCs w:val="8"/>
                          <w:lang w:val="en-US"/>
                        </w:rPr>
                        <w:t>2015</w:t>
                      </w:r>
                    </w:p>
                  </w:txbxContent>
                </v:textbox>
              </v:rect>
              <v:rect id="_x0000_s1490" style="position:absolute;left:1579;top:285;width:359;height:232;mso-wrap-style:none" filled="f" stroked="f">
                <v:textbox style="mso-fit-shape-to-text:t" inset="0,0,0,0">
                  <w:txbxContent>
                    <w:p w:rsidR="000B433A" w:rsidRDefault="000B433A">
                      <w:r>
                        <w:rPr>
                          <w:rFonts w:cs="Calibri"/>
                          <w:color w:val="000000"/>
                          <w:sz w:val="8"/>
                          <w:szCs w:val="8"/>
                          <w:lang w:val="en-US"/>
                        </w:rPr>
                        <w:t>2030 WEM</w:t>
                      </w:r>
                    </w:p>
                  </w:txbxContent>
                </v:textbox>
              </v:rect>
              <v:rect id="_x0000_s1491" style="position:absolute;left:189;top:-249;width:45;height:148;mso-wrap-style:none" filled="f" stroked="f">
                <v:textbox style="mso-fit-shape-to-text:t" inset="0,0,0,0">
                  <w:txbxContent>
                    <w:p w:rsidR="000B433A" w:rsidRDefault="000B433A">
                      <w:proofErr w:type="gramStart"/>
                      <w:r>
                        <w:rPr>
                          <w:rFonts w:cs="Calibri"/>
                          <w:b/>
                          <w:bCs/>
                          <w:color w:val="000000"/>
                          <w:sz w:val="2"/>
                          <w:szCs w:val="2"/>
                          <w:lang w:val="en-US"/>
                        </w:rPr>
                        <w:t>t</w:t>
                      </w:r>
                      <w:proofErr w:type="gramEnd"/>
                      <w:r>
                        <w:rPr>
                          <w:rFonts w:cs="Calibri"/>
                          <w:b/>
                          <w:bCs/>
                          <w:color w:val="000000"/>
                          <w:sz w:val="2"/>
                          <w:szCs w:val="2"/>
                          <w:lang w:val="en-US"/>
                        </w:rPr>
                        <w:t xml:space="preserve"> SO2</w:t>
                      </w:r>
                    </w:p>
                  </w:txbxContent>
                </v:textbox>
              </v:rect>
              <v:rect id="_x0000_s1492" style="position:absolute;left:536;top:-1277;width:1880;height:773;mso-wrap-style:none" filled="f" stroked="f">
                <v:textbox style="mso-fit-shape-to-text:t" inset="0,0,0,0">
                  <w:txbxContent>
                    <w:p w:rsidR="000B433A" w:rsidRDefault="000B433A" w:rsidP="009568A6">
                      <w:r>
                        <w:rPr>
                          <w:rFonts w:cs="Calibri"/>
                          <w:b/>
                          <w:bCs/>
                          <w:color w:val="000000"/>
                          <w:sz w:val="14"/>
                          <w:szCs w:val="14"/>
                          <w:lang w:val="en-US"/>
                        </w:rPr>
                        <w:t>Entwicklung der SO</w:t>
                      </w:r>
                      <w:r w:rsidRPr="005B7EAB">
                        <w:rPr>
                          <w:rFonts w:cs="Calibri"/>
                          <w:b/>
                          <w:bCs/>
                          <w:color w:val="000000"/>
                          <w:sz w:val="10"/>
                          <w:szCs w:val="10"/>
                          <w:lang w:val="en-US"/>
                        </w:rPr>
                        <w:t>2</w:t>
                      </w:r>
                      <w:r>
                        <w:rPr>
                          <w:rFonts w:cs="Calibri"/>
                          <w:b/>
                          <w:bCs/>
                          <w:color w:val="000000"/>
                          <w:sz w:val="14"/>
                          <w:szCs w:val="14"/>
                          <w:lang w:val="en-US"/>
                        </w:rPr>
                        <w:t>-Emissionen</w:t>
                      </w:r>
                    </w:p>
                    <w:p w:rsidR="000B433A" w:rsidRPr="009568A6" w:rsidRDefault="000B433A" w:rsidP="009568A6"/>
                  </w:txbxContent>
                </v:textbox>
              </v:rect>
              <v:rect id="_x0000_s1493" style="position:absolute;left:2375;top:-1197;width:141;height:457;mso-wrap-style:none" filled="f" stroked="f">
                <v:textbox style="mso-fit-shape-to-text:t" inset="0,0,0,0">
                  <w:txbxContent>
                    <w:p w:rsidR="000B433A" w:rsidRDefault="000B433A"/>
                  </w:txbxContent>
                </v:textbox>
              </v:rect>
              <v:rect id="_x0000_s1494" style="position:absolute;left:1262;top:-1099;width:405;height:317;mso-wrap-style:none" filled="f" stroked="f">
                <v:textbox style="mso-fit-shape-to-text:t" inset="0,0,0,0">
                  <w:txbxContent>
                    <w:p w:rsidR="000B433A" w:rsidRDefault="000B433A">
                      <w:r>
                        <w:rPr>
                          <w:rFonts w:cs="Calibri"/>
                          <w:b/>
                          <w:bCs/>
                          <w:color w:val="000000"/>
                          <w:sz w:val="14"/>
                          <w:szCs w:val="14"/>
                          <w:lang w:val="en-US"/>
                        </w:rPr>
                        <w:t>(WEM)</w:t>
                      </w:r>
                    </w:p>
                  </w:txbxContent>
                </v:textbox>
              </v:rect>
              <v:rect id="_x0000_s1495" style="position:absolute;left:2083;top:-856;width:55;height:55" fillcolor="#f1a78a" stroked="f"/>
              <v:rect id="_x0000_s1496" style="position:absolute;left:2152;top:-878;width:414;height:232;mso-wrap-style:none" filled="f" stroked="f">
                <v:textbox style="mso-fit-shape-to-text:t" inset="0,0,0,0">
                  <w:txbxContent>
                    <w:p w:rsidR="000B433A" w:rsidRPr="00665784" w:rsidRDefault="000B433A" w:rsidP="00665784">
                      <w:proofErr w:type="gramStart"/>
                      <w:r>
                        <w:rPr>
                          <w:rFonts w:cs="Calibri"/>
                          <w:color w:val="000000"/>
                          <w:sz w:val="8"/>
                          <w:szCs w:val="8"/>
                          <w:lang w:val="en-US"/>
                        </w:rPr>
                        <w:t>Landwirtsch.</w:t>
                      </w:r>
                      <w:proofErr w:type="gramEnd"/>
                    </w:p>
                  </w:txbxContent>
                </v:textbox>
              </v:rect>
              <v:rect id="_x0000_s1497" style="position:absolute;left:2083;top:-709;width:55;height:56" fillcolor="#8fa2d4" stroked="f"/>
              <v:rect id="_x0000_s1498" style="position:absolute;left:2152;top:-728;width:228;height:689;mso-wrap-style:none" filled="f" stroked="f">
                <v:textbox style="mso-fit-shape-to-text:t" inset="0,0,0,0">
                  <w:txbxContent>
                    <w:p w:rsidR="000B433A" w:rsidRDefault="000B433A" w:rsidP="00665784">
                      <w:r>
                        <w:rPr>
                          <w:rFonts w:cs="Calibri"/>
                          <w:color w:val="000000"/>
                          <w:sz w:val="8"/>
                          <w:szCs w:val="8"/>
                          <w:lang w:val="en-US"/>
                        </w:rPr>
                        <w:t>Abfälle</w:t>
                      </w:r>
                    </w:p>
                    <w:p w:rsidR="000B433A" w:rsidRDefault="000B433A"/>
                  </w:txbxContent>
                </v:textbox>
              </v:rect>
              <v:rect id="_x0000_s1499" style="position:absolute;left:2083;top:-561;width:55;height:55" fillcolor="#62993e" stroked="f"/>
              <v:rect id="_x0000_s1500" style="position:absolute;left:2152;top:-581;width:318;height:232;mso-wrap-style:none" filled="f" stroked="f">
                <v:textbox style="mso-fit-shape-to-text:t" inset="0,0,0,0">
                  <w:txbxContent>
                    <w:p w:rsidR="000B433A" w:rsidRDefault="000B433A">
                      <w:r>
                        <w:rPr>
                          <w:rFonts w:cs="Calibri"/>
                          <w:color w:val="000000"/>
                          <w:sz w:val="8"/>
                          <w:szCs w:val="8"/>
                          <w:lang w:val="en-US"/>
                        </w:rPr>
                        <w:t>Transport</w:t>
                      </w:r>
                    </w:p>
                  </w:txbxContent>
                </v:textbox>
              </v:rect>
              <v:rect id="_x0000_s1501" style="position:absolute;left:2083;top:-407;width:55;height:49" fillcolor="#5089bc" stroked="f"/>
              <v:rect id="_x0000_s1502" style="position:absolute;left:2152;top:-433;width:325;height:232;mso-wrap-style:none" filled="f" stroked="f">
                <v:textbox style="mso-fit-shape-to-text:t" inset="0,0,0,0">
                  <w:txbxContent>
                    <w:p w:rsidR="000B433A" w:rsidRPr="00665784" w:rsidRDefault="000B433A" w:rsidP="00665784">
                      <w:r>
                        <w:rPr>
                          <w:rFonts w:cs="Calibri"/>
                          <w:color w:val="000000"/>
                          <w:sz w:val="8"/>
                          <w:szCs w:val="8"/>
                          <w:lang w:val="en-US"/>
                        </w:rPr>
                        <w:t>Lösungsm</w:t>
                      </w:r>
                    </w:p>
                  </w:txbxContent>
                </v:textbox>
              </v:rect>
              <v:rect id="_x0000_s1503" style="position:absolute;left:2083;top:-260;width:55;height:49" fillcolor="#e2aa00" stroked="f"/>
              <v:rect id="_x0000_s1504" style="position:absolute;left:2152;top:-285;width:559;height:689;mso-wrap-style:none" filled="f" stroked="f">
                <v:textbox style="mso-fit-shape-to-text:t" inset="0,0,0,0">
                  <w:txbxContent>
                    <w:p w:rsidR="000B433A" w:rsidRPr="00E566D5" w:rsidRDefault="000B433A" w:rsidP="00F96280">
                      <w:pPr>
                        <w:rPr>
                          <w:rFonts w:cs="Calibri"/>
                          <w:color w:val="000000"/>
                          <w:sz w:val="8"/>
                          <w:szCs w:val="8"/>
                          <w:lang w:val="en-US"/>
                        </w:rPr>
                      </w:pPr>
                      <w:r w:rsidRPr="00E566D5">
                        <w:rPr>
                          <w:rFonts w:cs="Calibri"/>
                          <w:color w:val="000000"/>
                          <w:sz w:val="8"/>
                          <w:szCs w:val="8"/>
                          <w:lang w:val="en-US"/>
                        </w:rPr>
                        <w:t>Heizölgewinnung</w:t>
                      </w:r>
                    </w:p>
                    <w:p w:rsidR="000B433A" w:rsidRPr="00F96280" w:rsidRDefault="000B433A" w:rsidP="00F96280"/>
                  </w:txbxContent>
                </v:textbox>
              </v:rect>
              <v:rect id="_x0000_s1505" style="position:absolute;left:2083;top:-112;width:55;height:49" fillcolor="#929292" stroked="f"/>
              <v:rect id="_x0000_s1506" style="position:absolute;left:2152;top:-135;width:291;height:232;mso-wrap-style:none" filled="f" stroked="f">
                <v:textbox style="mso-fit-shape-to-text:t" inset="0,0,0,0">
                  <w:txbxContent>
                    <w:p w:rsidR="000B433A" w:rsidRDefault="000B433A">
                      <w:r>
                        <w:rPr>
                          <w:rFonts w:cs="Calibri"/>
                          <w:color w:val="000000"/>
                          <w:sz w:val="8"/>
                          <w:szCs w:val="8"/>
                          <w:lang w:val="en-US"/>
                        </w:rPr>
                        <w:t>Industrie</w:t>
                      </w:r>
                    </w:p>
                  </w:txbxContent>
                </v:textbox>
              </v:rect>
              <v:rect id="_x0000_s1507" style="position:absolute;left:2083;top:35;width:55;height:50" fillcolor="#d26e2a" stroked="f"/>
              <v:rect id="_x0000_s1508" style="position:absolute;left:2152;top:12;width:582;height:232;mso-wrap-style:none" filled="f" stroked="f">
                <v:textbox style="mso-fit-shape-to-text:t" inset="0,0,0,0">
                  <w:txbxContent>
                    <w:p w:rsidR="000B433A" w:rsidRPr="00F96280" w:rsidRDefault="000B433A" w:rsidP="00F96280">
                      <w:r>
                        <w:rPr>
                          <w:rFonts w:cs="Calibri"/>
                          <w:color w:val="000000"/>
                          <w:sz w:val="8"/>
                          <w:szCs w:val="8"/>
                          <w:lang w:val="en-US"/>
                        </w:rPr>
                        <w:t>Wohnen + Dienstl</w:t>
                      </w:r>
                    </w:p>
                  </w:txbxContent>
                </v:textbox>
              </v:rect>
              <v:rect id="_x0000_s1509" style="position:absolute;left:2083;top:183;width:55;height:49" fillcolor="#3b64ad" stroked="f"/>
              <v:rect id="_x0000_s1510" style="position:absolute;left:2152;top:160;width:245;height:232;mso-wrap-style:none" filled="f" stroked="f">
                <v:textbox style="mso-fit-shape-to-text:t" inset="0,0,0,0">
                  <w:txbxContent>
                    <w:p w:rsidR="000B433A" w:rsidRDefault="000B433A">
                      <w:r>
                        <w:rPr>
                          <w:rFonts w:cs="Calibri"/>
                          <w:color w:val="000000"/>
                          <w:sz w:val="8"/>
                          <w:szCs w:val="8"/>
                          <w:lang w:val="en-US"/>
                        </w:rPr>
                        <w:t>Energie</w:t>
                      </w:r>
                    </w:p>
                  </w:txbxContent>
                </v:textbox>
              </v:rect>
              <v:shape id="_x0000_s1511" style="position:absolute;left:3;top:-1342;width:2960;height:1777" coordsize="7696,4624" path="m,8hdc,4,4,,8,hal7688,hdc7693,,7696,4,7696,8hal7696,4616hdc7696,4621,7693,4624,7688,4624hal8,4624hdc4,4624,,4621,,4616hal,8hdxm16,4616hal8,4608r7680,l7680,4616,7680,8r8,8l8,16,16,8r,4608hdxe" fillcolor="#898989" strokecolor="#898989" strokeweight="0">
                <v:path arrowok="t"/>
                <o:lock v:ext="edit" verticies="t"/>
              </v:shape>
              <v:rect id="_x0000_s1512" style="position:absolute;left:1486;top:435;width:2960;height:1777" stroked="f"/>
              <v:rect id="_x0000_s1513" style="position:absolute;left:2058;top:835;width:1520;height:1174" stroked="f"/>
              <v:shape id="_x0000_s1514" style="position:absolute;left:2055;top:835;width:1514;height:1002" coordsize="1514,1002" path="m,996r1514,l1514,1002,,1002r,-6xm,830r1514,l1514,836,,836r,-6xm,664r1514,l1514,670,,670r,-6xm,498r1514,l1514,504,,504r,-6xm,332r1514,l1514,338,,338r,-6xm,166r1514,l1514,172,,172r,-6xm,l1514,r,6l,6,,xe" fillcolor="#898989" strokecolor="#898989" strokeweight=".3pt">
                <v:stroke joinstyle="bevel"/>
                <v:path arrowok="t"/>
                <o:lock v:ext="edit" verticies="t"/>
              </v:shape>
              <v:shape id="_x0000_s1515" style="position:absolute;left:2206;top:1911;width:1212;height:92" coordsize="1212,92" path="m,l203,r,92l,92,,xm504,61r204,l708,92r-204,l504,61xm1009,49r203,l1212,92r-203,l1009,49xe" fillcolor="#3b64ad" stroked="f">
                <v:path arrowok="t"/>
                <o:lock v:ext="edit" verticies="t"/>
              </v:shape>
              <v:shape id="_x0000_s1516" style="position:absolute;left:2206;top:1868;width:1212;height:104" coordsize="1212,104" path="m,l203,r,43l,43,,xm504,67r204,l708,104r-204,l504,67xm1009,61r203,l1212,92r-203,l1009,61xe" fillcolor="#d26e2a" stroked="f">
                <v:path arrowok="t"/>
                <o:lock v:ext="edit" verticies="t"/>
              </v:shape>
              <v:shape id="_x0000_s1517" style="position:absolute;left:2206;top:1511;width:1212;height:424" coordsize="1212,424" path="m,l203,r,357l,357,,xm504,258r204,l708,424r-204,l504,258xm1009,264r203,l1212,418r-203,l1009,264xe" fillcolor="#929292" stroked="f">
                <v:path arrowok="t"/>
                <o:lock v:ext="edit" verticies="t"/>
              </v:shape>
              <v:shape id="_x0000_s1518" style="position:absolute;left:2206;top:988;width:1212;height:787" coordsize="1212,787" path="m,l203,r,523l,523,,xm504,474r204,l708,781r-204,l504,474xm1009,652r203,l1212,787r-203,l1009,652xe" fillcolor="#62993e" stroked="f">
                <v:path arrowok="t"/>
                <o:lock v:ext="edit" verticies="t"/>
              </v:shape>
              <v:shape id="_x0000_s1519" style="position:absolute;left:2206;top:982;width:1212;height:658" coordsize="1212,658" path="m,l203,r,6l,6,,xm504,474r204,l708,480r-204,l504,474xm1009,652r203,l1212,658r-203,l1009,652xe" fillcolor="#8fa2d4" stroked="f">
                <v:path arrowok="t"/>
                <o:lock v:ext="edit" verticies="t"/>
              </v:shape>
              <v:shape id="_x0000_s1520" style="position:absolute;left:2206;top:927;width:1212;height:707" coordsize="1212,707" path="m,l203,r,55l,55,,xm504,479r204,l708,535r-204,l504,479xm1009,658r203,l1212,707r-203,l1009,658xe" fillcolor="#f1a78a" stroked="f">
                <v:path arrowok="t"/>
                <o:lock v:ext="edit" verticies="t"/>
              </v:shape>
              <v:rect id="_x0000_s1521" style="position:absolute;left:2052;top:838;width:6;height:1162" fillcolor="#898989" strokecolor="#898989" strokeweight=".3pt">
                <v:stroke joinstyle="bevel"/>
              </v:rect>
              <v:shape id="_x0000_s1522" style="position:absolute;left:2031;top:835;width:24;height:1168" coordsize="24,1168" path="m,1162r24,l24,1168r-24,l,1162xm,996r24,l24,1002r-24,l,996xm,830r24,l24,836,,836r,-6xm,664r24,l24,670,,670r,-6xm,498r24,l24,504,,504r,-6xm,332r24,l24,338,,338r,-6xm,166r24,l24,172,,172r,-6xm,l24,r,6l,6,,xe" fillcolor="#898989" strokecolor="#898989" strokeweight=".3pt">
                <v:stroke joinstyle="bevel"/>
                <v:path arrowok="t"/>
                <o:lock v:ext="edit" verticies="t"/>
              </v:shape>
              <v:rect id="_x0000_s1523" style="position:absolute;left:2055;top:1997;width:1514;height:6" fillcolor="#898989" strokecolor="#898989" strokeweight=".3pt">
                <v:stroke joinstyle="bevel"/>
              </v:rect>
              <v:shape id="_x0000_s1524" style="position:absolute;left:2052;top:2000;width:1520;height:24" coordsize="1520,24" path="m6,r,24l,24,,,6,xm511,r,24l505,24,505,r6,xm1015,r,24l1009,24r,-24l1015,xm1520,r,24l1514,24r,-24l1520,xe" fillcolor="#898989" strokecolor="#898989" strokeweight=".3pt">
                <v:stroke joinstyle="bevel"/>
                <v:path arrowok="t"/>
                <o:lock v:ext="edit" verticies="t"/>
              </v:shape>
              <v:rect id="_x0000_s1525" style="position:absolute;left:1939;top:1955;width:41;height:232;mso-wrap-style:none" filled="f" stroked="f">
                <v:textbox style="mso-fit-shape-to-text:t" inset="0,0,0,0">
                  <w:txbxContent>
                    <w:p w:rsidR="000B433A" w:rsidRDefault="000B433A">
                      <w:r>
                        <w:rPr>
                          <w:rFonts w:cs="Calibri"/>
                          <w:color w:val="000000"/>
                          <w:sz w:val="8"/>
                          <w:szCs w:val="8"/>
                          <w:lang w:val="en-US"/>
                        </w:rPr>
                        <w:t>0</w:t>
                      </w:r>
                    </w:p>
                  </w:txbxContent>
                </v:textbox>
              </v:rect>
              <v:rect id="_x0000_s1526" style="position:absolute;left:1754;top:1789;width:221;height:232;mso-wrap-style:none" filled="f" stroked="f">
                <v:textbox style="mso-fit-shape-to-text:t" inset="0,0,0,0">
                  <w:txbxContent>
                    <w:p w:rsidR="000B433A" w:rsidRDefault="000B433A">
                      <w:r>
                        <w:rPr>
                          <w:rFonts w:cs="Calibri"/>
                          <w:color w:val="000000"/>
                          <w:sz w:val="8"/>
                          <w:szCs w:val="8"/>
                          <w:lang w:val="en-US"/>
                        </w:rPr>
                        <w:t>20 000</w:t>
                      </w:r>
                    </w:p>
                  </w:txbxContent>
                </v:textbox>
              </v:rect>
              <v:rect id="_x0000_s1527" style="position:absolute;left:1754;top:1623;width:221;height:232;mso-wrap-style:none" filled="f" stroked="f">
                <v:textbox style="mso-fit-shape-to-text:t" inset="0,0,0,0">
                  <w:txbxContent>
                    <w:p w:rsidR="000B433A" w:rsidRDefault="000B433A">
                      <w:r>
                        <w:rPr>
                          <w:rFonts w:cs="Calibri"/>
                          <w:color w:val="000000"/>
                          <w:sz w:val="8"/>
                          <w:szCs w:val="8"/>
                          <w:lang w:val="en-US"/>
                        </w:rPr>
                        <w:t>40 000</w:t>
                      </w:r>
                    </w:p>
                  </w:txbxContent>
                </v:textbox>
              </v:rect>
              <v:rect id="_x0000_s1528" style="position:absolute;left:1754;top:1456;width:221;height:232;mso-wrap-style:none" filled="f" stroked="f">
                <v:textbox style="mso-fit-shape-to-text:t" inset="0,0,0,0">
                  <w:txbxContent>
                    <w:p w:rsidR="000B433A" w:rsidRDefault="000B433A">
                      <w:r>
                        <w:rPr>
                          <w:rFonts w:cs="Calibri"/>
                          <w:color w:val="000000"/>
                          <w:sz w:val="8"/>
                          <w:szCs w:val="8"/>
                          <w:lang w:val="en-US"/>
                        </w:rPr>
                        <w:t>60 000</w:t>
                      </w:r>
                    </w:p>
                  </w:txbxContent>
                </v:textbox>
              </v:rect>
              <v:rect id="_x0000_s1529" style="position:absolute;left:1754;top:1290;width:221;height:232;mso-wrap-style:none" filled="f" stroked="f">
                <v:textbox style="mso-fit-shape-to-text:t" inset="0,0,0,0">
                  <w:txbxContent>
                    <w:p w:rsidR="000B433A" w:rsidRDefault="000B433A">
                      <w:r>
                        <w:rPr>
                          <w:rFonts w:cs="Calibri"/>
                          <w:color w:val="000000"/>
                          <w:sz w:val="8"/>
                          <w:szCs w:val="8"/>
                          <w:lang w:val="en-US"/>
                        </w:rPr>
                        <w:t>80 000</w:t>
                      </w:r>
                    </w:p>
                  </w:txbxContent>
                </v:textbox>
              </v:rect>
              <v:rect id="_x0000_s1530" style="position:absolute;left:1715;top:1124;width:262;height:232;mso-wrap-style:none" filled="f" stroked="f">
                <v:textbox style="mso-fit-shape-to-text:t" inset="0,0,0,0">
                  <w:txbxContent>
                    <w:p w:rsidR="000B433A" w:rsidRDefault="000B433A">
                      <w:r>
                        <w:rPr>
                          <w:rFonts w:cs="Calibri"/>
                          <w:color w:val="000000"/>
                          <w:sz w:val="8"/>
                          <w:szCs w:val="8"/>
                          <w:lang w:val="en-US"/>
                        </w:rPr>
                        <w:t>100 000</w:t>
                      </w:r>
                    </w:p>
                  </w:txbxContent>
                </v:textbox>
              </v:rect>
              <v:rect id="_x0000_s1531" style="position:absolute;left:1715;top:958;width:262;height:232;mso-wrap-style:none" filled="f" stroked="f">
                <v:textbox style="mso-fit-shape-to-text:t" inset="0,0,0,0">
                  <w:txbxContent>
                    <w:p w:rsidR="000B433A" w:rsidRDefault="000B433A">
                      <w:r>
                        <w:rPr>
                          <w:rFonts w:cs="Calibri"/>
                          <w:color w:val="000000"/>
                          <w:sz w:val="8"/>
                          <w:szCs w:val="8"/>
                          <w:lang w:val="en-US"/>
                        </w:rPr>
                        <w:t>120 000</w:t>
                      </w:r>
                    </w:p>
                  </w:txbxContent>
                </v:textbox>
              </v:rect>
              <v:rect id="_x0000_s1532" style="position:absolute;left:1715;top:793;width:262;height:232;mso-wrap-style:none" filled="f" stroked="f">
                <v:textbox style="mso-fit-shape-to-text:t" inset="0,0,0,0">
                  <w:txbxContent>
                    <w:p w:rsidR="000B433A" w:rsidRDefault="000B433A">
                      <w:r>
                        <w:rPr>
                          <w:rFonts w:cs="Calibri"/>
                          <w:color w:val="000000"/>
                          <w:sz w:val="8"/>
                          <w:szCs w:val="8"/>
                          <w:lang w:val="en-US"/>
                        </w:rPr>
                        <w:t>140 000</w:t>
                      </w:r>
                    </w:p>
                  </w:txbxContent>
                </v:textbox>
              </v:rect>
              <v:rect id="_x0000_s1533" style="position:absolute;left:2227;top:2062;width:163;height:232;mso-wrap-style:none" filled="f" stroked="f">
                <v:textbox style="mso-fit-shape-to-text:t" inset="0,0,0,0">
                  <w:txbxContent>
                    <w:p w:rsidR="000B433A" w:rsidRDefault="000B433A">
                      <w:r>
                        <w:rPr>
                          <w:rFonts w:cs="Calibri"/>
                          <w:color w:val="000000"/>
                          <w:sz w:val="8"/>
                          <w:szCs w:val="8"/>
                          <w:lang w:val="en-US"/>
                        </w:rPr>
                        <w:t>2005</w:t>
                      </w:r>
                    </w:p>
                  </w:txbxContent>
                </v:textbox>
              </v:rect>
              <v:rect id="_x0000_s1534" style="position:absolute;left:2731;top:2062;width:163;height:232;mso-wrap-style:none" filled="f" stroked="f">
                <v:textbox style="mso-fit-shape-to-text:t" inset="0,0,0,0">
                  <w:txbxContent>
                    <w:p w:rsidR="000B433A" w:rsidRDefault="000B433A">
                      <w:r>
                        <w:rPr>
                          <w:rFonts w:cs="Calibri"/>
                          <w:color w:val="000000"/>
                          <w:sz w:val="8"/>
                          <w:szCs w:val="8"/>
                          <w:lang w:val="en-US"/>
                        </w:rPr>
                        <w:t>2015</w:t>
                      </w:r>
                    </w:p>
                  </w:txbxContent>
                </v:textbox>
              </v:rect>
              <v:rect id="_x0000_s1535" style="position:absolute;left:3137;top:2062;width:359;height:232;mso-wrap-style:none" filled="f" stroked="f">
                <v:textbox style="mso-fit-shape-to-text:t" inset="0,0,0,0">
                  <w:txbxContent>
                    <w:p w:rsidR="000B433A" w:rsidRDefault="000B433A">
                      <w:r>
                        <w:rPr>
                          <w:rFonts w:cs="Calibri"/>
                          <w:color w:val="000000"/>
                          <w:sz w:val="8"/>
                          <w:szCs w:val="8"/>
                          <w:lang w:val="en-US"/>
                        </w:rPr>
                        <w:t>2030 WEM</w:t>
                      </w:r>
                    </w:p>
                  </w:txbxContent>
                </v:textbox>
              </v:rect>
              <v:rect id="_x0000_s1536" style="position:absolute;left:1672;top:1515;width:45;height:148;mso-wrap-style:none" filled="f" stroked="f">
                <v:textbox style="mso-fit-shape-to-text:t" inset="0,0,0,0">
                  <w:txbxContent>
                    <w:p w:rsidR="000B433A" w:rsidRDefault="000B433A">
                      <w:proofErr w:type="gramStart"/>
                      <w:r>
                        <w:rPr>
                          <w:rFonts w:cs="Calibri"/>
                          <w:b/>
                          <w:bCs/>
                          <w:color w:val="000000"/>
                          <w:sz w:val="2"/>
                          <w:szCs w:val="2"/>
                          <w:lang w:val="en-US"/>
                        </w:rPr>
                        <w:t>t</w:t>
                      </w:r>
                      <w:proofErr w:type="gramEnd"/>
                      <w:r>
                        <w:rPr>
                          <w:rFonts w:cs="Calibri"/>
                          <w:b/>
                          <w:bCs/>
                          <w:color w:val="000000"/>
                          <w:sz w:val="2"/>
                          <w:szCs w:val="2"/>
                          <w:lang w:val="en-US"/>
                        </w:rPr>
                        <w:t xml:space="preserve"> Nox</w:t>
                      </w:r>
                    </w:p>
                  </w:txbxContent>
                </v:textbox>
              </v:rect>
              <v:rect id="_x0000_s1537" style="position:absolute;left:2006;top:500;width:1901;height:773;mso-wrap-style:none" filled="f" stroked="f">
                <v:textbox style="mso-fit-shape-to-text:t" inset="0,0,0,0">
                  <w:txbxContent>
                    <w:p w:rsidR="000B433A" w:rsidRDefault="000B433A" w:rsidP="009568A6">
                      <w:r>
                        <w:rPr>
                          <w:rFonts w:cs="Calibri"/>
                          <w:b/>
                          <w:bCs/>
                          <w:color w:val="000000"/>
                          <w:sz w:val="14"/>
                          <w:szCs w:val="14"/>
                          <w:lang w:val="en-US"/>
                        </w:rPr>
                        <w:t>Entwicklung der NO</w:t>
                      </w:r>
                      <w:r w:rsidRPr="005B7EAB">
                        <w:rPr>
                          <w:rFonts w:cs="Calibri"/>
                          <w:b/>
                          <w:bCs/>
                          <w:color w:val="000000"/>
                          <w:sz w:val="10"/>
                          <w:szCs w:val="10"/>
                          <w:lang w:val="en-US"/>
                        </w:rPr>
                        <w:t>x</w:t>
                      </w:r>
                      <w:r>
                        <w:rPr>
                          <w:rFonts w:cs="Calibri"/>
                          <w:b/>
                          <w:bCs/>
                          <w:color w:val="000000"/>
                          <w:sz w:val="14"/>
                          <w:szCs w:val="14"/>
                          <w:lang w:val="en-US"/>
                        </w:rPr>
                        <w:t>-Emissionen</w:t>
                      </w:r>
                    </w:p>
                    <w:p w:rsidR="000B433A" w:rsidRPr="009568A6" w:rsidRDefault="000B433A" w:rsidP="009568A6"/>
                  </w:txbxContent>
                </v:textbox>
              </v:rect>
              <v:rect id="_x0000_s1538" style="position:absolute;left:3877;top:580;width:141;height:457;mso-wrap-style:none" filled="f" stroked="f">
                <v:textbox style="mso-fit-shape-to-text:t" inset="0,0,0,0">
                  <w:txbxContent>
                    <w:p w:rsidR="000B433A" w:rsidRDefault="000B433A"/>
                  </w:txbxContent>
                </v:textbox>
              </v:rect>
              <v:rect id="_x0000_s1539" style="position:absolute;left:2745;top:678;width:405;height:317;mso-wrap-style:none" filled="f" stroked="f">
                <v:textbox style="mso-fit-shape-to-text:t" inset="0,0,0,0">
                  <w:txbxContent>
                    <w:p w:rsidR="000B433A" w:rsidRDefault="000B433A">
                      <w:r>
                        <w:rPr>
                          <w:rFonts w:cs="Calibri"/>
                          <w:b/>
                          <w:bCs/>
                          <w:color w:val="000000"/>
                          <w:sz w:val="14"/>
                          <w:szCs w:val="14"/>
                          <w:lang w:val="en-US"/>
                        </w:rPr>
                        <w:t>(WEM)</w:t>
                      </w:r>
                    </w:p>
                  </w:txbxContent>
                </v:textbox>
              </v:rect>
              <v:rect id="_x0000_s1540" style="position:absolute;left:3615;top:884;width:55;height:49" fillcolor="#f1a78a" stroked="f"/>
              <v:rect id="_x0000_s1541" style="position:absolute;left:3684;top:858;width:414;height:689;mso-wrap-style:none" filled="f" stroked="f">
                <v:textbox style="mso-fit-shape-to-text:t" inset="0,0,0,0">
                  <w:txbxContent>
                    <w:p w:rsidR="000B433A" w:rsidRPr="00665784" w:rsidRDefault="000B433A" w:rsidP="00665784">
                      <w:proofErr w:type="gramStart"/>
                      <w:r>
                        <w:rPr>
                          <w:rFonts w:cs="Calibri"/>
                          <w:color w:val="000000"/>
                          <w:sz w:val="8"/>
                          <w:szCs w:val="8"/>
                          <w:lang w:val="en-US"/>
                        </w:rPr>
                        <w:t>Landwirtsch.</w:t>
                      </w:r>
                      <w:proofErr w:type="gramEnd"/>
                    </w:p>
                    <w:p w:rsidR="000B433A" w:rsidRPr="00665784" w:rsidRDefault="000B433A" w:rsidP="00665784"/>
                  </w:txbxContent>
                </v:textbox>
              </v:rect>
              <v:rect id="_x0000_s1542" style="position:absolute;left:3615;top:1031;width:55;height:50" fillcolor="#8fa2d4" stroked="f"/>
              <v:rect id="_x0000_s1543" style="position:absolute;left:3684;top:1007;width:228;height:689;mso-wrap-style:none" filled="f" stroked="f">
                <v:textbox style="mso-fit-shape-to-text:t" inset="0,0,0,0">
                  <w:txbxContent>
                    <w:p w:rsidR="000B433A" w:rsidRDefault="000B433A" w:rsidP="00665784">
                      <w:r>
                        <w:rPr>
                          <w:rFonts w:cs="Calibri"/>
                          <w:color w:val="000000"/>
                          <w:sz w:val="8"/>
                          <w:szCs w:val="8"/>
                          <w:lang w:val="en-US"/>
                        </w:rPr>
                        <w:t>Abfälle</w:t>
                      </w:r>
                    </w:p>
                    <w:p w:rsidR="000B433A" w:rsidRPr="00665784" w:rsidRDefault="000B433A" w:rsidP="00665784"/>
                  </w:txbxContent>
                </v:textbox>
              </v:rect>
              <v:rect id="_x0000_s1544" style="position:absolute;left:3615;top:1179;width:55;height:49" fillcolor="#62993e" stroked="f"/>
              <v:rect id="_x0000_s1545" style="position:absolute;left:3684;top:1155;width:318;height:232;mso-wrap-style:none" filled="f" stroked="f">
                <v:textbox style="mso-fit-shape-to-text:t" inset="0,0,0,0">
                  <w:txbxContent>
                    <w:p w:rsidR="000B433A" w:rsidRDefault="000B433A">
                      <w:r>
                        <w:rPr>
                          <w:rFonts w:cs="Calibri"/>
                          <w:color w:val="000000"/>
                          <w:sz w:val="8"/>
                          <w:szCs w:val="8"/>
                          <w:lang w:val="en-US"/>
                        </w:rPr>
                        <w:t>Transport</w:t>
                      </w:r>
                    </w:p>
                  </w:txbxContent>
                </v:textbox>
              </v:rect>
              <v:rect id="_x0000_s1546" style="position:absolute;left:3615;top:1327;width:55;height:49" fillcolor="#5089bc" stroked="f"/>
              <v:rect id="_x0000_s1547" style="position:absolute;left:3684;top:1303;width:325;height:232;mso-wrap-style:none" filled="f" stroked="f">
                <v:textbox style="mso-fit-shape-to-text:t" inset="0,0,0,0">
                  <w:txbxContent>
                    <w:p w:rsidR="000B433A" w:rsidRPr="00665784" w:rsidRDefault="000B433A" w:rsidP="00665784">
                      <w:r>
                        <w:rPr>
                          <w:rFonts w:cs="Calibri"/>
                          <w:color w:val="000000"/>
                          <w:sz w:val="8"/>
                          <w:szCs w:val="8"/>
                          <w:lang w:val="en-US"/>
                        </w:rPr>
                        <w:t>Lösungsm</w:t>
                      </w:r>
                    </w:p>
                  </w:txbxContent>
                </v:textbox>
              </v:rect>
              <v:rect id="_x0000_s1548" style="position:absolute;left:3615;top:1474;width:55;height:49" fillcolor="#e2aa00" stroked="f"/>
              <v:rect id="_x0000_s1549" style="position:absolute;left:3684;top:1451;width:559;height:689;mso-wrap-style:none" filled="f" stroked="f">
                <v:textbox style="mso-fit-shape-to-text:t" inset="0,0,0,0">
                  <w:txbxContent>
                    <w:p w:rsidR="000B433A" w:rsidRPr="00E566D5" w:rsidRDefault="000B433A" w:rsidP="00F96280">
                      <w:pPr>
                        <w:rPr>
                          <w:rFonts w:cs="Calibri"/>
                          <w:color w:val="000000"/>
                          <w:sz w:val="8"/>
                          <w:szCs w:val="8"/>
                          <w:lang w:val="en-US"/>
                        </w:rPr>
                      </w:pPr>
                      <w:r w:rsidRPr="00E566D5">
                        <w:rPr>
                          <w:rFonts w:cs="Calibri"/>
                          <w:color w:val="000000"/>
                          <w:sz w:val="8"/>
                          <w:szCs w:val="8"/>
                          <w:lang w:val="en-US"/>
                        </w:rPr>
                        <w:t>Heizölgewinnung</w:t>
                      </w:r>
                    </w:p>
                    <w:p w:rsidR="000B433A" w:rsidRPr="00F96280" w:rsidRDefault="000B433A" w:rsidP="00F96280"/>
                  </w:txbxContent>
                </v:textbox>
              </v:rect>
              <v:rect id="_x0000_s1550" style="position:absolute;left:3615;top:1622;width:55;height:49" fillcolor="#929292" stroked="f"/>
              <v:rect id="_x0000_s1551" style="position:absolute;left:3684;top:1600;width:291;height:232;mso-wrap-style:none" filled="f" stroked="f">
                <v:textbox style="mso-fit-shape-to-text:t" inset="0,0,0,0">
                  <w:txbxContent>
                    <w:p w:rsidR="000B433A" w:rsidRDefault="000B433A">
                      <w:r>
                        <w:rPr>
                          <w:rFonts w:cs="Calibri"/>
                          <w:color w:val="000000"/>
                          <w:sz w:val="8"/>
                          <w:szCs w:val="8"/>
                          <w:lang w:val="en-US"/>
                        </w:rPr>
                        <w:t>Industrie</w:t>
                      </w:r>
                    </w:p>
                  </w:txbxContent>
                </v:textbox>
              </v:rect>
              <v:rect id="_x0000_s1552" style="position:absolute;left:3615;top:1769;width:55;height:56" fillcolor="#d26e2a" stroked="f"/>
              <v:rect id="_x0000_s1553" style="position:absolute;left:3684;top:1748;width:582;height:232;mso-wrap-style:none" filled="f" stroked="f">
                <v:textbox style="mso-fit-shape-to-text:t" inset="0,0,0,0">
                  <w:txbxContent>
                    <w:p w:rsidR="000B433A" w:rsidRPr="00F96280" w:rsidRDefault="000B433A" w:rsidP="00F96280">
                      <w:r>
                        <w:rPr>
                          <w:rFonts w:cs="Calibri"/>
                          <w:color w:val="000000"/>
                          <w:sz w:val="8"/>
                          <w:szCs w:val="8"/>
                          <w:lang w:val="en-US"/>
                        </w:rPr>
                        <w:t>Wohnen + Dienstl</w:t>
                      </w:r>
                    </w:p>
                  </w:txbxContent>
                </v:textbox>
              </v:rect>
              <v:rect id="_x0000_s1554" style="position:absolute;left:3615;top:1917;width:55;height:55" fillcolor="#3b64ad" stroked="f"/>
              <v:rect id="_x0000_s1555" style="position:absolute;left:3684;top:1896;width:245;height:232;mso-wrap-style:none" filled="f" stroked="f">
                <v:textbox style="mso-fit-shape-to-text:t" inset="0,0,0,0">
                  <w:txbxContent>
                    <w:p w:rsidR="000B433A" w:rsidRDefault="000B433A">
                      <w:r>
                        <w:rPr>
                          <w:rFonts w:cs="Calibri"/>
                          <w:color w:val="000000"/>
                          <w:sz w:val="8"/>
                          <w:szCs w:val="8"/>
                          <w:lang w:val="en-US"/>
                        </w:rPr>
                        <w:t>Energie</w:t>
                      </w:r>
                    </w:p>
                  </w:txbxContent>
                </v:textbox>
              </v:rect>
              <v:shape id="_x0000_s1556" style="position:absolute;left:1486;top:435;width:2960;height:1777" coordsize="7696,4624" path="m,8hdc,4,4,,8,hal7688,hdc7693,,7696,4,7696,8hal7696,4616hdc7696,4621,7693,4624,7688,4624hal8,4624hdc4,4624,,4621,,4616hal,8hdxm16,4616hal8,4608r7680,l7680,4616,7680,8r8,8l8,16,16,8r,4608hdxe" fillcolor="#898989" strokecolor="#898989" strokeweight="0">
                <v:path arrowok="t"/>
                <o:lock v:ext="edit" verticies="t"/>
              </v:shape>
              <v:rect id="_x0000_s1557" style="position:absolute;left:2957;top:-1342;width:2959;height:1777" stroked="f"/>
              <v:rect id="_x0000_s1558" style="position:absolute;left:3486;top:-924;width:1501;height:1156" stroked="f"/>
              <v:shape id="_x0000_s1559" style="position:absolute;left:3489;top:-924;width:1495;height:984" coordsize="1495,984" path="m,978r1495,l1495,984,,984r,-6xm,818r1495,l1495,824,,824r,-6xm,652r1495,l1495,658,,658r,-6xm,492r1495,l1495,498,,498r,-6xm,326r1495,l1495,332,,332r,-6xm,160r1495,l1495,166,,166r,-6xm,l1495,r,6l,6,,xe" fillcolor="#898989" strokecolor="#898989" strokeweight=".3pt">
                <v:stroke joinstyle="bevel"/>
                <v:path arrowok="t"/>
                <o:lock v:ext="edit" verticies="t"/>
              </v:shape>
              <v:shape id="_x0000_s1560" style="position:absolute;left:3633;top:214;width:1200;height:12" coordsize="1200,12" path="m,6r204,l204,12,,12,,6xm505,6r197,l702,12r-197,l505,6xm1003,r197,l1200,12r-197,l1003,xe" fillcolor="#3b64ad" stroked="f">
                <v:path arrowok="t"/>
                <o:lock v:ext="edit" verticies="t"/>
              </v:shape>
              <v:shape id="_x0000_s1561" style="position:absolute;left:3633;top:195;width:1200;height:25" coordsize="1200,25" path="m,12r204,l204,25,,25,,12xm505,6r197,l702,25r-197,l505,6xm1003,r197,l1200,19r-197,l1003,xe" fillcolor="#d26e2a" stroked="f">
                <v:path arrowok="t"/>
                <o:lock v:ext="edit" verticies="t"/>
              </v:shape>
              <v:shape id="_x0000_s1562" style="position:absolute;left:3633;top:164;width:1200;height:43" coordsize="1200,43" path="m,l204,r,43l,43,,xm505,7r197,l702,37r-197,l505,7xm1003,25r197,l1200,31r-197,l1003,25xe" fillcolor="#929292" stroked="f">
                <v:path arrowok="t"/>
                <o:lock v:ext="edit" verticies="t"/>
              </v:shape>
              <v:shape id="_x0000_s1563" style="position:absolute;left:3633;top:140;width:1200;height:49" coordsize="1200,49" path="m,l204,r,24l,24,,xm505,18r197,l702,31r-197,l505,18xm1003,31r197,l1200,49r-197,l1003,31xe" fillcolor="#62993e" stroked="f">
                <v:path arrowok="t"/>
                <o:lock v:ext="edit" verticies="t"/>
              </v:shape>
              <v:shape id="_x0000_s1564" style="position:absolute;left:3633;top:134;width:1200;height:37" coordsize="1200,37" path="m,l204,r,6l,6,,xm505,18r197,l702,24r-197,l505,18xm1003,24r197,l1200,37r-197,l1003,24xe" fillcolor="#8fa2d4" stroked="f">
                <v:path arrowok="t"/>
                <o:lock v:ext="edit" verticies="t"/>
              </v:shape>
              <v:shape id="_x0000_s1565" style="position:absolute;left:3633;top:-813;width:1200;height:971" coordsize="1200,971" path="m,l204,r,953l,953,,xm505,74r197,l702,971r-197,l505,74xm1003,154r197,l1200,971r-197,l1003,154xe" fillcolor="#f1a78a" stroked="f">
                <v:path arrowok="t"/>
                <o:lock v:ext="edit" verticies="t"/>
              </v:shape>
              <v:rect id="_x0000_s1566" style="position:absolute;left:3486;top:-921;width:6;height:1144" fillcolor="#898989" strokecolor="#898989" strokeweight=".3pt">
                <v:stroke joinstyle="bevel"/>
              </v:rect>
              <v:shape id="_x0000_s1567" style="position:absolute;left:3458;top:-924;width:31;height:1150" coordsize="31,1150" path="m,1144r31,l31,1150r-31,l,1144xm,978r31,l31,984,,984r,-6xm,818r31,l31,824,,824r,-6xm,652r31,l31,658,,658r,-6xm,492r31,l31,498,,498r,-6xm,326r31,l31,332,,332r,-6xm,160r31,l31,166,,166r,-6xm,l31,r,6l,6,,xe" fillcolor="#898989" strokecolor="#898989" strokeweight=".3pt">
                <v:stroke joinstyle="bevel"/>
                <v:path arrowok="t"/>
                <o:lock v:ext="edit" verticies="t"/>
              </v:shape>
              <v:rect id="_x0000_s1568" style="position:absolute;left:3489;top:220;width:1495;height:6" fillcolor="#898989" strokecolor="#898989" strokeweight=".3pt">
                <v:stroke joinstyle="bevel"/>
              </v:rect>
              <v:shape id="_x0000_s1569" style="position:absolute;left:3486;top:223;width:1501;height:24" coordsize="1501,24" path="m6,r,24l,24,,,6,xm504,r,24l498,24,498,r6,xm1003,r,24l997,24,997,r6,xm1501,r,24l1495,24r,-24l1501,xe" fillcolor="#898989" strokecolor="#898989" strokeweight=".3pt">
                <v:stroke joinstyle="bevel"/>
                <v:path arrowok="t"/>
                <o:lock v:ext="edit" verticies="t"/>
              </v:shape>
              <v:rect id="_x0000_s1570" style="position:absolute;left:3368;top:178;width:41;height:232;mso-wrap-style:none" filled="f" stroked="f">
                <v:textbox style="mso-fit-shape-to-text:t" inset="0,0,0,0">
                  <w:txbxContent>
                    <w:p w:rsidR="000B433A" w:rsidRDefault="000B433A">
                      <w:r>
                        <w:rPr>
                          <w:rFonts w:cs="Calibri"/>
                          <w:color w:val="000000"/>
                          <w:sz w:val="8"/>
                          <w:szCs w:val="8"/>
                          <w:lang w:val="en-US"/>
                        </w:rPr>
                        <w:t>0</w:t>
                      </w:r>
                    </w:p>
                  </w:txbxContent>
                </v:textbox>
              </v:rect>
              <v:rect id="_x0000_s1571" style="position:absolute;left:3229;top:14;width:181;height:232;mso-wrap-style:none" filled="f" stroked="f">
                <v:textbox style="mso-fit-shape-to-text:t" inset="0,0,0,0">
                  <w:txbxContent>
                    <w:p w:rsidR="000B433A" w:rsidRDefault="000B433A">
                      <w:r>
                        <w:rPr>
                          <w:rFonts w:cs="Calibri"/>
                          <w:color w:val="000000"/>
                          <w:sz w:val="8"/>
                          <w:szCs w:val="8"/>
                          <w:lang w:val="en-US"/>
                        </w:rPr>
                        <w:t>5 000</w:t>
                      </w:r>
                    </w:p>
                  </w:txbxContent>
                </v:textbox>
              </v:rect>
              <v:rect id="_x0000_s1572" style="position:absolute;left:3183;top:-150;width:221;height:232;mso-wrap-style:none" filled="f" stroked="f">
                <v:textbox style="mso-fit-shape-to-text:t" inset="0,0,0,0">
                  <w:txbxContent>
                    <w:p w:rsidR="000B433A" w:rsidRDefault="000B433A">
                      <w:r>
                        <w:rPr>
                          <w:rFonts w:cs="Calibri"/>
                          <w:color w:val="000000"/>
                          <w:sz w:val="8"/>
                          <w:szCs w:val="8"/>
                          <w:lang w:val="en-US"/>
                        </w:rPr>
                        <w:t>10 000</w:t>
                      </w:r>
                    </w:p>
                  </w:txbxContent>
                </v:textbox>
              </v:rect>
              <v:rect id="_x0000_s1573" style="position:absolute;left:3183;top:-313;width:221;height:232;mso-wrap-style:none" filled="f" stroked="f">
                <v:textbox style="mso-fit-shape-to-text:t" inset="0,0,0,0">
                  <w:txbxContent>
                    <w:p w:rsidR="000B433A" w:rsidRDefault="000B433A">
                      <w:r>
                        <w:rPr>
                          <w:rFonts w:cs="Calibri"/>
                          <w:color w:val="000000"/>
                          <w:sz w:val="8"/>
                          <w:szCs w:val="8"/>
                          <w:lang w:val="en-US"/>
                        </w:rPr>
                        <w:t>15 000</w:t>
                      </w:r>
                    </w:p>
                  </w:txbxContent>
                </v:textbox>
              </v:rect>
              <v:rect id="_x0000_s1574" style="position:absolute;left:3183;top:-476;width:221;height:232;mso-wrap-style:none" filled="f" stroked="f">
                <v:textbox style="mso-fit-shape-to-text:t" inset="0,0,0,0">
                  <w:txbxContent>
                    <w:p w:rsidR="000B433A" w:rsidRDefault="000B433A">
                      <w:r>
                        <w:rPr>
                          <w:rFonts w:cs="Calibri"/>
                          <w:color w:val="000000"/>
                          <w:sz w:val="8"/>
                          <w:szCs w:val="8"/>
                          <w:lang w:val="en-US"/>
                        </w:rPr>
                        <w:t>20 000</w:t>
                      </w:r>
                    </w:p>
                  </w:txbxContent>
                </v:textbox>
              </v:rect>
              <v:rect id="_x0000_s1575" style="position:absolute;left:3183;top:-641;width:221;height:232;mso-wrap-style:none" filled="f" stroked="f">
                <v:textbox style="mso-fit-shape-to-text:t" inset="0,0,0,0">
                  <w:txbxContent>
                    <w:p w:rsidR="000B433A" w:rsidRDefault="000B433A">
                      <w:r>
                        <w:rPr>
                          <w:rFonts w:cs="Calibri"/>
                          <w:color w:val="000000"/>
                          <w:sz w:val="8"/>
                          <w:szCs w:val="8"/>
                          <w:lang w:val="en-US"/>
                        </w:rPr>
                        <w:t>25 000</w:t>
                      </w:r>
                    </w:p>
                  </w:txbxContent>
                </v:textbox>
              </v:rect>
              <v:rect id="_x0000_s1576" style="position:absolute;left:3183;top:-805;width:221;height:232;mso-wrap-style:none" filled="f" stroked="f">
                <v:textbox style="mso-fit-shape-to-text:t" inset="0,0,0,0">
                  <w:txbxContent>
                    <w:p w:rsidR="000B433A" w:rsidRDefault="000B433A">
                      <w:r>
                        <w:rPr>
                          <w:rFonts w:cs="Calibri"/>
                          <w:color w:val="000000"/>
                          <w:sz w:val="8"/>
                          <w:szCs w:val="8"/>
                          <w:lang w:val="en-US"/>
                        </w:rPr>
                        <w:t>30 000</w:t>
                      </w:r>
                    </w:p>
                  </w:txbxContent>
                </v:textbox>
              </v:rect>
              <v:rect id="_x0000_s1577" style="position:absolute;left:3183;top:-969;width:221;height:232;mso-wrap-style:none" filled="f" stroked="f">
                <v:textbox style="mso-fit-shape-to-text:t" inset="0,0,0,0">
                  <w:txbxContent>
                    <w:p w:rsidR="000B433A" w:rsidRDefault="000B433A">
                      <w:r>
                        <w:rPr>
                          <w:rFonts w:cs="Calibri"/>
                          <w:color w:val="000000"/>
                          <w:sz w:val="8"/>
                          <w:szCs w:val="8"/>
                          <w:lang w:val="en-US"/>
                        </w:rPr>
                        <w:t>35 000</w:t>
                      </w:r>
                    </w:p>
                  </w:txbxContent>
                </v:textbox>
              </v:rect>
              <v:rect id="_x0000_s1578" style="position:absolute;left:3650;top:285;width:163;height:232;mso-wrap-style:none" filled="f" stroked="f">
                <v:textbox style="mso-fit-shape-to-text:t" inset="0,0,0,0">
                  <w:txbxContent>
                    <w:p w:rsidR="000B433A" w:rsidRDefault="000B433A">
                      <w:r>
                        <w:rPr>
                          <w:rFonts w:cs="Calibri"/>
                          <w:color w:val="000000"/>
                          <w:sz w:val="8"/>
                          <w:szCs w:val="8"/>
                          <w:lang w:val="en-US"/>
                        </w:rPr>
                        <w:t>2005</w:t>
                      </w:r>
                    </w:p>
                  </w:txbxContent>
                </v:textbox>
              </v:rect>
              <v:rect id="_x0000_s1579" style="position:absolute;left:4149;top:285;width:163;height:232;mso-wrap-style:none" filled="f" stroked="f">
                <v:textbox style="mso-fit-shape-to-text:t" inset="0,0,0,0">
                  <w:txbxContent>
                    <w:p w:rsidR="000B433A" w:rsidRDefault="000B433A">
                      <w:r>
                        <w:rPr>
                          <w:rFonts w:cs="Calibri"/>
                          <w:color w:val="000000"/>
                          <w:sz w:val="8"/>
                          <w:szCs w:val="8"/>
                          <w:lang w:val="en-US"/>
                        </w:rPr>
                        <w:t>2015</w:t>
                      </w:r>
                    </w:p>
                  </w:txbxContent>
                </v:textbox>
              </v:rect>
              <v:rect id="_x0000_s1580" style="position:absolute;left:4555;top:285;width:359;height:232;mso-wrap-style:none" filled="f" stroked="f">
                <v:textbox style="mso-fit-shape-to-text:t" inset="0,0,0,0">
                  <w:txbxContent>
                    <w:p w:rsidR="000B433A" w:rsidRDefault="000B433A">
                      <w:r>
                        <w:rPr>
                          <w:rFonts w:cs="Calibri"/>
                          <w:color w:val="000000"/>
                          <w:sz w:val="8"/>
                          <w:szCs w:val="8"/>
                          <w:lang w:val="en-US"/>
                        </w:rPr>
                        <w:t>2030 WEM</w:t>
                      </w:r>
                    </w:p>
                  </w:txbxContent>
                </v:textbox>
              </v:rect>
              <v:rect id="_x0000_s1581" style="position:absolute;left:3142;top:-247;width:48;height:148;mso-wrap-style:none" filled="f" stroked="f">
                <v:textbox style="mso-fit-shape-to-text:t" inset="0,0,0,0">
                  <w:txbxContent>
                    <w:p w:rsidR="000B433A" w:rsidRDefault="000B433A">
                      <w:proofErr w:type="gramStart"/>
                      <w:r>
                        <w:rPr>
                          <w:rFonts w:cs="Calibri"/>
                          <w:b/>
                          <w:bCs/>
                          <w:color w:val="000000"/>
                          <w:sz w:val="2"/>
                          <w:szCs w:val="2"/>
                          <w:lang w:val="en-US"/>
                        </w:rPr>
                        <w:t>t</w:t>
                      </w:r>
                      <w:proofErr w:type="gramEnd"/>
                      <w:r>
                        <w:rPr>
                          <w:rFonts w:cs="Calibri"/>
                          <w:b/>
                          <w:bCs/>
                          <w:color w:val="000000"/>
                          <w:sz w:val="2"/>
                          <w:szCs w:val="2"/>
                          <w:lang w:val="en-US"/>
                        </w:rPr>
                        <w:t xml:space="preserve"> NH3</w:t>
                      </w:r>
                    </w:p>
                  </w:txbxContent>
                </v:textbox>
              </v:rect>
              <v:rect id="_x0000_s1582" style="position:absolute;left:3477;top:-1277;width:1899;height:773;mso-wrap-style:none" filled="f" stroked="f">
                <v:textbox style="mso-fit-shape-to-text:t" inset="0,0,0,0">
                  <w:txbxContent>
                    <w:p w:rsidR="000B433A" w:rsidRDefault="000B433A" w:rsidP="009568A6">
                      <w:r>
                        <w:rPr>
                          <w:rFonts w:cs="Calibri"/>
                          <w:b/>
                          <w:bCs/>
                          <w:color w:val="000000"/>
                          <w:sz w:val="14"/>
                          <w:szCs w:val="14"/>
                          <w:lang w:val="en-US"/>
                        </w:rPr>
                        <w:t>Entwicklung der NH</w:t>
                      </w:r>
                      <w:r w:rsidRPr="005B7EAB">
                        <w:rPr>
                          <w:rFonts w:cs="Calibri"/>
                          <w:b/>
                          <w:bCs/>
                          <w:color w:val="000000"/>
                          <w:sz w:val="10"/>
                          <w:szCs w:val="10"/>
                          <w:lang w:val="en-US"/>
                        </w:rPr>
                        <w:t>3</w:t>
                      </w:r>
                      <w:r>
                        <w:rPr>
                          <w:rFonts w:cs="Calibri"/>
                          <w:b/>
                          <w:bCs/>
                          <w:color w:val="000000"/>
                          <w:sz w:val="14"/>
                          <w:szCs w:val="14"/>
                          <w:lang w:val="en-US"/>
                        </w:rPr>
                        <w:t>-Emissionen</w:t>
                      </w:r>
                    </w:p>
                    <w:p w:rsidR="000B433A" w:rsidRPr="009568A6" w:rsidRDefault="000B433A" w:rsidP="009568A6"/>
                  </w:txbxContent>
                </v:textbox>
              </v:rect>
              <v:rect id="_x0000_s1583" style="position:absolute;left:5341;top:-1197;width:141;height:457;mso-wrap-style:none" filled="f" stroked="f">
                <v:textbox style="mso-fit-shape-to-text:t" inset="0,0,0,0">
                  <w:txbxContent>
                    <w:p w:rsidR="000B433A" w:rsidRDefault="000B433A"/>
                  </w:txbxContent>
                </v:textbox>
              </v:rect>
              <v:rect id="_x0000_s1584" style="position:absolute;left:4215;top:-1099;width:405;height:317;mso-wrap-style:none" filled="f" stroked="f">
                <v:textbox style="mso-fit-shape-to-text:t" inset="0,0,0,0">
                  <w:txbxContent>
                    <w:p w:rsidR="000B433A" w:rsidRDefault="000B433A">
                      <w:r>
                        <w:rPr>
                          <w:rFonts w:cs="Calibri"/>
                          <w:b/>
                          <w:bCs/>
                          <w:color w:val="000000"/>
                          <w:sz w:val="14"/>
                          <w:szCs w:val="14"/>
                          <w:lang w:val="en-US"/>
                        </w:rPr>
                        <w:t>(WEM)</w:t>
                      </w:r>
                    </w:p>
                  </w:txbxContent>
                </v:textbox>
              </v:rect>
              <v:rect id="_x0000_s1585" style="position:absolute;left:5055;top:-881;width:49;height:56" fillcolor="#f1a78a" stroked="f"/>
              <v:rect id="_x0000_s1586" style="position:absolute;left:5122;top:-902;width:414;height:689;mso-wrap-style:none" filled="f" stroked="f">
                <v:textbox style="mso-fit-shape-to-text:t" inset="0,0,0,0">
                  <w:txbxContent>
                    <w:p w:rsidR="000B433A" w:rsidRPr="00665784" w:rsidRDefault="000B433A" w:rsidP="00665784">
                      <w:proofErr w:type="gramStart"/>
                      <w:r>
                        <w:rPr>
                          <w:rFonts w:cs="Calibri"/>
                          <w:color w:val="000000"/>
                          <w:sz w:val="8"/>
                          <w:szCs w:val="8"/>
                          <w:lang w:val="en-US"/>
                        </w:rPr>
                        <w:t>Landwirtsch.</w:t>
                      </w:r>
                      <w:proofErr w:type="gramEnd"/>
                    </w:p>
                    <w:p w:rsidR="000B433A" w:rsidRPr="00665784" w:rsidRDefault="000B433A" w:rsidP="00665784"/>
                  </w:txbxContent>
                </v:textbox>
              </v:rect>
              <v:rect id="_x0000_s1587" style="position:absolute;left:5055;top:-733;width:49;height:55" fillcolor="#8fa2d4" stroked="f"/>
              <v:rect id="_x0000_s1588" style="position:absolute;left:5122;top:-754;width:228;height:689;mso-wrap-style:none" filled="f" stroked="f">
                <v:textbox style="mso-fit-shape-to-text:t" inset="0,0,0,0">
                  <w:txbxContent>
                    <w:p w:rsidR="000B433A" w:rsidRDefault="000B433A" w:rsidP="00665784">
                      <w:r>
                        <w:rPr>
                          <w:rFonts w:cs="Calibri"/>
                          <w:color w:val="000000"/>
                          <w:sz w:val="8"/>
                          <w:szCs w:val="8"/>
                          <w:lang w:val="en-US"/>
                        </w:rPr>
                        <w:t>Abfälle</w:t>
                      </w:r>
                    </w:p>
                    <w:p w:rsidR="000B433A" w:rsidRPr="00665784" w:rsidRDefault="000B433A" w:rsidP="00665784"/>
                  </w:txbxContent>
                </v:textbox>
              </v:rect>
              <v:rect id="_x0000_s1589" style="position:absolute;left:5055;top:-586;width:49;height:56" fillcolor="#62993e" stroked="f"/>
              <v:rect id="_x0000_s1590" style="position:absolute;left:5122;top:-606;width:318;height:232;mso-wrap-style:none" filled="f" stroked="f">
                <v:textbox style="mso-fit-shape-to-text:t" inset="0,0,0,0">
                  <w:txbxContent>
                    <w:p w:rsidR="000B433A" w:rsidRDefault="000B433A">
                      <w:r>
                        <w:rPr>
                          <w:rFonts w:cs="Calibri"/>
                          <w:color w:val="000000"/>
                          <w:sz w:val="8"/>
                          <w:szCs w:val="8"/>
                          <w:lang w:val="en-US"/>
                        </w:rPr>
                        <w:t>Transport</w:t>
                      </w:r>
                    </w:p>
                  </w:txbxContent>
                </v:textbox>
              </v:rect>
              <v:rect id="_x0000_s1591" style="position:absolute;left:5055;top:-432;width:49;height:49" fillcolor="#5089bc" stroked="f"/>
              <v:rect id="_x0000_s1592" style="position:absolute;left:5122;top:-457;width:325;height:232;mso-wrap-style:none" filled="f" stroked="f">
                <v:textbox style="mso-fit-shape-to-text:t" inset="0,0,0,0">
                  <w:txbxContent>
                    <w:p w:rsidR="000B433A" w:rsidRPr="00665784" w:rsidRDefault="000B433A" w:rsidP="00665784">
                      <w:r>
                        <w:rPr>
                          <w:rFonts w:cs="Calibri"/>
                          <w:color w:val="000000"/>
                          <w:sz w:val="8"/>
                          <w:szCs w:val="8"/>
                          <w:lang w:val="en-US"/>
                        </w:rPr>
                        <w:t>Lösungsm</w:t>
                      </w:r>
                    </w:p>
                  </w:txbxContent>
                </v:textbox>
              </v:rect>
              <v:rect id="_x0000_s1593" style="position:absolute;left:5055;top:-284;width:49;height:49" fillcolor="#e2aa00" stroked="f"/>
              <v:rect id="_x0000_s1594" style="position:absolute;left:5122;top:-309;width:559;height:689;mso-wrap-style:none" filled="f" stroked="f">
                <v:textbox style="mso-fit-shape-to-text:t" inset="0,0,0,0">
                  <w:txbxContent>
                    <w:p w:rsidR="000B433A" w:rsidRPr="00E566D5" w:rsidRDefault="000B433A" w:rsidP="00F96280">
                      <w:pPr>
                        <w:rPr>
                          <w:rFonts w:cs="Calibri"/>
                          <w:color w:val="000000"/>
                          <w:sz w:val="8"/>
                          <w:szCs w:val="8"/>
                          <w:lang w:val="en-US"/>
                        </w:rPr>
                      </w:pPr>
                      <w:r w:rsidRPr="00E566D5">
                        <w:rPr>
                          <w:rFonts w:cs="Calibri"/>
                          <w:color w:val="000000"/>
                          <w:sz w:val="8"/>
                          <w:szCs w:val="8"/>
                          <w:lang w:val="en-US"/>
                        </w:rPr>
                        <w:t>Heizölgewinnung</w:t>
                      </w:r>
                    </w:p>
                    <w:p w:rsidR="000B433A" w:rsidRPr="00F96280" w:rsidRDefault="000B433A" w:rsidP="00F96280"/>
                  </w:txbxContent>
                </v:textbox>
              </v:rect>
              <v:rect id="_x0000_s1595" style="position:absolute;left:5055;top:-137;width:49;height:49" fillcolor="#929292" stroked="f"/>
              <v:rect id="_x0000_s1596" style="position:absolute;left:5122;top:-161;width:291;height:232;mso-wrap-style:none" filled="f" stroked="f">
                <v:textbox style="mso-fit-shape-to-text:t" inset="0,0,0,0">
                  <w:txbxContent>
                    <w:p w:rsidR="000B433A" w:rsidRDefault="000B433A">
                      <w:r>
                        <w:rPr>
                          <w:rFonts w:cs="Calibri"/>
                          <w:color w:val="000000"/>
                          <w:sz w:val="8"/>
                          <w:szCs w:val="8"/>
                          <w:lang w:val="en-US"/>
                        </w:rPr>
                        <w:t>Industrie</w:t>
                      </w:r>
                    </w:p>
                  </w:txbxContent>
                </v:textbox>
              </v:rect>
              <v:rect id="_x0000_s1597" style="position:absolute;left:5055;top:11;width:49;height:49" fillcolor="#d26e2a" stroked="f"/>
              <v:rect id="_x0000_s1598" style="position:absolute;left:5122;top:-13;width:582;height:232;mso-wrap-style:none" filled="f" stroked="f">
                <v:textbox style="mso-fit-shape-to-text:t" inset="0,0,0,0">
                  <w:txbxContent>
                    <w:p w:rsidR="000B433A" w:rsidRPr="00F96280" w:rsidRDefault="000B433A" w:rsidP="00F96280">
                      <w:r>
                        <w:rPr>
                          <w:rFonts w:cs="Calibri"/>
                          <w:color w:val="000000"/>
                          <w:sz w:val="8"/>
                          <w:szCs w:val="8"/>
                          <w:lang w:val="en-US"/>
                        </w:rPr>
                        <w:t>Wohnen + Dienstl</w:t>
                      </w:r>
                    </w:p>
                  </w:txbxContent>
                </v:textbox>
              </v:rect>
              <v:rect id="_x0000_s1599" style="position:absolute;left:5055;top:158;width:49;height:49" fillcolor="#3b64ad" stroked="f"/>
              <v:rect id="_x0000_s1600" style="position:absolute;left:5122;top:136;width:245;height:232;mso-wrap-style:none" filled="f" stroked="f">
                <v:textbox style="mso-fit-shape-to-text:t" inset="0,0,0,0">
                  <w:txbxContent>
                    <w:p w:rsidR="000B433A" w:rsidRDefault="000B433A">
                      <w:r>
                        <w:rPr>
                          <w:rFonts w:cs="Calibri"/>
                          <w:color w:val="000000"/>
                          <w:sz w:val="8"/>
                          <w:szCs w:val="8"/>
                          <w:lang w:val="en-US"/>
                        </w:rPr>
                        <w:t>Energie</w:t>
                      </w:r>
                    </w:p>
                  </w:txbxContent>
                </v:textbox>
              </v:rect>
              <v:shape id="_x0000_s1601" style="position:absolute;left:2957;top:-1342;width:2959;height:1777" coordsize="7696,4624" path="m,8hdc,4,4,,8,hal7688,hdc7693,,7696,4,7696,8hal7696,4616hdc7696,4621,7693,4624,7688,4624hal8,4624hdc4,4624,,4621,,4616hal,8hdxm16,4616hal8,4608r7680,l7680,4616,7680,8r8,8l8,16,16,8r,4608hdxe" fillcolor="#898989" strokecolor="#898989" strokeweight="0">
                <v:path arrowok="t"/>
                <o:lock v:ext="edit" verticies="t"/>
              </v:shape>
              <v:rect id="_x0000_s1602" style="position:absolute;left:5916;top:-1342;width:2960;height:1777" stroked="f"/>
              <v:rect id="_x0000_s1603" style="position:absolute;left:6445;top:-918;width:1514;height:1150" stroked="f"/>
              <v:shape id="_x0000_s1604" style="position:absolute;left:6449;top:-918;width:1501;height:984" coordsize="1501,984" path="m,978r1501,l1501,984,,984r,-6xm,812r1501,l1501,818,,818r,-6xm,652r1501,l1501,658,,658r,-6xm,486r1501,l1501,492,,492r,-6xm,326r1501,l1501,332,,332r,-6xm,160r1501,l1501,166,,166r,-6xm,l1501,r,6l,6,,xe" fillcolor="#898989" strokecolor="#898989" strokeweight=".3pt">
                <v:stroke joinstyle="bevel"/>
                <v:path arrowok="t"/>
                <o:lock v:ext="edit" verticies="t"/>
              </v:shape>
              <v:shape id="_x0000_s1605" style="position:absolute;left:6599;top:201;width:1200;height:25" coordsize="1200,25" path="m,l197,r,25l,25,,xm499,19r203,l702,25r-203,l499,19xm1003,19r197,l1200,25r-197,l1003,19xe" fillcolor="#3b64ad" stroked="f">
                <v:path arrowok="t"/>
                <o:lock v:ext="edit" verticies="t"/>
              </v:shape>
              <v:shape id="_x0000_s1606" style="position:absolute;left:6599;top:115;width:1200;height:105" coordsize="1200,105" path="m,13r197,l197,86,,86,,13xm499,25r203,l702,105r-203,l499,25xm1003,r197,l1200,105r-197,l1003,xe" fillcolor="#d26e2a" stroked="f">
                <v:path arrowok="t"/>
                <o:lock v:ext="edit" verticies="t"/>
              </v:shape>
              <v:shape id="_x0000_s1607" style="position:absolute;left:6599;top:-8;width:1200;height:148" coordsize="1200,148" path="m,l197,r,136l,136,,xm499,68r203,l702,148r-203,l499,68xm1003,43r197,l1200,123r-197,l1003,43xe" fillcolor="#929292" stroked="f">
                <v:path arrowok="t"/>
                <o:lock v:ext="edit" verticies="t"/>
              </v:shape>
              <v:shape id="_x0000_s1608" style="position:absolute;left:6599;top:-38;width:1200;height:98" coordsize="1200,98" path="m,l197,r,30l,30,,xm499,79r203,l702,98r-203,l499,79xm1003,55r197,l1200,73r-197,l1003,55xe" fillcolor="#e2aa00" stroked="f">
                <v:path arrowok="t"/>
                <o:lock v:ext="edit" verticies="t"/>
              </v:shape>
              <v:shape id="_x0000_s1609" style="position:absolute;left:6599;top:-358;width:1200;height:399" coordsize="1200,399" path="m,l197,r,320l,320,,xm499,197r203,l702,399r-203,l499,197xm1003,160r197,l1200,375r-197,l1003,160xe" fillcolor="#5089bc" stroked="f">
                <v:path arrowok="t"/>
                <o:lock v:ext="edit" verticies="t"/>
              </v:shape>
              <v:shape id="_x0000_s1610" style="position:absolute;left:6599;top:-518;width:1200;height:357" coordsize="1200,357" path="m,l197,r,160l,160,,xm499,295r203,l702,357r-203,l499,295xm1003,252r197,l1200,320r-197,l1003,252xe" fillcolor="#62993e" stroked="f">
                <v:path arrowok="t"/>
                <o:lock v:ext="edit" verticies="t"/>
              </v:shape>
              <v:shape id="_x0000_s1611" style="position:absolute;left:6599;top:-530;width:1200;height:307" coordsize="1200,307" path="m,l197,r,12l,12,,xm499,301r203,l702,307r-203,l499,301xm1003,252r197,l1200,264r-197,l1003,252xe" fillcolor="#8fa2d4" stroked="f">
                <v:path arrowok="t"/>
                <o:lock v:ext="edit" verticies="t"/>
              </v:shape>
              <v:shape id="_x0000_s1612" style="position:absolute;left:6599;top:-721;width:1200;height:492" coordsize="1200,492" path="m,l197,r,191l,191,,xm499,314r203,l702,492r-203,l499,314xm1003,271r197,l1200,443r-197,l1003,271xe" fillcolor="#f1a78a" stroked="f">
                <v:path arrowok="t"/>
                <o:lock v:ext="edit" verticies="t"/>
              </v:shape>
              <v:rect id="_x0000_s1613" style="position:absolute;left:6445;top:-915;width:7;height:1138" fillcolor="#898989" strokecolor="#898989" strokeweight=".3pt">
                <v:stroke joinstyle="bevel"/>
              </v:rect>
              <v:shape id="_x0000_s1614" style="position:absolute;left:6418;top:-918;width:31;height:1144" coordsize="31,1144" path="m,1138r31,l31,1144r-31,l,1138xm,978r31,l31,984,,984r,-6xm,812r31,l31,818,,818r,-6xm,652r31,l31,658,,658r,-6xm,486r31,l31,492,,492r,-6xm,326r31,l31,332,,332r,-6xm,160r31,l31,166,,166r,-6xm,l31,r,6l,6,,xe" fillcolor="#898989" strokecolor="#898989" strokeweight=".3pt">
                <v:stroke joinstyle="bevel"/>
                <v:path arrowok="t"/>
                <o:lock v:ext="edit" verticies="t"/>
              </v:shape>
              <v:rect id="_x0000_s1615" style="position:absolute;left:6449;top:220;width:1501;height:6" fillcolor="#898989" strokecolor="#898989" strokeweight=".3pt">
                <v:stroke joinstyle="bevel"/>
              </v:rect>
              <v:shape id="_x0000_s1616" style="position:absolute;left:6445;top:223;width:1508;height:24" coordsize="1508,24" path="m7,r,24l,24,,,7,xm505,r,24l499,24,499,r6,xm1010,r,24l1003,24r,-24l1010,xm1508,r,24l1502,24r,-24l1508,xe" fillcolor="#898989" strokecolor="#898989" strokeweight=".3pt">
                <v:stroke joinstyle="bevel"/>
                <v:path arrowok="t"/>
                <o:lock v:ext="edit" verticies="t"/>
              </v:shape>
              <v:rect id="_x0000_s1617" style="position:absolute;left:6328;top:178;width:41;height:232;mso-wrap-style:none" filled="f" stroked="f">
                <v:textbox style="mso-fit-shape-to-text:t" inset="0,0,0,0">
                  <w:txbxContent>
                    <w:p w:rsidR="000B433A" w:rsidRDefault="000B433A">
                      <w:r>
                        <w:rPr>
                          <w:rFonts w:cs="Calibri"/>
                          <w:color w:val="000000"/>
                          <w:sz w:val="8"/>
                          <w:szCs w:val="8"/>
                          <w:lang w:val="en-US"/>
                        </w:rPr>
                        <w:t>0</w:t>
                      </w:r>
                    </w:p>
                  </w:txbxContent>
                </v:textbox>
              </v:rect>
              <v:rect id="_x0000_s1618" style="position:absolute;left:6143;top:15;width:221;height:232;mso-wrap-style:none" filled="f" stroked="f">
                <v:textbox style="mso-fit-shape-to-text:t" inset="0,0,0,0">
                  <w:txbxContent>
                    <w:p w:rsidR="000B433A" w:rsidRDefault="000B433A">
                      <w:r>
                        <w:rPr>
                          <w:rFonts w:cs="Calibri"/>
                          <w:color w:val="000000"/>
                          <w:sz w:val="8"/>
                          <w:szCs w:val="8"/>
                          <w:lang w:val="en-US"/>
                        </w:rPr>
                        <w:t>10 000</w:t>
                      </w:r>
                    </w:p>
                  </w:txbxContent>
                </v:textbox>
              </v:rect>
              <v:rect id="_x0000_s1619" style="position:absolute;left:6143;top:-146;width:221;height:232;mso-wrap-style:none" filled="f" stroked="f">
                <v:textbox style="mso-fit-shape-to-text:t" inset="0,0,0,0">
                  <w:txbxContent>
                    <w:p w:rsidR="000B433A" w:rsidRDefault="000B433A">
                      <w:r>
                        <w:rPr>
                          <w:rFonts w:cs="Calibri"/>
                          <w:color w:val="000000"/>
                          <w:sz w:val="8"/>
                          <w:szCs w:val="8"/>
                          <w:lang w:val="en-US"/>
                        </w:rPr>
                        <w:t>20 000</w:t>
                      </w:r>
                    </w:p>
                  </w:txbxContent>
                </v:textbox>
              </v:rect>
              <v:rect id="_x0000_s1620" style="position:absolute;left:6143;top:-310;width:221;height:232;mso-wrap-style:none" filled="f" stroked="f">
                <v:textbox style="mso-fit-shape-to-text:t" inset="0,0,0,0">
                  <w:txbxContent>
                    <w:p w:rsidR="000B433A" w:rsidRDefault="000B433A">
                      <w:r>
                        <w:rPr>
                          <w:rFonts w:cs="Calibri"/>
                          <w:color w:val="000000"/>
                          <w:sz w:val="8"/>
                          <w:szCs w:val="8"/>
                          <w:lang w:val="en-US"/>
                        </w:rPr>
                        <w:t>30 000</w:t>
                      </w:r>
                    </w:p>
                  </w:txbxContent>
                </v:textbox>
              </v:rect>
              <v:rect id="_x0000_s1621" style="position:absolute;left:6143;top:-473;width:221;height:232;mso-wrap-style:none" filled="f" stroked="f">
                <v:textbox style="mso-fit-shape-to-text:t" inset="0,0,0,0">
                  <w:txbxContent>
                    <w:p w:rsidR="000B433A" w:rsidRDefault="000B433A">
                      <w:r>
                        <w:rPr>
                          <w:rFonts w:cs="Calibri"/>
                          <w:color w:val="000000"/>
                          <w:sz w:val="8"/>
                          <w:szCs w:val="8"/>
                          <w:lang w:val="en-US"/>
                        </w:rPr>
                        <w:t>40 000</w:t>
                      </w:r>
                    </w:p>
                  </w:txbxContent>
                </v:textbox>
              </v:rect>
              <v:rect id="_x0000_s1622" style="position:absolute;left:6143;top:-634;width:221;height:232;mso-wrap-style:none" filled="f" stroked="f">
                <v:textbox style="mso-fit-shape-to-text:t" inset="0,0,0,0">
                  <w:txbxContent>
                    <w:p w:rsidR="000B433A" w:rsidRDefault="000B433A">
                      <w:r>
                        <w:rPr>
                          <w:rFonts w:cs="Calibri"/>
                          <w:color w:val="000000"/>
                          <w:sz w:val="8"/>
                          <w:szCs w:val="8"/>
                          <w:lang w:val="en-US"/>
                        </w:rPr>
                        <w:t>50 000</w:t>
                      </w:r>
                    </w:p>
                  </w:txbxContent>
                </v:textbox>
              </v:rect>
              <v:rect id="_x0000_s1623" style="position:absolute;left:6143;top:-798;width:221;height:232;mso-wrap-style:none" filled="f" stroked="f">
                <v:textbox style="mso-fit-shape-to-text:t" inset="0,0,0,0">
                  <w:txbxContent>
                    <w:p w:rsidR="000B433A" w:rsidRDefault="000B433A">
                      <w:r>
                        <w:rPr>
                          <w:rFonts w:cs="Calibri"/>
                          <w:color w:val="000000"/>
                          <w:sz w:val="8"/>
                          <w:szCs w:val="8"/>
                          <w:lang w:val="en-US"/>
                        </w:rPr>
                        <w:t>60 000</w:t>
                      </w:r>
                    </w:p>
                  </w:txbxContent>
                </v:textbox>
              </v:rect>
              <v:rect id="_x0000_s1624" style="position:absolute;left:6143;top:-961;width:221;height:232;mso-wrap-style:none" filled="f" stroked="f">
                <v:textbox style="mso-fit-shape-to-text:t" inset="0,0,0,0">
                  <w:txbxContent>
                    <w:p w:rsidR="000B433A" w:rsidRDefault="000B433A">
                      <w:r>
                        <w:rPr>
                          <w:rFonts w:cs="Calibri"/>
                          <w:color w:val="000000"/>
                          <w:sz w:val="8"/>
                          <w:szCs w:val="8"/>
                          <w:lang w:val="en-US"/>
                        </w:rPr>
                        <w:t>70 000</w:t>
                      </w:r>
                    </w:p>
                  </w:txbxContent>
                </v:textbox>
              </v:rect>
              <v:rect id="_x0000_s1625" style="position:absolute;left:6609;top:285;width:163;height:232;mso-wrap-style:none" filled="f" stroked="f">
                <v:textbox style="mso-fit-shape-to-text:t" inset="0,0,0,0">
                  <w:txbxContent>
                    <w:p w:rsidR="000B433A" w:rsidRDefault="000B433A">
                      <w:r>
                        <w:rPr>
                          <w:rFonts w:cs="Calibri"/>
                          <w:color w:val="000000"/>
                          <w:sz w:val="8"/>
                          <w:szCs w:val="8"/>
                          <w:lang w:val="en-US"/>
                        </w:rPr>
                        <w:t>2005</w:t>
                      </w:r>
                    </w:p>
                  </w:txbxContent>
                </v:textbox>
              </v:rect>
              <v:rect id="_x0000_s1626" style="position:absolute;left:7111;top:285;width:163;height:232;mso-wrap-style:none" filled="f" stroked="f">
                <v:textbox style="mso-fit-shape-to-text:t" inset="0,0,0,0">
                  <w:txbxContent>
                    <w:p w:rsidR="000B433A" w:rsidRDefault="000B433A">
                      <w:r>
                        <w:rPr>
                          <w:rFonts w:cs="Calibri"/>
                          <w:color w:val="000000"/>
                          <w:sz w:val="8"/>
                          <w:szCs w:val="8"/>
                          <w:lang w:val="en-US"/>
                        </w:rPr>
                        <w:t>2015</w:t>
                      </w:r>
                    </w:p>
                  </w:txbxContent>
                </v:textbox>
              </v:rect>
              <v:rect id="_x0000_s1627" style="position:absolute;left:7520;top:285;width:359;height:232;mso-wrap-style:none" filled="f" stroked="f">
                <v:textbox style="mso-fit-shape-to-text:t" inset="0,0,0,0">
                  <w:txbxContent>
                    <w:p w:rsidR="000B433A" w:rsidRDefault="000B433A">
                      <w:r>
                        <w:rPr>
                          <w:rFonts w:cs="Calibri"/>
                          <w:color w:val="000000"/>
                          <w:sz w:val="8"/>
                          <w:szCs w:val="8"/>
                          <w:lang w:val="en-US"/>
                        </w:rPr>
                        <w:t>2030 WEM</w:t>
                      </w:r>
                    </w:p>
                  </w:txbxContent>
                </v:textbox>
              </v:rect>
              <v:rect id="_x0000_s1628" style="position:absolute;left:6102;top:-182;width:79;height:148;mso-wrap-style:none" filled="f" stroked="f">
                <v:textbox style="mso-fit-shape-to-text:t" inset="0,0,0,0">
                  <w:txbxContent>
                    <w:p w:rsidR="000B433A" w:rsidRDefault="000B433A">
                      <w:proofErr w:type="gramStart"/>
                      <w:r>
                        <w:rPr>
                          <w:rFonts w:cs="Calibri"/>
                          <w:b/>
                          <w:bCs/>
                          <w:color w:val="000000"/>
                          <w:sz w:val="2"/>
                          <w:szCs w:val="2"/>
                          <w:lang w:val="en-US"/>
                        </w:rPr>
                        <w:t>t</w:t>
                      </w:r>
                      <w:proofErr w:type="gramEnd"/>
                      <w:r>
                        <w:rPr>
                          <w:rFonts w:cs="Calibri"/>
                          <w:b/>
                          <w:bCs/>
                          <w:color w:val="000000"/>
                          <w:sz w:val="2"/>
                          <w:szCs w:val="2"/>
                          <w:lang w:val="en-US"/>
                        </w:rPr>
                        <w:t xml:space="preserve"> COVNM</w:t>
                      </w:r>
                    </w:p>
                  </w:txbxContent>
                </v:textbox>
              </v:rect>
              <v:rect id="_x0000_s1629" style="position:absolute;left:6313;top:-1277;width:2134;height:773;mso-wrap-style:none" filled="f" stroked="f">
                <v:textbox style="mso-fit-shape-to-text:t" inset="0,0,0,0">
                  <w:txbxContent>
                    <w:p w:rsidR="000B433A" w:rsidRDefault="000B433A" w:rsidP="009568A6">
                      <w:r>
                        <w:rPr>
                          <w:rFonts w:cs="Calibri"/>
                          <w:b/>
                          <w:bCs/>
                          <w:color w:val="000000"/>
                          <w:sz w:val="14"/>
                          <w:szCs w:val="14"/>
                          <w:lang w:val="en-US"/>
                        </w:rPr>
                        <w:t>Entwicklung der COVNM-Emissionen</w:t>
                      </w:r>
                    </w:p>
                    <w:p w:rsidR="000B433A" w:rsidRPr="009568A6" w:rsidRDefault="000B433A" w:rsidP="009568A6"/>
                  </w:txbxContent>
                </v:textbox>
              </v:rect>
              <v:rect id="_x0000_s1630" style="position:absolute;left:7175;top:-1099;width:405;height:317;mso-wrap-style:none" filled="f" stroked="f">
                <v:textbox style="mso-fit-shape-to-text:t" inset="0,0,0,0">
                  <w:txbxContent>
                    <w:p w:rsidR="000B433A" w:rsidRDefault="000B433A">
                      <w:r>
                        <w:rPr>
                          <w:rFonts w:cs="Calibri"/>
                          <w:b/>
                          <w:bCs/>
                          <w:color w:val="000000"/>
                          <w:sz w:val="14"/>
                          <w:szCs w:val="14"/>
                          <w:lang w:val="en-US"/>
                        </w:rPr>
                        <w:t>(WEM)</w:t>
                      </w:r>
                    </w:p>
                  </w:txbxContent>
                </v:textbox>
              </v:rect>
              <v:rect id="_x0000_s1631" style="position:absolute;left:8021;top:-862;width:55;height:49" fillcolor="#f1a78a" stroked="f"/>
              <v:rect id="_x0000_s1632" style="position:absolute;left:8090;top:-886;width:414;height:689;mso-wrap-style:none" filled="f" stroked="f">
                <v:textbox style="mso-fit-shape-to-text:t" inset="0,0,0,0">
                  <w:txbxContent>
                    <w:p w:rsidR="000B433A" w:rsidRPr="00665784" w:rsidRDefault="000B433A" w:rsidP="00665784">
                      <w:proofErr w:type="gramStart"/>
                      <w:r>
                        <w:rPr>
                          <w:rFonts w:cs="Calibri"/>
                          <w:color w:val="000000"/>
                          <w:sz w:val="8"/>
                          <w:szCs w:val="8"/>
                          <w:lang w:val="en-US"/>
                        </w:rPr>
                        <w:t>Landwirtsch.</w:t>
                      </w:r>
                      <w:proofErr w:type="gramEnd"/>
                    </w:p>
                    <w:p w:rsidR="000B433A" w:rsidRPr="00665784" w:rsidRDefault="000B433A" w:rsidP="00665784"/>
                  </w:txbxContent>
                </v:textbox>
              </v:rect>
              <v:rect id="_x0000_s1633" style="position:absolute;left:8021;top:-715;width:55;height:49" fillcolor="#8fa2d4" stroked="f"/>
              <v:rect id="_x0000_s1634" style="position:absolute;left:8090;top:-738;width:228;height:689;mso-wrap-style:none" filled="f" stroked="f">
                <v:textbox style="mso-fit-shape-to-text:t" inset="0,0,0,0">
                  <w:txbxContent>
                    <w:p w:rsidR="000B433A" w:rsidRDefault="000B433A" w:rsidP="00665784">
                      <w:r>
                        <w:rPr>
                          <w:rFonts w:cs="Calibri"/>
                          <w:color w:val="000000"/>
                          <w:sz w:val="8"/>
                          <w:szCs w:val="8"/>
                          <w:lang w:val="en-US"/>
                        </w:rPr>
                        <w:t>Abfälle</w:t>
                      </w:r>
                    </w:p>
                    <w:p w:rsidR="000B433A" w:rsidRPr="00665784" w:rsidRDefault="000B433A" w:rsidP="00665784"/>
                  </w:txbxContent>
                </v:textbox>
              </v:rect>
              <v:rect id="_x0000_s1635" style="position:absolute;left:8021;top:-567;width:55;height:49" fillcolor="#62993e" stroked="f"/>
              <v:rect id="_x0000_s1636" style="position:absolute;left:8090;top:-588;width:318;height:232;mso-wrap-style:none" filled="f" stroked="f">
                <v:textbox style="mso-fit-shape-to-text:t" inset="0,0,0,0">
                  <w:txbxContent>
                    <w:p w:rsidR="000B433A" w:rsidRDefault="000B433A">
                      <w:r>
                        <w:rPr>
                          <w:rFonts w:cs="Calibri"/>
                          <w:color w:val="000000"/>
                          <w:sz w:val="8"/>
                          <w:szCs w:val="8"/>
                          <w:lang w:val="en-US"/>
                        </w:rPr>
                        <w:t>Transport</w:t>
                      </w:r>
                    </w:p>
                  </w:txbxContent>
                </v:textbox>
              </v:rect>
              <v:rect id="_x0000_s1637" style="position:absolute;left:8021;top:-420;width:55;height:56" fillcolor="#5089bc" stroked="f"/>
              <v:rect id="_x0000_s1638" style="position:absolute;left:8090;top:-441;width:325;height:232;mso-wrap-style:none" filled="f" stroked="f">
                <v:textbox style="mso-fit-shape-to-text:t" inset="0,0,0,0">
                  <w:txbxContent>
                    <w:p w:rsidR="000B433A" w:rsidRPr="00665784" w:rsidRDefault="000B433A" w:rsidP="00665784">
                      <w:r>
                        <w:rPr>
                          <w:rFonts w:cs="Calibri"/>
                          <w:color w:val="000000"/>
                          <w:sz w:val="8"/>
                          <w:szCs w:val="8"/>
                          <w:lang w:val="en-US"/>
                        </w:rPr>
                        <w:t>Lösungsm</w:t>
                      </w:r>
                    </w:p>
                  </w:txbxContent>
                </v:textbox>
              </v:rect>
              <v:rect id="_x0000_s1639" style="position:absolute;left:8021;top:-272;width:55;height:55" fillcolor="#e2aa00" stroked="f"/>
              <v:rect id="_x0000_s1640" style="position:absolute;left:8090;top:-293;width:559;height:689;mso-wrap-style:none" filled="f" stroked="f">
                <v:textbox style="mso-fit-shape-to-text:t" inset="0,0,0,0">
                  <w:txbxContent>
                    <w:p w:rsidR="000B433A" w:rsidRPr="00E566D5" w:rsidRDefault="000B433A" w:rsidP="00F96280">
                      <w:pPr>
                        <w:rPr>
                          <w:rFonts w:cs="Calibri"/>
                          <w:color w:val="000000"/>
                          <w:sz w:val="8"/>
                          <w:szCs w:val="8"/>
                          <w:lang w:val="en-US"/>
                        </w:rPr>
                      </w:pPr>
                      <w:r w:rsidRPr="00E566D5">
                        <w:rPr>
                          <w:rFonts w:cs="Calibri"/>
                          <w:color w:val="000000"/>
                          <w:sz w:val="8"/>
                          <w:szCs w:val="8"/>
                          <w:lang w:val="en-US"/>
                        </w:rPr>
                        <w:t>Heizölgewinnung</w:t>
                      </w:r>
                    </w:p>
                    <w:p w:rsidR="000B433A" w:rsidRPr="00F96280" w:rsidRDefault="000B433A" w:rsidP="00F96280"/>
                  </w:txbxContent>
                </v:textbox>
              </v:rect>
              <v:rect id="_x0000_s1641" style="position:absolute;left:8021;top:-125;width:55;height:56" fillcolor="#929292" stroked="f"/>
              <v:rect id="_x0000_s1642" style="position:absolute;left:8090;top:-145;width:291;height:232;mso-wrap-style:none" filled="f" stroked="f">
                <v:textbox style="mso-fit-shape-to-text:t" inset="0,0,0,0">
                  <w:txbxContent>
                    <w:p w:rsidR="000B433A" w:rsidRDefault="000B433A">
                      <w:r>
                        <w:rPr>
                          <w:rFonts w:cs="Calibri"/>
                          <w:color w:val="000000"/>
                          <w:sz w:val="8"/>
                          <w:szCs w:val="8"/>
                          <w:lang w:val="en-US"/>
                        </w:rPr>
                        <w:t>Industrie</w:t>
                      </w:r>
                    </w:p>
                  </w:txbxContent>
                </v:textbox>
              </v:rect>
              <v:rect id="_x0000_s1643" style="position:absolute;left:8021;top:29;width:55;height:49" fillcolor="#d26e2a" stroked="f"/>
              <v:rect id="_x0000_s1644" style="position:absolute;left:8090;top:5;width:582;height:232;mso-wrap-style:none" filled="f" stroked="f">
                <v:textbox style="mso-fit-shape-to-text:t" inset="0,0,0,0">
                  <w:txbxContent>
                    <w:p w:rsidR="000B433A" w:rsidRPr="00F96280" w:rsidRDefault="000B433A" w:rsidP="00F96280">
                      <w:r>
                        <w:rPr>
                          <w:rFonts w:cs="Calibri"/>
                          <w:color w:val="000000"/>
                          <w:sz w:val="8"/>
                          <w:szCs w:val="8"/>
                          <w:lang w:val="en-US"/>
                        </w:rPr>
                        <w:t>Wohnen + Dienstl</w:t>
                      </w:r>
                    </w:p>
                  </w:txbxContent>
                </v:textbox>
              </v:rect>
              <v:rect id="_x0000_s1645" style="position:absolute;left:8021;top:177;width:55;height:49" fillcolor="#3b64ad" stroked="f"/>
              <v:rect id="_x0000_s1646" style="position:absolute;left:8090;top:152;width:245;height:232;mso-wrap-style:none" filled="f" stroked="f">
                <v:textbox style="mso-fit-shape-to-text:t" inset="0,0,0,0">
                  <w:txbxContent>
                    <w:p w:rsidR="000B433A" w:rsidRDefault="000B433A">
                      <w:r>
                        <w:rPr>
                          <w:rFonts w:cs="Calibri"/>
                          <w:color w:val="000000"/>
                          <w:sz w:val="8"/>
                          <w:szCs w:val="8"/>
                          <w:lang w:val="en-US"/>
                        </w:rPr>
                        <w:t>Energie</w:t>
                      </w:r>
                    </w:p>
                  </w:txbxContent>
                </v:textbox>
              </v:rect>
              <v:shape id="_x0000_s1647" style="position:absolute;left:5916;top:-1342;width:2960;height:1777" coordsize="7696,4624" path="m,8hdc,4,4,,8,hal7688,hdc7693,,7696,4,7696,8hal7696,4616hdc7696,4621,7693,4624,7688,4624hal8,4624hdc4,4624,,4621,,4616hal,8hdxm16,4616hal8,4608r7680,l7680,4616,7680,8r8,8l8,16,16,8r,4608hdxe" fillcolor="#898989" strokecolor="#898989" strokeweight="0">
                <v:path arrowok="t"/>
                <o:lock v:ext="edit" verticies="t"/>
              </v:shape>
              <v:rect id="_x0000_s1648" style="position:absolute;left:4440;top:435;width:2959;height:1777" stroked="f"/>
              <v:rect id="_x0000_s1649" style="position:absolute;left:4969;top:853;width:1538;height:1156" stroked="f"/>
              <v:shape id="_x0000_s1650" style="position:absolute;left:4972;top:853;width:1526;height:1008" coordsize="1526,1008" path="m,1002r1526,l1526,1008,,1008r,-6xm,855r1526,l1526,861,,861r,-6xm,713r1526,l1526,719,,719r,-6xm,572r1526,l1526,578,,578r,-6xm,430r1526,l1526,437,,437r,-7xm,283r1526,l1526,289,,289r,-6xm,142r1526,l1526,148,,148r,-6xm,l1526,r,6l,6,,xe" fillcolor="#898989" strokecolor="#898989" strokeweight=".3pt">
                <v:stroke joinstyle="bevel"/>
                <v:path arrowok="t"/>
                <o:lock v:ext="edit" verticies="t"/>
              </v:shape>
              <v:shape id="_x0000_s1651" style="position:absolute;left:5123;top:1978;width:1224;height:25" coordsize="1224,25" path="m,l203,r,25l,25,,xm510,6r203,l713,25r-203,l510,6xm1021,r203,l1224,25r-203,l1021,xe" fillcolor="#3b64ad" stroked="f">
                <v:path arrowok="t"/>
                <o:lock v:ext="edit" verticies="t"/>
              </v:shape>
              <v:shape id="_x0000_s1652" style="position:absolute;left:5123;top:1554;width:1224;height:430" coordsize="1224,430" path="m,61r203,l203,424,,424,,61xm510,18r203,l713,430r-203,l510,18xm1021,r203,l1224,424r-203,l1021,xe" fillcolor="#d26e2a" stroked="f">
                <v:path arrowok="t"/>
                <o:lock v:ext="edit" verticies="t"/>
              </v:shape>
              <v:shape id="_x0000_s1653" style="position:absolute;left:5123;top:1173;width:1224;height:442" coordsize="1224,442" path="m,l203,r,442l,442,,xm510,276r203,l713,399r-203,l510,276xm1021,264r203,l1224,381r-203,l1021,264xe" fillcolor="#929292" stroked="f">
                <v:path arrowok="t"/>
                <o:lock v:ext="edit" verticies="t"/>
              </v:shape>
              <v:shape id="_x0000_s1654" style="position:absolute;left:5123;top:939;width:1224;height:510" coordsize="1224,510" path="m,l203,r,234l,234,,xm510,400r203,l713,510r-203,l510,400xm1021,424r203,l1224,498r-203,l1021,424xe" fillcolor="#62993e" stroked="f">
                <v:path arrowok="t"/>
                <o:lock v:ext="edit" verticies="t"/>
              </v:shape>
              <v:shape id="_x0000_s1655" style="position:absolute;left:5123;top:927;width:1224;height:436" coordsize="1224,436" path="m,l203,r,12l,12,,xm510,400r203,l713,412r-203,l510,400xm1021,424r203,l1224,436r-203,l1021,424xe" fillcolor="#8fa2d4" stroked="f">
                <v:path arrowok="t"/>
                <o:lock v:ext="edit" verticies="t"/>
              </v:shape>
              <v:shape id="_x0000_s1656" style="position:absolute;left:5123;top:908;width:1224;height:443" coordsize="1224,443" path="m,l203,r,19l,19,,xm510,400r203,l713,419r-203,l510,400xm1021,431r203,l1224,443r-203,l1021,431xe" fillcolor="#f1a78a" stroked="f">
                <v:path arrowok="t"/>
                <o:lock v:ext="edit" verticies="t"/>
              </v:shape>
              <v:rect id="_x0000_s1657" style="position:absolute;left:4969;top:856;width:6;height:1144" fillcolor="#898989" strokecolor="#898989" strokeweight=".3pt">
                <v:stroke joinstyle="bevel"/>
              </v:rect>
              <v:shape id="_x0000_s1658" style="position:absolute;left:4941;top:853;width:31;height:1150" coordsize="31,1150" path="m,1144r31,l31,1150r-31,l,1144xm,1002r31,l31,1008r-31,l,1002xm,855r31,l31,861,,861r,-6xm,713r31,l31,719,,719r,-6xm,572r31,l31,578,,578r,-6xm,430r31,l31,437,,437r,-7xm,283r31,l31,289,,289r,-6xm,142r31,l31,148,,148r,-6xm,l31,r,6l,6,,xe" fillcolor="#898989" strokecolor="#898989" strokeweight=".3pt">
                <v:stroke joinstyle="bevel"/>
                <v:path arrowok="t"/>
                <o:lock v:ext="edit" verticies="t"/>
              </v:shape>
              <v:rect id="_x0000_s1659" style="position:absolute;left:4972;top:1997;width:1526;height:6" fillcolor="#898989" strokecolor="#898989" strokeweight=".3pt">
                <v:stroke joinstyle="bevel"/>
              </v:rect>
              <v:shape id="_x0000_s1660" style="position:absolute;left:4969;top:2000;width:1532;height:24" coordsize="1532,24" path="m6,r,24l,24,,,6,xm510,r,24l504,24,504,r6,xm1021,r,24l1015,24r,-24l1021,xm1532,r,24l1526,24r,-24l1532,xe" fillcolor="#898989" strokecolor="#898989" strokeweight=".3pt">
                <v:stroke joinstyle="bevel"/>
                <v:path arrowok="t"/>
                <o:lock v:ext="edit" verticies="t"/>
              </v:shape>
              <v:rect id="_x0000_s1661" style="position:absolute;left:4851;top:1955;width:41;height:232;mso-wrap-style:none" filled="f" stroked="f">
                <v:textbox style="mso-fit-shape-to-text:t" inset="0,0,0,0">
                  <w:txbxContent>
                    <w:p w:rsidR="000B433A" w:rsidRDefault="000B433A">
                      <w:r>
                        <w:rPr>
                          <w:rFonts w:cs="Calibri"/>
                          <w:color w:val="000000"/>
                          <w:sz w:val="8"/>
                          <w:szCs w:val="8"/>
                          <w:lang w:val="en-US"/>
                        </w:rPr>
                        <w:t>0</w:t>
                      </w:r>
                    </w:p>
                  </w:txbxContent>
                </v:textbox>
              </v:rect>
              <v:rect id="_x0000_s1662" style="position:absolute;left:4712;top:1812;width:181;height:232;mso-wrap-style:none" filled="f" stroked="f">
                <v:textbox style="mso-fit-shape-to-text:t" inset="0,0,0,0">
                  <w:txbxContent>
                    <w:p w:rsidR="000B433A" w:rsidRDefault="000B433A">
                      <w:r>
                        <w:rPr>
                          <w:rFonts w:cs="Calibri"/>
                          <w:color w:val="000000"/>
                          <w:sz w:val="8"/>
                          <w:szCs w:val="8"/>
                          <w:lang w:val="en-US"/>
                        </w:rPr>
                        <w:t>2 000</w:t>
                      </w:r>
                    </w:p>
                  </w:txbxContent>
                </v:textbox>
              </v:rect>
              <v:rect id="_x0000_s1663" style="position:absolute;left:4712;top:1668;width:181;height:232;mso-wrap-style:none" filled="f" stroked="f">
                <v:textbox style="mso-fit-shape-to-text:t" inset="0,0,0,0">
                  <w:txbxContent>
                    <w:p w:rsidR="000B433A" w:rsidRDefault="000B433A">
                      <w:r>
                        <w:rPr>
                          <w:rFonts w:cs="Calibri"/>
                          <w:color w:val="000000"/>
                          <w:sz w:val="8"/>
                          <w:szCs w:val="8"/>
                          <w:lang w:val="en-US"/>
                        </w:rPr>
                        <w:t>4 000</w:t>
                      </w:r>
                    </w:p>
                  </w:txbxContent>
                </v:textbox>
              </v:rect>
              <v:rect id="_x0000_s1664" style="position:absolute;left:4712;top:1525;width:181;height:232;mso-wrap-style:none" filled="f" stroked="f">
                <v:textbox style="mso-fit-shape-to-text:t" inset="0,0,0,0">
                  <w:txbxContent>
                    <w:p w:rsidR="000B433A" w:rsidRDefault="000B433A">
                      <w:r>
                        <w:rPr>
                          <w:rFonts w:cs="Calibri"/>
                          <w:color w:val="000000"/>
                          <w:sz w:val="8"/>
                          <w:szCs w:val="8"/>
                          <w:lang w:val="en-US"/>
                        </w:rPr>
                        <w:t>6 000</w:t>
                      </w:r>
                    </w:p>
                  </w:txbxContent>
                </v:textbox>
              </v:rect>
              <v:rect id="_x0000_s1665" style="position:absolute;left:4712;top:1382;width:181;height:232;mso-wrap-style:none" filled="f" stroked="f">
                <v:textbox style="mso-fit-shape-to-text:t" inset="0,0,0,0">
                  <w:txbxContent>
                    <w:p w:rsidR="000B433A" w:rsidRDefault="000B433A">
                      <w:r>
                        <w:rPr>
                          <w:rFonts w:cs="Calibri"/>
                          <w:color w:val="000000"/>
                          <w:sz w:val="8"/>
                          <w:szCs w:val="8"/>
                          <w:lang w:val="en-US"/>
                        </w:rPr>
                        <w:t>8 000</w:t>
                      </w:r>
                    </w:p>
                  </w:txbxContent>
                </v:textbox>
              </v:rect>
              <v:rect id="_x0000_s1666" style="position:absolute;left:4666;top:1238;width:221;height:232;mso-wrap-style:none" filled="f" stroked="f">
                <v:textbox style="mso-fit-shape-to-text:t" inset="0,0,0,0">
                  <w:txbxContent>
                    <w:p w:rsidR="000B433A" w:rsidRDefault="000B433A">
                      <w:r>
                        <w:rPr>
                          <w:rFonts w:cs="Calibri"/>
                          <w:color w:val="000000"/>
                          <w:sz w:val="8"/>
                          <w:szCs w:val="8"/>
                          <w:lang w:val="en-US"/>
                        </w:rPr>
                        <w:t>10 000</w:t>
                      </w:r>
                    </w:p>
                  </w:txbxContent>
                </v:textbox>
              </v:rect>
              <v:rect id="_x0000_s1667" style="position:absolute;left:4666;top:1095;width:221;height:232;mso-wrap-style:none" filled="f" stroked="f">
                <v:textbox style="mso-fit-shape-to-text:t" inset="0,0,0,0">
                  <w:txbxContent>
                    <w:p w:rsidR="000B433A" w:rsidRDefault="000B433A">
                      <w:r>
                        <w:rPr>
                          <w:rFonts w:cs="Calibri"/>
                          <w:color w:val="000000"/>
                          <w:sz w:val="8"/>
                          <w:szCs w:val="8"/>
                          <w:lang w:val="en-US"/>
                        </w:rPr>
                        <w:t>12 000</w:t>
                      </w:r>
                    </w:p>
                  </w:txbxContent>
                </v:textbox>
              </v:rect>
              <v:rect id="_x0000_s1668" style="position:absolute;left:4666;top:951;width:221;height:232;mso-wrap-style:none" filled="f" stroked="f">
                <v:textbox style="mso-fit-shape-to-text:t" inset="0,0,0,0">
                  <w:txbxContent>
                    <w:p w:rsidR="000B433A" w:rsidRDefault="000B433A">
                      <w:r>
                        <w:rPr>
                          <w:rFonts w:cs="Calibri"/>
                          <w:color w:val="000000"/>
                          <w:sz w:val="8"/>
                          <w:szCs w:val="8"/>
                          <w:lang w:val="en-US"/>
                        </w:rPr>
                        <w:t>14 000</w:t>
                      </w:r>
                    </w:p>
                  </w:txbxContent>
                </v:textbox>
              </v:rect>
              <v:rect id="_x0000_s1669" style="position:absolute;left:4666;top:808;width:221;height:232;mso-wrap-style:none" filled="f" stroked="f">
                <v:textbox style="mso-fit-shape-to-text:t" inset="0,0,0,0">
                  <w:txbxContent>
                    <w:p w:rsidR="000B433A" w:rsidRDefault="000B433A">
                      <w:r>
                        <w:rPr>
                          <w:rFonts w:cs="Calibri"/>
                          <w:color w:val="000000"/>
                          <w:sz w:val="8"/>
                          <w:szCs w:val="8"/>
                          <w:lang w:val="en-US"/>
                        </w:rPr>
                        <w:t>16 000</w:t>
                      </w:r>
                    </w:p>
                  </w:txbxContent>
                </v:textbox>
              </v:rect>
            </v:group>
            <v:rect id="_x0000_s1670" style="position:absolute;left:5139;top:2062;width:163;height:232;mso-wrap-style:none" filled="f" stroked="f">
              <v:textbox style="mso-fit-shape-to-text:t" inset="0,0,0,0">
                <w:txbxContent>
                  <w:p w:rsidR="000B433A" w:rsidRDefault="000B433A">
                    <w:r>
                      <w:rPr>
                        <w:rFonts w:cs="Calibri"/>
                        <w:color w:val="000000"/>
                        <w:sz w:val="8"/>
                        <w:szCs w:val="8"/>
                        <w:lang w:val="en-US"/>
                      </w:rPr>
                      <w:t>2005</w:t>
                    </w:r>
                  </w:p>
                </w:txbxContent>
              </v:textbox>
            </v:rect>
            <v:rect id="_x0000_s1671" style="position:absolute;left:5649;top:2062;width:163;height:232;mso-wrap-style:none" filled="f" stroked="f">
              <v:textbox style="mso-fit-shape-to-text:t" inset="0,0,0,0">
                <w:txbxContent>
                  <w:p w:rsidR="000B433A" w:rsidRDefault="000B433A">
                    <w:r>
                      <w:rPr>
                        <w:rFonts w:cs="Calibri"/>
                        <w:color w:val="000000"/>
                        <w:sz w:val="8"/>
                        <w:szCs w:val="8"/>
                        <w:lang w:val="en-US"/>
                      </w:rPr>
                      <w:t>2015</w:t>
                    </w:r>
                  </w:p>
                </w:txbxContent>
              </v:textbox>
            </v:rect>
            <v:rect id="_x0000_s1672" style="position:absolute;left:6066;top:2062;width:359;height:232;mso-wrap-style:none" filled="f" stroked="f">
              <v:textbox style="mso-fit-shape-to-text:t" inset="0,0,0,0">
                <w:txbxContent>
                  <w:p w:rsidR="000B433A" w:rsidRDefault="000B433A">
                    <w:r>
                      <w:rPr>
                        <w:rFonts w:cs="Calibri"/>
                        <w:color w:val="000000"/>
                        <w:sz w:val="8"/>
                        <w:szCs w:val="8"/>
                        <w:lang w:val="en-US"/>
                      </w:rPr>
                      <w:t>2030 WEM</w:t>
                    </w:r>
                  </w:p>
                </w:txbxContent>
              </v:textbox>
            </v:rect>
            <v:rect id="_x0000_s1673" style="position:absolute;left:4625;top:1567;width:66;height:148;mso-wrap-style:none" filled="f" stroked="f">
              <v:textbox style="mso-fit-shape-to-text:t" inset="0,0,0,0">
                <w:txbxContent>
                  <w:p w:rsidR="000B433A" w:rsidRDefault="000B433A">
                    <w:proofErr w:type="gramStart"/>
                    <w:r>
                      <w:rPr>
                        <w:rFonts w:cs="Calibri"/>
                        <w:b/>
                        <w:bCs/>
                        <w:color w:val="000000"/>
                        <w:sz w:val="2"/>
                        <w:szCs w:val="2"/>
                        <w:lang w:val="en-US"/>
                      </w:rPr>
                      <w:t>t</w:t>
                    </w:r>
                    <w:proofErr w:type="gramEnd"/>
                    <w:r>
                      <w:rPr>
                        <w:rFonts w:cs="Calibri"/>
                        <w:b/>
                        <w:bCs/>
                        <w:color w:val="000000"/>
                        <w:sz w:val="2"/>
                        <w:szCs w:val="2"/>
                        <w:lang w:val="en-US"/>
                      </w:rPr>
                      <w:t xml:space="preserve"> PM2.5</w:t>
                    </w:r>
                  </w:p>
                </w:txbxContent>
              </v:textbox>
            </v:rect>
            <v:rect id="_x0000_s1674" style="position:absolute;left:4886;top:500;width:2043;height:773;mso-wrap-style:none" filled="f" stroked="f">
              <v:textbox style="mso-fit-shape-to-text:t" inset="0,0,0,0">
                <w:txbxContent>
                  <w:p w:rsidR="000B433A" w:rsidRPr="00B95FAC" w:rsidRDefault="000B433A" w:rsidP="009568A6">
                    <w:pPr>
                      <w:rPr>
                        <w:lang w:val="de-DE"/>
                      </w:rPr>
                    </w:pPr>
                    <w:r w:rsidRPr="00B95FAC">
                      <w:rPr>
                        <w:rFonts w:cs="Calibri"/>
                        <w:b/>
                        <w:bCs/>
                        <w:color w:val="000000"/>
                        <w:sz w:val="14"/>
                        <w:szCs w:val="14"/>
                        <w:lang w:val="de-DE"/>
                      </w:rPr>
                      <w:t>Entwicklung der PM2</w:t>
                    </w:r>
                    <w:r>
                      <w:rPr>
                        <w:rFonts w:cs="Calibri"/>
                        <w:b/>
                        <w:bCs/>
                        <w:color w:val="000000"/>
                        <w:sz w:val="14"/>
                        <w:szCs w:val="14"/>
                        <w:lang w:val="de-DE"/>
                      </w:rPr>
                      <w:t>,</w:t>
                    </w:r>
                    <w:r w:rsidRPr="00B95FAC">
                      <w:rPr>
                        <w:rFonts w:cs="Calibri"/>
                        <w:b/>
                        <w:bCs/>
                        <w:color w:val="000000"/>
                        <w:sz w:val="14"/>
                        <w:szCs w:val="14"/>
                        <w:lang w:val="de-DE"/>
                      </w:rPr>
                      <w:t>5-Emissionen</w:t>
                    </w:r>
                  </w:p>
                  <w:p w:rsidR="000B433A" w:rsidRPr="009568A6" w:rsidRDefault="000B433A" w:rsidP="009568A6"/>
                </w:txbxContent>
              </v:textbox>
            </v:rect>
            <v:rect id="_x0000_s1675" style="position:absolute;left:5698;top:678;width:405;height:317;mso-wrap-style:none" filled="f" stroked="f">
              <v:textbox style="mso-fit-shape-to-text:t" inset="0,0,0,0">
                <w:txbxContent>
                  <w:p w:rsidR="000B433A" w:rsidRDefault="000B433A">
                    <w:r>
                      <w:rPr>
                        <w:rFonts w:cs="Calibri"/>
                        <w:b/>
                        <w:bCs/>
                        <w:color w:val="000000"/>
                        <w:sz w:val="14"/>
                        <w:szCs w:val="14"/>
                        <w:lang w:val="en-US"/>
                      </w:rPr>
                      <w:t>(WEM)</w:t>
                    </w:r>
                  </w:p>
                </w:txbxContent>
              </v:textbox>
            </v:rect>
            <v:rect id="_x0000_s1676" style="position:absolute;left:6544;top:915;width:55;height:49" fillcolor="#f1a78a" stroked="f"/>
            <v:rect id="_x0000_s1677" style="position:absolute;left:6613;top:891;width:414;height:689;mso-wrap-style:none" filled="f" stroked="f">
              <v:textbox style="mso-fit-shape-to-text:t" inset="0,0,0,0">
                <w:txbxContent>
                  <w:p w:rsidR="000B433A" w:rsidRPr="00665784" w:rsidRDefault="000B433A" w:rsidP="00665784">
                    <w:proofErr w:type="gramStart"/>
                    <w:r>
                      <w:rPr>
                        <w:rFonts w:cs="Calibri"/>
                        <w:color w:val="000000"/>
                        <w:sz w:val="8"/>
                        <w:szCs w:val="8"/>
                        <w:lang w:val="en-US"/>
                      </w:rPr>
                      <w:t>Landwirtsch.</w:t>
                    </w:r>
                    <w:proofErr w:type="gramEnd"/>
                  </w:p>
                  <w:p w:rsidR="000B433A" w:rsidRPr="00665784" w:rsidRDefault="000B433A" w:rsidP="00665784"/>
                </w:txbxContent>
              </v:textbox>
            </v:rect>
            <v:rect id="_x0000_s1678" style="position:absolute;left:6544;top:1062;width:55;height:49" fillcolor="#8fa2d4" stroked="f"/>
            <v:rect id="_x0000_s1679" style="position:absolute;left:6613;top:1039;width:228;height:689;mso-wrap-style:none" filled="f" stroked="f">
              <v:textbox style="mso-fit-shape-to-text:t" inset="0,0,0,0">
                <w:txbxContent>
                  <w:p w:rsidR="000B433A" w:rsidRDefault="000B433A" w:rsidP="00665784">
                    <w:r>
                      <w:rPr>
                        <w:rFonts w:cs="Calibri"/>
                        <w:color w:val="000000"/>
                        <w:sz w:val="8"/>
                        <w:szCs w:val="8"/>
                        <w:lang w:val="en-US"/>
                      </w:rPr>
                      <w:t>Abfälle</w:t>
                    </w:r>
                  </w:p>
                  <w:p w:rsidR="000B433A" w:rsidRPr="00665784" w:rsidRDefault="000B433A" w:rsidP="00665784"/>
                </w:txbxContent>
              </v:textbox>
            </v:rect>
            <v:rect id="_x0000_s1680" style="position:absolute;left:6544;top:1210;width:55;height:49" fillcolor="#62993e" stroked="f"/>
            <v:rect id="_x0000_s1681" style="position:absolute;left:6613;top:1188;width:318;height:232;mso-wrap-style:none" filled="f" stroked="f">
              <v:textbox style="mso-fit-shape-to-text:t" inset="0,0,0,0">
                <w:txbxContent>
                  <w:p w:rsidR="000B433A" w:rsidRDefault="000B433A">
                    <w:r>
                      <w:rPr>
                        <w:rFonts w:cs="Calibri"/>
                        <w:color w:val="000000"/>
                        <w:sz w:val="8"/>
                        <w:szCs w:val="8"/>
                        <w:lang w:val="en-US"/>
                      </w:rPr>
                      <w:t>Transport</w:t>
                    </w:r>
                  </w:p>
                </w:txbxContent>
              </v:textbox>
            </v:rect>
            <v:rect id="_x0000_s1682" style="position:absolute;left:6544;top:1357;width:55;height:56" fillcolor="#5089bc" stroked="f"/>
            <v:rect id="_x0000_s1683" style="position:absolute;left:6613;top:1336;width:325;height:232;mso-wrap-style:none" filled="f" stroked="f">
              <v:textbox style="mso-fit-shape-to-text:t" inset="0,0,0,0">
                <w:txbxContent>
                  <w:p w:rsidR="000B433A" w:rsidRPr="00665784" w:rsidRDefault="000B433A" w:rsidP="00665784">
                    <w:r>
                      <w:rPr>
                        <w:rFonts w:cs="Calibri"/>
                        <w:color w:val="000000"/>
                        <w:sz w:val="8"/>
                        <w:szCs w:val="8"/>
                        <w:lang w:val="en-US"/>
                      </w:rPr>
                      <w:t>Lösungsm</w:t>
                    </w:r>
                  </w:p>
                </w:txbxContent>
              </v:textbox>
            </v:rect>
            <v:rect id="_x0000_s1684" style="position:absolute;left:6544;top:1505;width:55;height:55" fillcolor="#e2aa00" stroked="f"/>
            <v:rect id="_x0000_s1685" style="position:absolute;left:6613;top:1484;width:559;height:689;mso-wrap-style:none" filled="f" stroked="f">
              <v:textbox style="mso-fit-shape-to-text:t" inset="0,0,0,0">
                <w:txbxContent>
                  <w:p w:rsidR="000B433A" w:rsidRPr="00E566D5" w:rsidRDefault="000B433A" w:rsidP="00F96280">
                    <w:pPr>
                      <w:rPr>
                        <w:rFonts w:cs="Calibri"/>
                        <w:color w:val="000000"/>
                        <w:sz w:val="8"/>
                        <w:szCs w:val="8"/>
                        <w:lang w:val="en-US"/>
                      </w:rPr>
                    </w:pPr>
                    <w:r w:rsidRPr="00E566D5">
                      <w:rPr>
                        <w:rFonts w:cs="Calibri"/>
                        <w:color w:val="000000"/>
                        <w:sz w:val="8"/>
                        <w:szCs w:val="8"/>
                        <w:lang w:val="en-US"/>
                      </w:rPr>
                      <w:t>Heizölgewinnung</w:t>
                    </w:r>
                  </w:p>
                  <w:p w:rsidR="000B433A" w:rsidRPr="00F96280" w:rsidRDefault="000B433A" w:rsidP="00F96280"/>
                </w:txbxContent>
              </v:textbox>
            </v:rect>
            <v:rect id="_x0000_s1686" style="position:absolute;left:6544;top:1652;width:55;height:56" fillcolor="#929292" stroked="f"/>
            <v:rect id="_x0000_s1687" style="position:absolute;left:6613;top:1632;width:291;height:232;mso-wrap-style:none" filled="f" stroked="f">
              <v:textbox style="mso-fit-shape-to-text:t" inset="0,0,0,0">
                <w:txbxContent>
                  <w:p w:rsidR="000B433A" w:rsidRDefault="000B433A">
                    <w:r>
                      <w:rPr>
                        <w:rFonts w:cs="Calibri"/>
                        <w:color w:val="000000"/>
                        <w:sz w:val="8"/>
                        <w:szCs w:val="8"/>
                        <w:lang w:val="en-US"/>
                      </w:rPr>
                      <w:t>Industrie</w:t>
                    </w:r>
                  </w:p>
                </w:txbxContent>
              </v:textbox>
            </v:rect>
            <v:rect id="_x0000_s1688" style="position:absolute;left:6544;top:1806;width:55;height:49" fillcolor="#d26e2a" stroked="f"/>
            <v:rect id="_x0000_s1689" style="position:absolute;left:6613;top:1781;width:582;height:232;mso-wrap-style:none" filled="f" stroked="f">
              <v:textbox style="mso-fit-shape-to-text:t" inset="0,0,0,0">
                <w:txbxContent>
                  <w:p w:rsidR="000B433A" w:rsidRPr="00F96280" w:rsidRDefault="000B433A" w:rsidP="00F96280">
                    <w:r>
                      <w:rPr>
                        <w:rFonts w:cs="Calibri"/>
                        <w:color w:val="000000"/>
                        <w:sz w:val="8"/>
                        <w:szCs w:val="8"/>
                        <w:lang w:val="en-US"/>
                      </w:rPr>
                      <w:t>Wohnen + Dienstl</w:t>
                    </w:r>
                  </w:p>
                </w:txbxContent>
              </v:textbox>
            </v:rect>
            <v:rect id="_x0000_s1690" style="position:absolute;left:6544;top:1954;width:55;height:49" fillcolor="#3b64ad" stroked="f"/>
            <v:rect id="_x0000_s1691" style="position:absolute;left:6613;top:1929;width:245;height:232;mso-wrap-style:none" filled="f" stroked="f">
              <v:textbox style="mso-fit-shape-to-text:t" inset="0,0,0,0">
                <w:txbxContent>
                  <w:p w:rsidR="000B433A" w:rsidRDefault="000B433A">
                    <w:r>
                      <w:rPr>
                        <w:rFonts w:cs="Calibri"/>
                        <w:color w:val="000000"/>
                        <w:sz w:val="8"/>
                        <w:szCs w:val="8"/>
                        <w:lang w:val="en-US"/>
                      </w:rPr>
                      <w:t>Energie</w:t>
                    </w:r>
                  </w:p>
                </w:txbxContent>
              </v:textbox>
            </v:rect>
            <v:shape id="_x0000_s1692" style="position:absolute;left:4440;top:435;width:2959;height:1777" coordsize="7696,4624" path="m,8hdc,4,4,,8,hal7688,hdc7693,,7696,4,7696,8hal7696,4616hdc7696,4621,7693,4624,7688,4624hal8,4624hdc4,4624,,4621,,4616hal,8hdxm16,4616hal8,4608r7680,l7680,4616,7680,8r8,8l8,16,16,8r,4608hdxe" fillcolor="#898989" strokecolor="#898989" strokeweight="0">
              <v:path arrowok="t"/>
              <o:lock v:ext="edit" verticies="t"/>
            </v:shape>
            <w10:wrap type="none"/>
            <w10:anchorlock/>
          </v:group>
        </w:pict>
      </w:r>
    </w:p>
    <w:p w:rsidR="000B433A" w:rsidRPr="00D07F58" w:rsidRDefault="000B433A" w:rsidP="009900FE">
      <w:pPr>
        <w:pStyle w:val="Lgende"/>
        <w:jc w:val="both"/>
        <w:rPr>
          <w:lang w:val="de-DE"/>
        </w:rPr>
      </w:pPr>
      <w:r w:rsidRPr="00F96280">
        <w:rPr>
          <w:lang w:val="de-DE"/>
        </w:rPr>
        <w:t>Abbildung</w:t>
      </w:r>
      <w:r>
        <w:rPr>
          <w:lang w:val="de-DE"/>
        </w:rPr>
        <w:t xml:space="preserve"> </w:t>
      </w:r>
      <w:r w:rsidR="005A6B21">
        <w:rPr>
          <w:lang w:val="de-DE"/>
        </w:rPr>
        <w:fldChar w:fldCharType="begin"/>
      </w:r>
      <w:r>
        <w:rPr>
          <w:lang w:val="de-DE"/>
        </w:rPr>
        <w:instrText xml:space="preserve"> SEQ Figure \* ARABIC </w:instrText>
      </w:r>
      <w:r w:rsidR="005A6B21">
        <w:rPr>
          <w:lang w:val="de-DE"/>
        </w:rPr>
        <w:fldChar w:fldCharType="separate"/>
      </w:r>
      <w:r>
        <w:rPr>
          <w:lang w:val="de-DE"/>
        </w:rPr>
        <w:t>15</w:t>
      </w:r>
      <w:r w:rsidR="005A6B21">
        <w:rPr>
          <w:lang w:val="de-DE"/>
        </w:rPr>
        <w:fldChar w:fldCharType="end"/>
      </w:r>
      <w:r>
        <w:rPr>
          <w:lang w:val="de-DE"/>
        </w:rPr>
        <w:t>: Entwicklung der Luftschadstoffemissionen bis 2030 entsprechend dem Referenzszenario (WEM und WAM)</w:t>
      </w:r>
    </w:p>
    <w:p w:rsidR="000B433A" w:rsidRPr="0080007A" w:rsidRDefault="000B433A">
      <w:pPr>
        <w:pStyle w:val="TEXTEI7"/>
        <w:rPr>
          <w:rFonts w:ascii="Calibri" w:hAnsi="Calibri"/>
          <w:sz w:val="24"/>
          <w:szCs w:val="24"/>
          <w:lang w:val="de-DE"/>
        </w:rPr>
      </w:pPr>
      <w:r>
        <w:rPr>
          <w:rFonts w:ascii="Calibri" w:hAnsi="Calibri"/>
          <w:sz w:val="24"/>
          <w:lang w:val="de-DE"/>
        </w:rPr>
        <w:t>Bei unveränderter Politik sollten diese Emissionen bis 2030 weiter langsam abnehmen, sodass alle Schadstoffe mit Ausnahme der PM</w:t>
      </w:r>
      <w:r w:rsidRPr="00095E13">
        <w:rPr>
          <w:rFonts w:ascii="Calibri" w:hAnsi="Calibri"/>
          <w:sz w:val="24"/>
          <w:szCs w:val="24"/>
          <w:vertAlign w:val="subscript"/>
          <w:lang w:val="de-DE"/>
        </w:rPr>
        <w:t>2</w:t>
      </w:r>
      <w:proofErr w:type="gramStart"/>
      <w:r w:rsidRPr="00095E13">
        <w:rPr>
          <w:rFonts w:ascii="Calibri" w:hAnsi="Calibri"/>
          <w:sz w:val="24"/>
          <w:szCs w:val="24"/>
          <w:vertAlign w:val="subscript"/>
          <w:lang w:val="de-DE"/>
        </w:rPr>
        <w:t>,5</w:t>
      </w:r>
      <w:proofErr w:type="gramEnd"/>
      <w:r>
        <w:rPr>
          <w:rFonts w:ascii="Calibri" w:hAnsi="Calibri"/>
          <w:sz w:val="24"/>
          <w:lang w:val="de-DE"/>
        </w:rPr>
        <w:t xml:space="preserve"> die Reduktionsziele der NEC-2-Richtlinie erreichen sollten. </w:t>
      </w:r>
    </w:p>
    <w:p w:rsidR="000B433A" w:rsidRPr="0080007A" w:rsidRDefault="000B433A">
      <w:pPr>
        <w:pStyle w:val="TEXTEI7"/>
        <w:rPr>
          <w:rFonts w:ascii="Calibri" w:hAnsi="Calibri"/>
          <w:sz w:val="24"/>
          <w:szCs w:val="24"/>
          <w:lang w:val="de-DE"/>
        </w:rPr>
      </w:pPr>
      <w:r>
        <w:rPr>
          <w:rFonts w:ascii="Calibri" w:hAnsi="Calibri"/>
          <w:sz w:val="24"/>
          <w:lang w:val="de-DE"/>
        </w:rPr>
        <w:t xml:space="preserve">Jedoch beruhen diese Verbesserungen bei unveränderter Politik insbesondere auf der technischen Verbesserung der Fahrzeuge im Einklang mit den Euro-Normen. Diese theoretischen Normen für Fahrzeuge haben ihre Grenzen in Bezug auf die tatsächlichen Emissionen unter Verkehrsbedingungen aufgezeigt. </w:t>
      </w:r>
    </w:p>
    <w:p w:rsidR="000B433A" w:rsidRPr="0080007A" w:rsidRDefault="000B433A">
      <w:pPr>
        <w:pStyle w:val="TEXTEI7"/>
        <w:rPr>
          <w:rFonts w:ascii="Calibri" w:hAnsi="Calibri"/>
          <w:sz w:val="24"/>
          <w:szCs w:val="24"/>
          <w:lang w:val="de-DE"/>
        </w:rPr>
      </w:pPr>
      <w:r>
        <w:rPr>
          <w:rFonts w:ascii="Calibri" w:hAnsi="Calibri"/>
          <w:sz w:val="24"/>
          <w:lang w:val="de-DE"/>
        </w:rPr>
        <w:t>Trotz der Maßnahmen, die die Europäische Union ergriffen hat, um dieses Problem anzugehen und die Fähigkeit der Hersteller, die tatsächlichen Emissionen zu „fälschen“, einzuschränken, würde die Verbesserung in diesem Sektor bei unveränderter Politik weiterhin von einer Fahrzeugflotte abhängen, die fast ausschließlich mit fossilen Brennstoffen betrieben wird. Dies entspricht nicht einer proaktiven Politik, den Transportsektor zu „säubern“ und die Mobilität zu beeinflussen.</w:t>
      </w:r>
    </w:p>
    <w:p w:rsidR="000B433A" w:rsidRPr="0080007A" w:rsidRDefault="000B433A">
      <w:pPr>
        <w:pStyle w:val="TEXTEI7"/>
        <w:rPr>
          <w:rFonts w:ascii="Calibri" w:hAnsi="Calibri"/>
          <w:sz w:val="24"/>
          <w:szCs w:val="24"/>
          <w:lang w:val="de-DE"/>
        </w:rPr>
      </w:pPr>
      <w:r>
        <w:rPr>
          <w:rFonts w:ascii="Calibri" w:hAnsi="Calibri"/>
          <w:sz w:val="24"/>
          <w:lang w:val="de-DE"/>
        </w:rPr>
        <w:t>Da NO</w:t>
      </w:r>
      <w:r w:rsidRPr="0080007A">
        <w:rPr>
          <w:rFonts w:ascii="Calibri" w:hAnsi="Calibri"/>
          <w:sz w:val="24"/>
          <w:szCs w:val="24"/>
          <w:vertAlign w:val="subscript"/>
          <w:lang w:val="de-DE"/>
        </w:rPr>
        <w:t>x</w:t>
      </w:r>
      <w:r>
        <w:rPr>
          <w:rFonts w:ascii="Calibri" w:hAnsi="Calibri"/>
          <w:sz w:val="24"/>
          <w:lang w:val="de-DE"/>
        </w:rPr>
        <w:t>- und Feinstaubemissionen besonders gesundheitsschädlich sind, ist es wichtig, die Emissionen dieser Schadstoffe so weit wie möglich über die Grenzwerte hinaus zu reduzieren, um die Konzentrationen in der Atemluft zu verringern und die WHO-Leitlinien für den Gesundheitsschutz einzuhalten.</w:t>
      </w:r>
    </w:p>
    <w:p w:rsidR="000B433A" w:rsidRPr="0080007A" w:rsidRDefault="000B433A">
      <w:pPr>
        <w:pStyle w:val="TEXTEI7"/>
        <w:rPr>
          <w:rFonts w:ascii="Calibri" w:hAnsi="Calibri"/>
          <w:sz w:val="24"/>
          <w:szCs w:val="24"/>
          <w:lang w:val="de-DE"/>
        </w:rPr>
      </w:pPr>
      <w:r>
        <w:rPr>
          <w:rFonts w:ascii="Calibri" w:hAnsi="Calibri"/>
          <w:sz w:val="24"/>
          <w:lang w:val="de-DE"/>
        </w:rPr>
        <w:t xml:space="preserve">Seit 2005, aber noch mehr seit 1990 (Referenzjahr der ersten NEC-Richtlinie), haben die Industriesektoren ihre Emissionen von Luftschadstoffen deutlich reduziert. Ihr Reduktionspotenzial ist inzwischen deutlich geringer als bei anderen Sektoren wie Transport, Energieerzeugung, Wohn- und Dienstleistungssektor. Es geht vor allem um die Verbesserung der Energieeffizienz und der Technologien der Energieerzeugung sowie um die Behandlung von Abwässern. </w:t>
      </w:r>
    </w:p>
    <w:p w:rsidR="000B433A" w:rsidRPr="0080007A" w:rsidRDefault="000B433A">
      <w:pPr>
        <w:pStyle w:val="TEXTEI7"/>
        <w:rPr>
          <w:rFonts w:ascii="Calibri" w:hAnsi="Calibri"/>
          <w:sz w:val="24"/>
          <w:szCs w:val="24"/>
          <w:lang w:val="de-DE"/>
        </w:rPr>
      </w:pPr>
      <w:r>
        <w:rPr>
          <w:rFonts w:ascii="Calibri" w:hAnsi="Calibri"/>
          <w:sz w:val="24"/>
          <w:lang w:val="de-DE"/>
        </w:rPr>
        <w:t>Zwischen 1990 und 2017 reduzierten die Industriesektoren die NO</w:t>
      </w:r>
      <w:r w:rsidRPr="0080007A">
        <w:rPr>
          <w:rFonts w:ascii="Calibri" w:hAnsi="Calibri"/>
          <w:sz w:val="24"/>
          <w:szCs w:val="24"/>
          <w:vertAlign w:val="subscript"/>
          <w:lang w:val="de-DE"/>
        </w:rPr>
        <w:t>x</w:t>
      </w:r>
      <w:r>
        <w:rPr>
          <w:rFonts w:ascii="Calibri" w:hAnsi="Calibri"/>
          <w:sz w:val="24"/>
          <w:lang w:val="de-DE"/>
        </w:rPr>
        <w:t>-Emissionen um 63,4 % und um 58,3 % zwischen 2005 und 2016. Die Feinstaubemissionen werden erst seit 2000 erfasst. Zwischen diesem Zeitpunkt und 2016 wurden die PM</w:t>
      </w:r>
      <w:r w:rsidRPr="0080007A">
        <w:rPr>
          <w:rFonts w:ascii="Calibri" w:hAnsi="Calibri"/>
          <w:sz w:val="24"/>
          <w:szCs w:val="24"/>
          <w:vertAlign w:val="subscript"/>
          <w:lang w:val="de-DE"/>
        </w:rPr>
        <w:t>2</w:t>
      </w:r>
      <w:proofErr w:type="gramStart"/>
      <w:r w:rsidRPr="0080007A">
        <w:rPr>
          <w:rFonts w:ascii="Calibri" w:hAnsi="Calibri"/>
          <w:sz w:val="24"/>
          <w:szCs w:val="24"/>
          <w:vertAlign w:val="subscript"/>
          <w:lang w:val="de-DE"/>
        </w:rPr>
        <w:t>,5</w:t>
      </w:r>
      <w:proofErr w:type="gramEnd"/>
      <w:r>
        <w:rPr>
          <w:rFonts w:ascii="Calibri" w:hAnsi="Calibri"/>
          <w:sz w:val="24"/>
          <w:lang w:val="de-DE"/>
        </w:rPr>
        <w:t>-Emissionen um 82 % reduziert. In der Region Engis oder Charleroi existieren noch einige Problemgebiete, die jedoch Gegenstand sofortiger Reaktionen von Beamten, Kommunalbehörden und Verwaltungen waren, um entsprechende Lösungen umzusetzen.</w:t>
      </w:r>
    </w:p>
    <w:p w:rsidR="000B433A" w:rsidRDefault="000B433A">
      <w:pPr>
        <w:pStyle w:val="TEXTEI7"/>
        <w:rPr>
          <w:rFonts w:ascii="Calibri" w:hAnsi="Calibri"/>
          <w:sz w:val="24"/>
          <w:szCs w:val="24"/>
          <w:lang w:val="de-DE"/>
        </w:rPr>
      </w:pPr>
      <w:r>
        <w:rPr>
          <w:rFonts w:ascii="Calibri" w:hAnsi="Calibri"/>
          <w:sz w:val="24"/>
          <w:lang w:val="de-DE"/>
        </w:rPr>
        <w:t xml:space="preserve">Analysiert man nach Schadstoffen, stellt man fest: </w:t>
      </w:r>
    </w:p>
    <w:p w:rsidR="000B433A" w:rsidRDefault="000B433A">
      <w:pPr>
        <w:pStyle w:val="TEXTEI7"/>
        <w:rPr>
          <w:rFonts w:ascii="Calibri" w:hAnsi="Calibri"/>
          <w:sz w:val="24"/>
          <w:szCs w:val="24"/>
          <w:lang w:val="de-DE"/>
        </w:rPr>
      </w:pPr>
    </w:p>
    <w:p w:rsidR="000B433A" w:rsidRPr="0080007A" w:rsidRDefault="000B433A">
      <w:pPr>
        <w:pStyle w:val="TEXTEI7"/>
        <w:rPr>
          <w:rFonts w:ascii="Calibri" w:hAnsi="Calibri"/>
          <w:sz w:val="24"/>
          <w:szCs w:val="24"/>
          <w:lang w:val="de-DE"/>
        </w:rPr>
      </w:pPr>
    </w:p>
    <w:p w:rsidR="000B433A" w:rsidRDefault="000B433A">
      <w:pPr>
        <w:pStyle w:val="TEXTEI7"/>
        <w:numPr>
          <w:ilvl w:val="0"/>
          <w:numId w:val="57"/>
        </w:numPr>
        <w:rPr>
          <w:rFonts w:ascii="Calibri" w:hAnsi="Calibri"/>
          <w:color w:val="4F81BD"/>
          <w:sz w:val="24"/>
          <w:szCs w:val="24"/>
          <w:u w:val="single"/>
          <w:lang w:val="de-DE"/>
        </w:rPr>
      </w:pPr>
      <w:r>
        <w:rPr>
          <w:rFonts w:ascii="Calibri" w:hAnsi="Calibri"/>
          <w:color w:val="4F81BD"/>
          <w:sz w:val="24"/>
          <w:u w:val="single"/>
          <w:lang w:val="de-DE"/>
        </w:rPr>
        <w:t>Schwefeloxide</w:t>
      </w:r>
    </w:p>
    <w:p w:rsidR="000B433A" w:rsidRPr="0080007A" w:rsidRDefault="000B433A">
      <w:pPr>
        <w:pStyle w:val="TEXTEI7"/>
        <w:ind w:left="708"/>
        <w:rPr>
          <w:rFonts w:ascii="Calibri" w:hAnsi="Calibri"/>
          <w:sz w:val="24"/>
          <w:szCs w:val="24"/>
          <w:lang w:val="de-DE"/>
        </w:rPr>
      </w:pPr>
      <w:r>
        <w:rPr>
          <w:rFonts w:ascii="Calibri" w:hAnsi="Calibri"/>
          <w:sz w:val="24"/>
          <w:lang w:val="de-DE"/>
        </w:rPr>
        <w:t>Die SO</w:t>
      </w:r>
      <w:r w:rsidRPr="0080007A">
        <w:rPr>
          <w:rFonts w:ascii="Calibri" w:hAnsi="Calibri"/>
          <w:sz w:val="24"/>
          <w:szCs w:val="24"/>
          <w:vertAlign w:val="subscript"/>
          <w:lang w:val="de-DE"/>
        </w:rPr>
        <w:t>2</w:t>
      </w:r>
      <w:r>
        <w:rPr>
          <w:rFonts w:ascii="Calibri" w:hAnsi="Calibri"/>
          <w:sz w:val="24"/>
          <w:lang w:val="de-DE"/>
        </w:rPr>
        <w:t xml:space="preserve">-Emissionen sanken zwischen 1990 und 2017 um 91,7 % bzw. 79,5 % zwischen 2005 und 2017, was hauptsächlich auf die Verringerung des Schwefelgehalts von Kraftstoffen und industriellen Rauchgasentschwefelungssystemen zurückzuführen ist.  Da Schwefeloxide zur Versauerung beitragen, ist es wichtig, diese Schadstoffe so weit wie möglich zu reduzieren. </w:t>
      </w:r>
    </w:p>
    <w:p w:rsidR="000B433A" w:rsidRPr="0080007A" w:rsidRDefault="000B433A">
      <w:pPr>
        <w:pStyle w:val="TEXTEI7"/>
        <w:ind w:left="708"/>
        <w:rPr>
          <w:rFonts w:ascii="Calibri" w:hAnsi="Calibri"/>
          <w:sz w:val="24"/>
          <w:szCs w:val="24"/>
          <w:lang w:val="de-DE"/>
        </w:rPr>
      </w:pPr>
      <w:r>
        <w:rPr>
          <w:rFonts w:ascii="Calibri" w:hAnsi="Calibri"/>
          <w:sz w:val="24"/>
          <w:lang w:val="de-DE"/>
        </w:rPr>
        <w:t>Bei unveränderter Politik dürften die SO</w:t>
      </w:r>
      <w:r w:rsidRPr="0080007A">
        <w:rPr>
          <w:rFonts w:ascii="Calibri" w:hAnsi="Calibri"/>
          <w:sz w:val="24"/>
          <w:szCs w:val="24"/>
          <w:vertAlign w:val="subscript"/>
          <w:lang w:val="de-DE"/>
        </w:rPr>
        <w:t>2</w:t>
      </w:r>
      <w:r>
        <w:rPr>
          <w:rFonts w:ascii="Calibri" w:hAnsi="Calibri"/>
          <w:sz w:val="24"/>
          <w:lang w:val="de-DE"/>
        </w:rPr>
        <w:t>-Emissionen aufgrund des Anstiegs der Energieerzeugung durch mit fossilen Brennstoffen betriebenen konventionellen Kraftwerken, die Kernkraftwerke ersetzen, zunehmen.</w:t>
      </w:r>
    </w:p>
    <w:p w:rsidR="000B433A" w:rsidRDefault="000B433A">
      <w:pPr>
        <w:pStyle w:val="TEXTEI7"/>
        <w:numPr>
          <w:ilvl w:val="0"/>
          <w:numId w:val="57"/>
        </w:numPr>
        <w:rPr>
          <w:rFonts w:ascii="Calibri" w:hAnsi="Calibri"/>
          <w:color w:val="4F81BD"/>
          <w:sz w:val="24"/>
          <w:szCs w:val="24"/>
          <w:u w:val="single"/>
          <w:lang w:val="de-DE"/>
        </w:rPr>
      </w:pPr>
      <w:r>
        <w:rPr>
          <w:rFonts w:ascii="Calibri" w:hAnsi="Calibri"/>
          <w:color w:val="4F81BD"/>
          <w:sz w:val="24"/>
          <w:u w:val="single"/>
          <w:lang w:val="de-DE"/>
        </w:rPr>
        <w:t xml:space="preserve">Stickstoffoxide </w:t>
      </w:r>
    </w:p>
    <w:p w:rsidR="000B433A" w:rsidRPr="0080007A" w:rsidRDefault="000B433A">
      <w:pPr>
        <w:pStyle w:val="TEXTEI7"/>
        <w:ind w:left="708"/>
        <w:rPr>
          <w:rFonts w:ascii="Calibri" w:hAnsi="Calibri"/>
          <w:sz w:val="24"/>
          <w:szCs w:val="24"/>
          <w:lang w:val="de-DE"/>
        </w:rPr>
      </w:pPr>
      <w:r>
        <w:rPr>
          <w:rFonts w:ascii="Calibri" w:hAnsi="Calibri"/>
          <w:sz w:val="24"/>
          <w:lang w:val="de-DE"/>
        </w:rPr>
        <w:t>Die NO</w:t>
      </w:r>
      <w:r w:rsidRPr="0080007A">
        <w:rPr>
          <w:rFonts w:ascii="Calibri" w:hAnsi="Calibri"/>
          <w:sz w:val="24"/>
          <w:szCs w:val="24"/>
          <w:vertAlign w:val="subscript"/>
          <w:lang w:val="de-DE"/>
        </w:rPr>
        <w:t>x</w:t>
      </w:r>
      <w:r>
        <w:rPr>
          <w:rFonts w:ascii="Calibri" w:hAnsi="Calibri"/>
          <w:sz w:val="24"/>
          <w:lang w:val="de-DE"/>
        </w:rPr>
        <w:t xml:space="preserve">-Emissionen sanken zwischen 1990 und 2017 um 58 % und zwischen 2005 und 2017 um 48,1 %. Diese Emissionen sind besonders schwer zu reduzieren, da sie aus allen Formen der Verbrennung fossiler Brennstoffe stammen: Transport, Industrie, Energieerzeugung, Heizungen des Wohn- und Dienstleistungssektors, Müllverbrennung.  „De-NOx“-Technologien sind extrem teuer. </w:t>
      </w:r>
    </w:p>
    <w:p w:rsidR="000B433A" w:rsidRPr="0080007A" w:rsidRDefault="000B433A">
      <w:pPr>
        <w:pStyle w:val="TEXTEI7"/>
        <w:ind w:left="708"/>
        <w:rPr>
          <w:rFonts w:ascii="Calibri" w:hAnsi="Calibri"/>
          <w:sz w:val="24"/>
          <w:szCs w:val="24"/>
          <w:lang w:val="de-DE"/>
        </w:rPr>
      </w:pPr>
      <w:r>
        <w:rPr>
          <w:rFonts w:ascii="Calibri" w:hAnsi="Calibri"/>
          <w:sz w:val="24"/>
          <w:lang w:val="de-DE"/>
        </w:rPr>
        <w:t>Die NO</w:t>
      </w:r>
      <w:r w:rsidRPr="0080007A">
        <w:rPr>
          <w:rFonts w:ascii="Calibri" w:hAnsi="Calibri"/>
          <w:sz w:val="24"/>
          <w:szCs w:val="24"/>
          <w:vertAlign w:val="subscript"/>
          <w:lang w:val="de-DE"/>
        </w:rPr>
        <w:t>x</w:t>
      </w:r>
      <w:r>
        <w:rPr>
          <w:rFonts w:ascii="Calibri" w:hAnsi="Calibri"/>
          <w:sz w:val="24"/>
          <w:lang w:val="de-DE"/>
        </w:rPr>
        <w:t xml:space="preserve">-Emissionen aus den Industriesektoren sanken zwischen 1990 und 2017 um 63,3 % und zwischen 2005 und 2017 um 58,2 %, während sie im Transportsektor zwischen 2005 und 2017 um 45 % und im Wohn- und Dienstleistungssektor zwischen 2005 und 2017 nur um 7,2 % sanken. </w:t>
      </w:r>
    </w:p>
    <w:p w:rsidR="000B433A" w:rsidRPr="0080007A" w:rsidRDefault="000B433A">
      <w:pPr>
        <w:pStyle w:val="TEXTEI7"/>
        <w:ind w:left="708"/>
        <w:rPr>
          <w:rFonts w:ascii="Calibri" w:hAnsi="Calibri"/>
          <w:sz w:val="24"/>
          <w:szCs w:val="24"/>
          <w:lang w:val="de-DE"/>
        </w:rPr>
      </w:pPr>
      <w:r>
        <w:rPr>
          <w:rFonts w:ascii="Calibri" w:hAnsi="Calibri"/>
          <w:sz w:val="24"/>
          <w:lang w:val="de-DE"/>
        </w:rPr>
        <w:t xml:space="preserve">Vor allem in den beiden letztgenannten Sektoren sowie im Bereich der Energieerzeugung müssen künftig Anstrengungen unternommen werden, und zwar durch strukturelle Veränderungen bei den verwendeten Brenn- und Kraftstoffen, die Zunahme von Elektrofahrzeugen, die Beschränkung des Verkehrs für Fahrzeuge mit unzureichender Umweltverträglichkeit, eine reelle und spürbare technologische Verbesserung bei neuen Fahrzeugen, die weiterhin mit fossilen Kraftstoffen (Schweröl, Benzin) betrieben werden, und eine ebenso spürbare technologische Verbesserung bei Haushaltsheizungen, die mit Heizöl oder Holz betrieben werden. </w:t>
      </w:r>
    </w:p>
    <w:p w:rsidR="000B433A" w:rsidRPr="0080007A" w:rsidRDefault="000B433A">
      <w:pPr>
        <w:pStyle w:val="TEXTEI7"/>
        <w:ind w:left="708"/>
        <w:rPr>
          <w:rFonts w:ascii="Calibri" w:hAnsi="Calibri"/>
          <w:sz w:val="24"/>
          <w:szCs w:val="24"/>
          <w:lang w:val="de-DE"/>
        </w:rPr>
      </w:pPr>
      <w:r>
        <w:rPr>
          <w:rFonts w:ascii="Calibri" w:hAnsi="Calibri"/>
          <w:sz w:val="24"/>
          <w:lang w:val="de-DE"/>
        </w:rPr>
        <w:t>Bei unveränderter Politik könnte das wallonische Ziel von 2030 dank der Anwendung der Euro-Normen für Fahrzeuge wie theoretisch geplant erreicht werden, wobei man hierbei die Logik traditioneller, mit fossilen Brennstoffen angetriebener Fahrzeuge beibehalten würde, für die gewisse Unsicherheiten über die tatsächlichen Emissionen unter Betriebsbedingungen bestehen. Auch die Emissionen aus der Hausheizung, die heute zu den entscheidenden Schadstoffquellen zählt, würden durch das Fehlen von Maßnahmen nicht verbessert. Unter diesen Annahmen sind es die städtischen Gebiete, die am stärksten betroffen bleiben.</w:t>
      </w:r>
    </w:p>
    <w:p w:rsidR="000B433A" w:rsidRDefault="000B433A">
      <w:pPr>
        <w:pStyle w:val="TEXTEI7"/>
        <w:numPr>
          <w:ilvl w:val="0"/>
          <w:numId w:val="57"/>
        </w:numPr>
        <w:rPr>
          <w:rFonts w:ascii="Calibri" w:hAnsi="Calibri"/>
          <w:color w:val="4F81BD"/>
          <w:sz w:val="24"/>
          <w:szCs w:val="24"/>
          <w:u w:val="single"/>
          <w:lang w:val="de-DE"/>
        </w:rPr>
      </w:pPr>
      <w:r>
        <w:rPr>
          <w:rFonts w:ascii="Calibri" w:hAnsi="Calibri"/>
          <w:color w:val="4F81BD"/>
          <w:sz w:val="24"/>
          <w:u w:val="single"/>
          <w:lang w:val="de-DE"/>
        </w:rPr>
        <w:t>Flüchtige organische Verbindungen</w:t>
      </w:r>
    </w:p>
    <w:p w:rsidR="000B433A" w:rsidRPr="0080007A" w:rsidRDefault="000B433A">
      <w:pPr>
        <w:pStyle w:val="TEXTEI7"/>
        <w:ind w:left="708"/>
        <w:rPr>
          <w:rFonts w:ascii="Calibri" w:hAnsi="Calibri"/>
          <w:sz w:val="24"/>
          <w:szCs w:val="24"/>
          <w:lang w:val="de-DE"/>
        </w:rPr>
      </w:pPr>
      <w:r>
        <w:rPr>
          <w:rFonts w:ascii="Calibri" w:hAnsi="Calibri"/>
          <w:sz w:val="24"/>
          <w:lang w:val="de-DE"/>
        </w:rPr>
        <w:t>Die VOC sanken zwischen 1990 und 2017 um 61,3 % oder um 33,6 % zwischen 2005 und 2017.  Die hauptsächlichen Verbesserungen ergeben sich aus der Reduzierung der Lösungsmittelkonzentrationen in Haushaltsprodukten (Farben, Reinigungsmittel, Klebstoffe...) sowie in Industriebereichen: Entfettung von Materialien, Karosserie und Lackierung, chemische Reinigung, Druck... und Maßnahmen zur Abscheidung von Benzindämpfen beim Auffüllen von Tankstellen und Kraftfahrzeugtanks.  Hervorzuheben ist auch die Verbesserung der industriellen Prozesse in den emittierenden Sektoren (Chemie, Pharmazie usw.).</w:t>
      </w:r>
    </w:p>
    <w:p w:rsidR="000B433A" w:rsidRPr="0080007A" w:rsidRDefault="000B433A">
      <w:pPr>
        <w:pStyle w:val="TEXTEI7"/>
        <w:ind w:left="708"/>
        <w:rPr>
          <w:rFonts w:ascii="Calibri" w:hAnsi="Calibri"/>
          <w:sz w:val="24"/>
          <w:szCs w:val="24"/>
          <w:lang w:val="de-DE"/>
        </w:rPr>
      </w:pPr>
      <w:r>
        <w:rPr>
          <w:rFonts w:ascii="Calibri" w:hAnsi="Calibri"/>
          <w:sz w:val="24"/>
          <w:lang w:val="de-DE"/>
        </w:rPr>
        <w:t>Mit einer konstanten Politik wird das wallonische Engagement erreicht. Da VOC jedoch Vorläufer von troposphärischem Ozon sind, ist es wichtig, diese Emissionen so weit wie möglich zu reduzieren.</w:t>
      </w:r>
    </w:p>
    <w:p w:rsidR="000B433A" w:rsidRDefault="000B433A">
      <w:pPr>
        <w:pStyle w:val="TEXTEI7"/>
        <w:ind w:left="708"/>
        <w:rPr>
          <w:rFonts w:ascii="Calibri" w:hAnsi="Calibri"/>
          <w:sz w:val="24"/>
          <w:szCs w:val="24"/>
          <w:lang w:val="de-DE"/>
        </w:rPr>
      </w:pPr>
      <w:r>
        <w:rPr>
          <w:rFonts w:ascii="Calibri" w:hAnsi="Calibri"/>
          <w:sz w:val="24"/>
          <w:lang w:val="de-DE"/>
        </w:rPr>
        <w:t>Zwei Hauptquellen stammen aus der häuslichen und industriellen Verwendung von Lösungsmitteln. Da die Wallonie keine Kompetenz in Bezug auf Produktnormen besitzt (Konzentration von Lösungsmitteln in Produkten), muss sich eine Reduktionspolitik auf die Sensibilisierung der Interessengruppen stützen, d. h. der Haushalte und industriellen Nutzer, für eine bessere Verwendung lösungsmittelhaltiger Stoffe oder für die Verwendung von Ersatzstoffen. Es muss auch sichergestellt werden, dass die Normen durch Umweltgenehmigungen in den am stärksten emittierenden Industriesektoren verschärft werden.</w:t>
      </w:r>
    </w:p>
    <w:p w:rsidR="000B433A" w:rsidRPr="0080007A" w:rsidRDefault="000B433A">
      <w:pPr>
        <w:pStyle w:val="TEXTEI7"/>
        <w:ind w:left="708"/>
        <w:rPr>
          <w:rFonts w:ascii="Calibri" w:hAnsi="Calibri"/>
          <w:sz w:val="24"/>
          <w:szCs w:val="24"/>
          <w:lang w:val="de-DE"/>
        </w:rPr>
      </w:pPr>
      <w:r>
        <w:rPr>
          <w:rFonts w:ascii="Calibri" w:hAnsi="Calibri"/>
          <w:sz w:val="24"/>
          <w:lang w:val="de-DE"/>
        </w:rPr>
        <w:t>Eine weitere wichtige Quelle von VOC ist die Holzheizung. Die Zunahme der Nutzung von Biomasse muss kontrolliert werden.</w:t>
      </w:r>
    </w:p>
    <w:p w:rsidR="000B433A" w:rsidRDefault="000B433A">
      <w:pPr>
        <w:pStyle w:val="TEXTEI7"/>
        <w:numPr>
          <w:ilvl w:val="0"/>
          <w:numId w:val="57"/>
        </w:numPr>
        <w:rPr>
          <w:rFonts w:ascii="Calibri" w:hAnsi="Calibri"/>
          <w:color w:val="4F81BD"/>
          <w:sz w:val="24"/>
          <w:szCs w:val="24"/>
          <w:u w:val="single"/>
          <w:lang w:val="de-DE"/>
        </w:rPr>
      </w:pPr>
      <w:r>
        <w:rPr>
          <w:rFonts w:ascii="Calibri" w:hAnsi="Calibri"/>
          <w:color w:val="4F81BD"/>
          <w:sz w:val="24"/>
          <w:u w:val="single"/>
          <w:lang w:val="de-DE"/>
        </w:rPr>
        <w:t>Feinpartikel</w:t>
      </w:r>
    </w:p>
    <w:p w:rsidR="000B433A" w:rsidRPr="0080007A" w:rsidRDefault="000B433A">
      <w:pPr>
        <w:pStyle w:val="TEXTEI7"/>
        <w:ind w:left="708"/>
        <w:rPr>
          <w:rFonts w:ascii="Calibri" w:hAnsi="Calibri"/>
          <w:sz w:val="24"/>
          <w:szCs w:val="24"/>
          <w:lang w:val="de-DE"/>
        </w:rPr>
      </w:pPr>
      <w:r>
        <w:rPr>
          <w:rFonts w:ascii="Calibri" w:hAnsi="Calibri"/>
          <w:sz w:val="24"/>
          <w:lang w:val="de-DE"/>
        </w:rPr>
        <w:t>Die PM</w:t>
      </w:r>
      <w:r w:rsidRPr="0080007A">
        <w:rPr>
          <w:rFonts w:ascii="Calibri" w:hAnsi="Calibri"/>
          <w:sz w:val="24"/>
          <w:szCs w:val="24"/>
          <w:vertAlign w:val="subscript"/>
          <w:lang w:val="de-DE"/>
        </w:rPr>
        <w:t>2</w:t>
      </w:r>
      <w:proofErr w:type="gramStart"/>
      <w:r w:rsidRPr="0080007A">
        <w:rPr>
          <w:rFonts w:ascii="Calibri" w:hAnsi="Calibri"/>
          <w:sz w:val="24"/>
          <w:szCs w:val="24"/>
          <w:vertAlign w:val="subscript"/>
          <w:lang w:val="de-DE"/>
        </w:rPr>
        <w:t>,5</w:t>
      </w:r>
      <w:proofErr w:type="gramEnd"/>
      <w:r>
        <w:rPr>
          <w:rFonts w:ascii="Calibri" w:hAnsi="Calibri"/>
          <w:sz w:val="24"/>
          <w:lang w:val="de-DE"/>
        </w:rPr>
        <w:t xml:space="preserve"> sanken zwischen 2005 und 2017 um 33 %, was hauptsächlich auf Maßnahmen in den Bereichen Industrie und Energieerzeugung zurückzuführen ist.  Zusätzlich zu den Emissionsnormen, die den Unternehmen durch Umweltgenehmigungen auferlegt werden, haben die Industriesektoren begonnen, Maßnahmen zur Kontrolle diffuser Partikelemissionen zu ergreifen (Fahrzeugverkehr auf Werksgeländen, auf Baustellen, in Steinbrüchen usw.), die jedoch besonders schwierig zu verwalten und zu messen sind.</w:t>
      </w:r>
    </w:p>
    <w:p w:rsidR="000B433A" w:rsidRPr="0080007A" w:rsidRDefault="000B433A">
      <w:pPr>
        <w:pStyle w:val="TEXTEI7"/>
        <w:ind w:left="708"/>
        <w:rPr>
          <w:rFonts w:ascii="Calibri" w:hAnsi="Calibri"/>
          <w:sz w:val="24"/>
          <w:szCs w:val="24"/>
          <w:lang w:val="de-DE"/>
        </w:rPr>
      </w:pPr>
      <w:r>
        <w:rPr>
          <w:rFonts w:ascii="Calibri" w:hAnsi="Calibri"/>
          <w:sz w:val="24"/>
          <w:lang w:val="de-DE"/>
        </w:rPr>
        <w:t>Mit einer konstanten Politik wird es nicht möglich sein, die Verpflichtungen der Wallonie für das Jahr 2030 einzuhalten. Die Hauptursache für die Feinstaubemissionen (63 %) ist die Beheizung mit festen Brennstoffen im Wohn- und Dienstleistungssektor, hauptsächlich Holz und in geringerem Maße Kohle. In der Wallonie nimmt die Verwendung von Holz für die Hausheizung zu, was die Emissionen noch weiter erhöhen dürfte, ohne dass sich die Zahl der Hausheizungen und mittleren Anlagen drastisch verbessert. Das Reduktionspotenzial in anderen Sektoren, einschließlich des Transportsektors, ist eher gering, da der Großteil der PM</w:t>
      </w:r>
      <w:r w:rsidRPr="0080007A">
        <w:rPr>
          <w:rFonts w:ascii="Calibri" w:hAnsi="Calibri"/>
          <w:sz w:val="24"/>
          <w:szCs w:val="24"/>
          <w:vertAlign w:val="subscript"/>
          <w:lang w:val="de-DE"/>
        </w:rPr>
        <w:t>2,5</w:t>
      </w:r>
      <w:r>
        <w:rPr>
          <w:rFonts w:ascii="Calibri" w:hAnsi="Calibri"/>
          <w:sz w:val="24"/>
          <w:lang w:val="de-DE"/>
        </w:rPr>
        <w:t xml:space="preserve">-Emissionen von Fahrzeugen auf den Verschleiß von Straßen, Reifen und Bremssystemen zurückzuführen ist. Nur 10 bis 15 % der Emissionen stammen aus dem Motor. </w:t>
      </w:r>
    </w:p>
    <w:p w:rsidR="000B433A" w:rsidRDefault="000B433A">
      <w:pPr>
        <w:pStyle w:val="TEXTEI7"/>
        <w:numPr>
          <w:ilvl w:val="0"/>
          <w:numId w:val="57"/>
        </w:numPr>
        <w:rPr>
          <w:rFonts w:ascii="Calibri" w:hAnsi="Calibri"/>
          <w:color w:val="4F81BD"/>
          <w:sz w:val="24"/>
          <w:szCs w:val="24"/>
          <w:u w:val="single"/>
          <w:lang w:val="de-DE"/>
        </w:rPr>
      </w:pPr>
      <w:r>
        <w:rPr>
          <w:rFonts w:ascii="Calibri" w:hAnsi="Calibri"/>
          <w:color w:val="4F81BD"/>
          <w:sz w:val="24"/>
          <w:u w:val="single"/>
          <w:lang w:val="de-DE"/>
        </w:rPr>
        <w:t>Ammoniak</w:t>
      </w:r>
    </w:p>
    <w:p w:rsidR="000B433A" w:rsidRPr="0080007A" w:rsidRDefault="000B433A">
      <w:pPr>
        <w:pStyle w:val="TEXTEI7"/>
        <w:ind w:left="708"/>
        <w:rPr>
          <w:rFonts w:ascii="Calibri" w:hAnsi="Calibri"/>
          <w:sz w:val="24"/>
          <w:szCs w:val="24"/>
          <w:lang w:val="de-DE"/>
        </w:rPr>
      </w:pPr>
      <w:r>
        <w:rPr>
          <w:rFonts w:ascii="Calibri" w:hAnsi="Calibri"/>
          <w:sz w:val="24"/>
          <w:lang w:val="de-DE"/>
        </w:rPr>
        <w:t>Die Ammoniakemissionen sind im Laufe der Zeit leicht zurückgegangen, mit einer Verringerung um 10 % zwischen 2005 und 2017 (18 % zwischen 1990 und 2017). Fast 92 % dieser Emissionen stammen aus der Landwirtschaft. Verwaltungsmaßnahmen des NH</w:t>
      </w:r>
      <w:r w:rsidRPr="0080007A">
        <w:rPr>
          <w:rFonts w:ascii="Calibri" w:hAnsi="Calibri"/>
          <w:sz w:val="24"/>
          <w:szCs w:val="24"/>
          <w:vertAlign w:val="subscript"/>
          <w:lang w:val="de-DE"/>
        </w:rPr>
        <w:t>3</w:t>
      </w:r>
      <w:r>
        <w:rPr>
          <w:rFonts w:ascii="Calibri" w:hAnsi="Calibri"/>
          <w:sz w:val="24"/>
          <w:lang w:val="de-DE"/>
        </w:rPr>
        <w:t xml:space="preserve"> befassen sich seit langem mit dem Schutz von Boden und Wasser vor zu hohen Nitratkonzentrationen und Eutrophierung. Ammoniak in der Luft wurde nicht als großer Druck auf die Ökosysteme und noch weniger auf die Gesundheit angesehen. Ammoniak trägt aber nicht nur zur Versauerung und Eutrophierung bei, sondern übt auch einen bedeutenden Druck auf die Gesundheit aus, da es ein Vorläufer der Feinpartikel ist. </w:t>
      </w:r>
    </w:p>
    <w:p w:rsidR="000B433A" w:rsidRPr="0080007A" w:rsidRDefault="000B433A">
      <w:pPr>
        <w:pStyle w:val="TEXTEI7"/>
        <w:ind w:left="708"/>
        <w:rPr>
          <w:rFonts w:ascii="Calibri" w:hAnsi="Calibri"/>
          <w:sz w:val="24"/>
          <w:szCs w:val="24"/>
          <w:lang w:val="de-DE"/>
        </w:rPr>
      </w:pPr>
      <w:r>
        <w:rPr>
          <w:rFonts w:ascii="Calibri" w:hAnsi="Calibri"/>
          <w:sz w:val="24"/>
          <w:lang w:val="de-DE"/>
        </w:rPr>
        <w:t>Mit einer unveränderten Politik im Agrarsektor wird die Wallonie kaum in der Lage sein, seine Reduktionsverpflichtung zu erfüllen. Weitere Maßnahmen sind erforderlich für die Düngewirtschaft, die Bewirtschaftung organischer Düngemittel und die Verbesserung von Stallungen.</w:t>
      </w:r>
    </w:p>
    <w:p w:rsidR="000B433A" w:rsidRDefault="000B433A">
      <w:pPr>
        <w:pStyle w:val="TEXTEI7"/>
        <w:rPr>
          <w:rFonts w:cs="Calibri"/>
          <w:b/>
          <w:bCs/>
          <w:sz w:val="28"/>
          <w:szCs w:val="28"/>
          <w:lang w:val="de-DE"/>
        </w:rPr>
      </w:pPr>
      <w:r w:rsidRPr="005F5D9D">
        <w:rPr>
          <w:rFonts w:cs="Calibri"/>
          <w:lang w:val="de-DE"/>
        </w:rPr>
        <w:br w:type="page"/>
      </w:r>
    </w:p>
    <w:p w:rsidR="000B433A" w:rsidRPr="00093D26" w:rsidRDefault="000B433A" w:rsidP="001B472E">
      <w:pPr>
        <w:pStyle w:val="Titre1"/>
        <w:numPr>
          <w:ilvl w:val="0"/>
          <w:numId w:val="1"/>
        </w:numPr>
        <w:ind w:left="851" w:hanging="851"/>
        <w:rPr>
          <w:rFonts w:ascii="Calibri" w:hAnsi="Calibri" w:cs="Calibri"/>
          <w:smallCaps/>
          <w:color w:val="1F497D"/>
          <w:sz w:val="32"/>
          <w:szCs w:val="32"/>
          <w:u w:val="single"/>
          <w:lang w:val="de-DE"/>
        </w:rPr>
      </w:pPr>
      <w:bookmarkStart w:id="33" w:name="_Toc7802447"/>
      <w:r>
        <w:rPr>
          <w:rFonts w:ascii="Calibri" w:hAnsi="Calibri" w:cs="Calibri"/>
          <w:smallCaps/>
          <w:color w:val="1F497D"/>
          <w:sz w:val="32"/>
          <w:u w:val="single"/>
          <w:lang w:val="de-DE"/>
        </w:rPr>
        <w:t>Neue Richtlinien und Maßnahmen (WAM)</w:t>
      </w:r>
      <w:bookmarkEnd w:id="33"/>
    </w:p>
    <w:p w:rsidR="000B433A" w:rsidRPr="005F5D9D" w:rsidRDefault="000B433A" w:rsidP="000E05CA">
      <w:pPr>
        <w:rPr>
          <w:rFonts w:cs="Calibri"/>
          <w:lang w:val="de-DE"/>
        </w:rPr>
      </w:pPr>
      <w:r>
        <w:rPr>
          <w:rFonts w:cs="Calibri"/>
          <w:lang w:val="de-DE"/>
        </w:rPr>
        <w:t>Die bestehenden Maßnahmen erreichen die europäischen Ziele nicht. Daher sind zusätzliche Maßnahmen erforderlich.</w:t>
      </w:r>
    </w:p>
    <w:p w:rsidR="000B433A" w:rsidRPr="005F5D9D" w:rsidRDefault="000B433A" w:rsidP="000E05CA">
      <w:pPr>
        <w:rPr>
          <w:rFonts w:cs="Calibri"/>
          <w:lang w:val="de-DE"/>
        </w:rPr>
      </w:pPr>
      <w:r>
        <w:rPr>
          <w:rFonts w:cs="Calibri"/>
          <w:lang w:val="de-DE"/>
        </w:rPr>
        <w:t>Es ist nicht möglich, den Beitrag zu den Zielen jeder Maßnahme einzeln und getrennt anzugeben. Die Maßnahmen müssen als ein kohärentes Ganzes betrachtet werden, das zusammenwirkt, um gemeinsam zu den Zielen beizutragen. Diese Messungen müssen modular und einstellbar sein, damit sie bei der Anwendung kalibriert werden können.</w:t>
      </w:r>
    </w:p>
    <w:p w:rsidR="000B433A" w:rsidRPr="000D6838" w:rsidRDefault="000B433A" w:rsidP="001B472E">
      <w:pPr>
        <w:pStyle w:val="Titre2"/>
        <w:numPr>
          <w:ilvl w:val="1"/>
          <w:numId w:val="1"/>
        </w:numPr>
        <w:ind w:left="851" w:hanging="851"/>
        <w:rPr>
          <w:rFonts w:ascii="Calibri" w:hAnsi="Calibri" w:cs="Calibri"/>
          <w:color w:val="1F497D"/>
          <w:sz w:val="28"/>
          <w:szCs w:val="28"/>
          <w:lang w:val="de-DE"/>
        </w:rPr>
      </w:pPr>
      <w:bookmarkStart w:id="34" w:name="_Toc7802448"/>
      <w:r>
        <w:rPr>
          <w:rFonts w:ascii="Calibri" w:hAnsi="Calibri" w:cs="Calibri"/>
          <w:color w:val="1F497D"/>
          <w:sz w:val="28"/>
          <w:lang w:val="de-DE"/>
        </w:rPr>
        <w:t>Transversale („sektorübergreifende“) Maßnahmen</w:t>
      </w:r>
      <w:bookmarkEnd w:id="34"/>
    </w:p>
    <w:p w:rsidR="000B433A" w:rsidRPr="000D6838" w:rsidRDefault="000B433A" w:rsidP="0075235D">
      <w:pPr>
        <w:pStyle w:val="Titre3"/>
        <w:rPr>
          <w:rFonts w:ascii="Calibri" w:hAnsi="Calibri" w:cs="Calibri"/>
          <w:i/>
          <w:lang w:val="de-DE"/>
        </w:rPr>
      </w:pPr>
      <w:r>
        <w:rPr>
          <w:rFonts w:ascii="Calibri" w:hAnsi="Calibri" w:cs="Calibri"/>
          <w:i/>
          <w:lang w:val="de-DE"/>
        </w:rPr>
        <w:t>Entwicklung eines Steuersystems, das Preissignale liefert, die mit dem Verursacherprinzip übereinstimmen.</w:t>
      </w:r>
    </w:p>
    <w:p w:rsidR="000B433A" w:rsidRPr="007E6AD4" w:rsidRDefault="000B433A" w:rsidP="00CE1A98">
      <w:pPr>
        <w:spacing w:line="264" w:lineRule="auto"/>
        <w:rPr>
          <w:rFonts w:cs="Calibri"/>
          <w:szCs w:val="24"/>
          <w:lang w:val="de-DE"/>
        </w:rPr>
      </w:pPr>
      <w:r>
        <w:rPr>
          <w:rFonts w:cs="Calibri"/>
          <w:lang w:val="de-DE"/>
        </w:rPr>
        <w:t>Eine Überprüfung der Besteuerung, um die Kohärenz des Preissignals zu gewährleisten und negative Externalitäten zu internalisieren, ist notwendig (Verursacherprinzip).</w:t>
      </w:r>
    </w:p>
    <w:p w:rsidR="000B433A" w:rsidRPr="007E6AD4" w:rsidRDefault="000B433A" w:rsidP="00CE1A98">
      <w:pPr>
        <w:rPr>
          <w:rFonts w:cs="Calibri"/>
          <w:szCs w:val="24"/>
          <w:lang w:val="de-DE"/>
        </w:rPr>
      </w:pPr>
      <w:r>
        <w:rPr>
          <w:rFonts w:cs="Calibri"/>
          <w:lang w:val="de-DE"/>
        </w:rPr>
        <w:t>Zur Erinnerung: Eine Reform des Steuersystems und aller Formen der öffentlichen Abgaben und Unterstützung zielt darauf ab, Preissignale anzubieten, die mit den Energie- und Klimazielen vereinbar sind. Eine Reform kann nur dann wirksam sein, wenn sie von einem breiteren Maßnahmenpaket begleitet wird, das weniger CO2-intensive Alternativen verfügbar und zugänglich macht. Alle Maßnahmen sind so konzipiert, dass sie auf eine Logik der schrittweisen Unterstützung eines angepassten Preissignals reagieren, wobei die Kapazität (und insbesondere die mangelnde Kapazität) der Akteure, sich an das Preissignal anzupassen, berücksichtigt werden. Zur Erinnerung und als Beispiel sollte sich die Renovierungsstrategie auf bedürftige Haushalte konzentrieren, damit sie jegliche Steueränderungen antizipieren können.</w:t>
      </w:r>
    </w:p>
    <w:p w:rsidR="000B433A" w:rsidRPr="007E6AD4" w:rsidRDefault="000B433A" w:rsidP="00CE1A98">
      <w:pPr>
        <w:rPr>
          <w:rFonts w:cs="Calibri"/>
          <w:szCs w:val="24"/>
          <w:lang w:val="de-DE"/>
        </w:rPr>
      </w:pPr>
      <w:r>
        <w:rPr>
          <w:rFonts w:cs="Calibri"/>
          <w:lang w:val="de-DE"/>
        </w:rPr>
        <w:t>Die genannten Maßnahmen können von der Region nicht isoliert durchgeführt werden. Die meisten Maßnahmen erfordern eine enge Zusammenarbeit auf föderaler Ebene und mit anderen Regionen, entweder weil die Zuständigkeit föderal oder geteilt ist oder weil sichergestellt werden muss, dass die Systeme regional harmonisiert werden (und keine Verzerrungen entstehen). Alle diese Maßnahmen müssen daher in enger Zusammenarbeit mit den anderen Stellen durchgeführt werden.</w:t>
      </w:r>
    </w:p>
    <w:p w:rsidR="000B433A" w:rsidRPr="007E6AD4" w:rsidRDefault="000B433A" w:rsidP="00CE1A98">
      <w:pPr>
        <w:rPr>
          <w:rFonts w:cs="Calibri"/>
          <w:szCs w:val="24"/>
          <w:lang w:val="de-DE"/>
        </w:rPr>
      </w:pPr>
      <w:r>
        <w:rPr>
          <w:rFonts w:cs="Calibri"/>
          <w:lang w:val="de-DE"/>
        </w:rPr>
        <w:t>Die folgenden Maßnahmen werden ergriffen:</w:t>
      </w:r>
    </w:p>
    <w:p w:rsidR="000B433A" w:rsidRPr="007E6AD4" w:rsidRDefault="000B433A" w:rsidP="00CE1A98">
      <w:pPr>
        <w:rPr>
          <w:rFonts w:cs="Calibri"/>
          <w:szCs w:val="24"/>
          <w:lang w:val="de-DE"/>
        </w:rPr>
      </w:pPr>
      <w:r>
        <w:rPr>
          <w:rFonts w:cs="Calibri"/>
          <w:lang w:val="de-DE"/>
        </w:rPr>
        <w:t>1/ Es wird eine umfassende Steueranalyse durchgeführt, um kontraproduktive Preissignale in Bezug auf Klima- und Umweltziele zu identifizieren. Es wird ein umfassender Rahmen für die Klima- und Umweltsteuer geschaffen, um die Signale in den betroffenen Sektoren zu korrigieren (Gewährleistung eines fairen Preissignals).</w:t>
      </w:r>
    </w:p>
    <w:p w:rsidR="000B433A" w:rsidRPr="007E6AD4" w:rsidRDefault="000B433A" w:rsidP="00CE1A98">
      <w:pPr>
        <w:rPr>
          <w:rFonts w:cs="Calibri"/>
          <w:szCs w:val="24"/>
          <w:lang w:val="de-DE"/>
        </w:rPr>
      </w:pPr>
      <w:r>
        <w:rPr>
          <w:rFonts w:cs="Calibri"/>
          <w:lang w:val="de-DE"/>
        </w:rPr>
        <w:t>2/ unabhängig von diesem globalen Rahmen:</w:t>
      </w:r>
    </w:p>
    <w:p w:rsidR="000B433A" w:rsidRPr="007E6AD4" w:rsidRDefault="000B433A" w:rsidP="00481BA1">
      <w:pPr>
        <w:rPr>
          <w:rFonts w:cs="Calibri"/>
          <w:szCs w:val="24"/>
          <w:lang w:val="de-DE"/>
        </w:rPr>
      </w:pPr>
      <w:r>
        <w:rPr>
          <w:rFonts w:cs="Calibri"/>
          <w:lang w:val="de-DE"/>
        </w:rPr>
        <w:t xml:space="preserve">Im Gebäude: </w:t>
      </w:r>
    </w:p>
    <w:p w:rsidR="000B433A" w:rsidRPr="007E6AD4" w:rsidRDefault="000B433A" w:rsidP="00E15C2C">
      <w:pPr>
        <w:pStyle w:val="Paragraphedeliste"/>
        <w:numPr>
          <w:ilvl w:val="1"/>
          <w:numId w:val="4"/>
        </w:numPr>
        <w:rPr>
          <w:rFonts w:cs="Calibri"/>
          <w:szCs w:val="24"/>
          <w:lang w:val="de-DE"/>
        </w:rPr>
      </w:pPr>
      <w:r>
        <w:rPr>
          <w:rFonts w:cs="Calibri"/>
          <w:lang w:val="de-DE"/>
        </w:rPr>
        <w:t>Die Modulation der Eintragungs-, Erbschafts- und Schenkungssteuern entsprechend der Klima- und Umweltleistung der Immobilie wird im Rahmen der effektiven Wiederaufnahme des Service durch die Region im Hinblick auf die Haushaltsneutralität untersucht und umgesetzt (Aufwärtsmodulationen kompensieren Abwärtsmodulationen);</w:t>
      </w:r>
    </w:p>
    <w:p w:rsidR="000B433A" w:rsidRPr="007E6AD4" w:rsidRDefault="000B433A" w:rsidP="00CE1A98">
      <w:pPr>
        <w:pStyle w:val="Paragraphedeliste"/>
        <w:ind w:left="1440"/>
        <w:rPr>
          <w:rFonts w:cs="Calibri"/>
          <w:szCs w:val="24"/>
          <w:lang w:val="de-DE"/>
        </w:rPr>
      </w:pPr>
    </w:p>
    <w:p w:rsidR="000B433A" w:rsidRPr="007E6AD4" w:rsidRDefault="000B433A" w:rsidP="00E15C2C">
      <w:pPr>
        <w:pStyle w:val="Paragraphedeliste"/>
        <w:numPr>
          <w:ilvl w:val="1"/>
          <w:numId w:val="4"/>
        </w:numPr>
        <w:rPr>
          <w:rFonts w:cs="Calibri"/>
          <w:szCs w:val="24"/>
          <w:lang w:val="de-DE"/>
        </w:rPr>
      </w:pPr>
      <w:r>
        <w:rPr>
          <w:rFonts w:cs="Calibri"/>
          <w:lang w:val="de-DE"/>
        </w:rPr>
        <w:t>Die Anpassung der Basis des Immobiliensteuervorabzugs an die Klima- und Umweltleistung des Gebäudes wird untersucht. Diese Anpassung wird auf Grundlage der Schlussfolgerungen der Studie und der tatsächlichen Wiederaufnahme des Betriebs durch die Region geprüft. Sie soll schrittweise eingeführt werden, wobei die Haushaltsneutralität angestrebt wird (Aufwärtskorrekturen würden Abwärtskorrekturen ausgleichen);</w:t>
      </w:r>
    </w:p>
    <w:p w:rsidR="000B433A" w:rsidRPr="007E6AD4" w:rsidRDefault="000B433A" w:rsidP="00CE1A98">
      <w:pPr>
        <w:pStyle w:val="Paragraphedeliste"/>
        <w:ind w:left="1440"/>
        <w:rPr>
          <w:rFonts w:cs="Calibri"/>
          <w:szCs w:val="24"/>
          <w:lang w:val="de-DE"/>
        </w:rPr>
      </w:pPr>
    </w:p>
    <w:p w:rsidR="000B433A" w:rsidRPr="007E6AD4" w:rsidRDefault="000B433A" w:rsidP="00E15C2C">
      <w:pPr>
        <w:pStyle w:val="Paragraphedeliste"/>
        <w:numPr>
          <w:ilvl w:val="1"/>
          <w:numId w:val="4"/>
        </w:numPr>
        <w:rPr>
          <w:rFonts w:cs="Calibri"/>
          <w:szCs w:val="24"/>
          <w:lang w:val="de-DE"/>
        </w:rPr>
      </w:pPr>
      <w:r>
        <w:rPr>
          <w:rFonts w:cs="Calibri"/>
          <w:lang w:val="de-DE"/>
        </w:rPr>
        <w:t>Die Mehrwertsteuer für ein abgerissenes und wiederaufgebautes Gebäude wird derjenigen entsprechen, die im Rahmen einer Renovierung gilt (6 % statt 21 %), um zu vermeiden, dass die Mehrwertsteuer eine Bremse für den Abbruch/Wiederaufbau darstellt;</w:t>
      </w:r>
    </w:p>
    <w:p w:rsidR="000B433A" w:rsidRPr="007E6AD4" w:rsidRDefault="000B433A" w:rsidP="00CE1A98">
      <w:pPr>
        <w:pStyle w:val="Paragraphedeliste"/>
        <w:ind w:left="1440"/>
        <w:rPr>
          <w:rFonts w:cs="Calibri"/>
          <w:szCs w:val="24"/>
          <w:lang w:val="de-DE"/>
        </w:rPr>
      </w:pPr>
    </w:p>
    <w:p w:rsidR="000B433A" w:rsidRDefault="000B433A" w:rsidP="00E15C2C">
      <w:pPr>
        <w:pStyle w:val="Paragraphedeliste"/>
        <w:numPr>
          <w:ilvl w:val="1"/>
          <w:numId w:val="4"/>
        </w:numPr>
        <w:rPr>
          <w:rFonts w:cs="Calibri"/>
          <w:szCs w:val="24"/>
          <w:lang w:val="de-DE"/>
        </w:rPr>
      </w:pPr>
      <w:r>
        <w:rPr>
          <w:rFonts w:cs="Calibri"/>
          <w:lang w:val="de-DE"/>
        </w:rPr>
        <w:t>Die Verwendung des Immobiliensteuervorabzugs zur Verschuldung des Gebäudes bei der Durchführung von Arbeiten, die eine Steigerung der Energieeffizienz des Gebäudes ermöglicht, wird im Hinblick auf ihre rechtlichen, juristischen und finanziellen Auswirkungen analysiert;</w:t>
      </w:r>
    </w:p>
    <w:p w:rsidR="000B433A" w:rsidRPr="00AD2111" w:rsidRDefault="000B433A" w:rsidP="00AD2111">
      <w:pPr>
        <w:pStyle w:val="Paragraphedeliste"/>
        <w:rPr>
          <w:rFonts w:cs="Calibri"/>
          <w:szCs w:val="24"/>
          <w:lang w:val="de-DE"/>
        </w:rPr>
      </w:pPr>
    </w:p>
    <w:p w:rsidR="000B433A" w:rsidRPr="007E6AD4" w:rsidRDefault="000B433A" w:rsidP="00E15C2C">
      <w:pPr>
        <w:pStyle w:val="Paragraphedeliste"/>
        <w:numPr>
          <w:ilvl w:val="1"/>
          <w:numId w:val="4"/>
        </w:numPr>
        <w:rPr>
          <w:rFonts w:cs="Calibri"/>
          <w:szCs w:val="24"/>
          <w:lang w:val="de-DE"/>
        </w:rPr>
      </w:pPr>
      <w:r>
        <w:rPr>
          <w:rFonts w:cs="Calibri"/>
          <w:lang w:val="de-DE"/>
        </w:rPr>
        <w:t>Die Anwendung eines Mehrwertsteuersatzes von 6 % auf Materialien, die für Arbeiten zur Verbesserung der Energieeffizienz von Gebäuden pro Unternehmen oder im Eigenbau bestimmt sind.</w:t>
      </w:r>
    </w:p>
    <w:p w:rsidR="000B433A" w:rsidRPr="007E6AD4" w:rsidRDefault="000B433A" w:rsidP="00CE1A98">
      <w:pPr>
        <w:pStyle w:val="Paragraphedeliste"/>
        <w:rPr>
          <w:rFonts w:cs="Calibri"/>
          <w:szCs w:val="24"/>
          <w:lang w:val="de-DE"/>
        </w:rPr>
      </w:pPr>
    </w:p>
    <w:p w:rsidR="000B433A" w:rsidRDefault="000B433A" w:rsidP="00E15C2C">
      <w:pPr>
        <w:pStyle w:val="Paragraphedeliste"/>
        <w:numPr>
          <w:ilvl w:val="0"/>
          <w:numId w:val="4"/>
        </w:numPr>
        <w:rPr>
          <w:rFonts w:cs="Calibri"/>
          <w:szCs w:val="24"/>
          <w:lang w:val="de-DE"/>
        </w:rPr>
      </w:pPr>
      <w:r>
        <w:rPr>
          <w:rFonts w:cs="Calibri"/>
          <w:lang w:val="de-DE"/>
        </w:rPr>
        <w:t xml:space="preserve">Im Transport: </w:t>
      </w:r>
    </w:p>
    <w:p w:rsidR="000B433A" w:rsidRPr="007E6AD4" w:rsidRDefault="000B433A" w:rsidP="00E15C2C">
      <w:pPr>
        <w:pStyle w:val="Paragraphedeliste"/>
        <w:numPr>
          <w:ilvl w:val="1"/>
          <w:numId w:val="4"/>
        </w:numPr>
        <w:rPr>
          <w:rFonts w:cs="Calibri"/>
          <w:szCs w:val="24"/>
          <w:lang w:val="de-DE"/>
        </w:rPr>
      </w:pPr>
      <w:r>
        <w:rPr>
          <w:rFonts w:cs="Calibri"/>
          <w:lang w:val="de-DE"/>
        </w:rPr>
        <w:t>Es wird eine Modulation der Zulassungssteuer und der Kraftfahrzeugsteuer entsprechend der Klima- und Umwelteffizienz des Fahrzeugs und seiner Masse umgesetzt;</w:t>
      </w:r>
    </w:p>
    <w:p w:rsidR="000B433A" w:rsidRPr="007E6AD4" w:rsidRDefault="000B433A" w:rsidP="00CE1A98">
      <w:pPr>
        <w:pStyle w:val="Paragraphedeliste"/>
        <w:ind w:left="1440"/>
        <w:rPr>
          <w:rFonts w:cs="Calibri"/>
          <w:szCs w:val="24"/>
          <w:lang w:val="de-DE"/>
        </w:rPr>
      </w:pPr>
    </w:p>
    <w:p w:rsidR="000B433A" w:rsidRPr="007E6AD4" w:rsidRDefault="000B433A" w:rsidP="00E15C2C">
      <w:pPr>
        <w:pStyle w:val="Paragraphedeliste"/>
        <w:numPr>
          <w:ilvl w:val="1"/>
          <w:numId w:val="4"/>
        </w:numPr>
        <w:rPr>
          <w:rFonts w:cs="Calibri"/>
          <w:szCs w:val="24"/>
          <w:lang w:val="de-DE"/>
        </w:rPr>
      </w:pPr>
      <w:r>
        <w:rPr>
          <w:rFonts w:cs="Calibri"/>
          <w:lang w:val="de-DE"/>
        </w:rPr>
        <w:t>Die Begrenzung der abzugsfähigen Beträge für Geschäftsreisen wird eingeführt, um der Klima- und Umwelteffizienz von Fahrzeugen Rechnung zu tragen;</w:t>
      </w:r>
    </w:p>
    <w:p w:rsidR="000B433A" w:rsidRPr="007E6AD4" w:rsidRDefault="000B433A" w:rsidP="00CE1A98">
      <w:pPr>
        <w:pStyle w:val="Paragraphedeliste"/>
        <w:ind w:left="1440"/>
        <w:rPr>
          <w:rFonts w:cs="Calibri"/>
          <w:szCs w:val="24"/>
          <w:lang w:val="de-DE"/>
        </w:rPr>
      </w:pPr>
    </w:p>
    <w:p w:rsidR="000B433A" w:rsidRPr="007E6AD4" w:rsidRDefault="000B433A" w:rsidP="00E15C2C">
      <w:pPr>
        <w:pStyle w:val="Paragraphedeliste"/>
        <w:numPr>
          <w:ilvl w:val="1"/>
          <w:numId w:val="4"/>
        </w:numPr>
        <w:rPr>
          <w:rFonts w:cs="Calibri"/>
          <w:szCs w:val="24"/>
          <w:lang w:val="de-DE"/>
        </w:rPr>
      </w:pPr>
      <w:r>
        <w:rPr>
          <w:rFonts w:cs="Calibri"/>
          <w:lang w:val="de-DE"/>
        </w:rPr>
        <w:t>Mittelfristig wird die Portabilität der Grundbucheintragungsgebühren eingeführt, um die Wege zwischen Wohnung und Arbeitsplatz(en) zu verkürzen;</w:t>
      </w:r>
    </w:p>
    <w:p w:rsidR="000B433A" w:rsidRPr="007E6AD4" w:rsidRDefault="000B433A" w:rsidP="00CE1A98">
      <w:pPr>
        <w:pStyle w:val="Paragraphedeliste"/>
        <w:ind w:left="1440"/>
        <w:rPr>
          <w:rFonts w:cs="Calibri"/>
          <w:szCs w:val="24"/>
          <w:lang w:val="de-DE"/>
        </w:rPr>
      </w:pPr>
    </w:p>
    <w:p w:rsidR="000B433A" w:rsidRPr="007E6AD4" w:rsidRDefault="000B433A" w:rsidP="00E15C2C">
      <w:pPr>
        <w:pStyle w:val="Paragraphedeliste"/>
        <w:numPr>
          <w:ilvl w:val="1"/>
          <w:numId w:val="4"/>
        </w:numPr>
        <w:rPr>
          <w:rFonts w:cs="Calibri"/>
          <w:szCs w:val="24"/>
          <w:lang w:val="de-DE"/>
        </w:rPr>
      </w:pPr>
      <w:r>
        <w:rPr>
          <w:rFonts w:cs="Calibri"/>
          <w:lang w:val="de-DE"/>
        </w:rPr>
        <w:t>Die Besteuerung von Zapfhähnen, die alternative Kraftstoffe abgeben (regionale Steuer auf Automaten), wird ausgesetzt, um die Installation von LNG/CNG-Pumpen zu unterstützen;</w:t>
      </w:r>
    </w:p>
    <w:p w:rsidR="000B433A" w:rsidRPr="007E6AD4" w:rsidRDefault="000B433A" w:rsidP="00CE1A98">
      <w:pPr>
        <w:pStyle w:val="Paragraphedeliste"/>
        <w:ind w:left="1440"/>
        <w:rPr>
          <w:rFonts w:cs="Calibri"/>
          <w:szCs w:val="24"/>
          <w:lang w:val="de-DE"/>
        </w:rPr>
      </w:pPr>
    </w:p>
    <w:p w:rsidR="000B433A" w:rsidRDefault="000B433A" w:rsidP="00E15C2C">
      <w:pPr>
        <w:pStyle w:val="Paragraphedeliste"/>
        <w:numPr>
          <w:ilvl w:val="1"/>
          <w:numId w:val="4"/>
        </w:numPr>
        <w:rPr>
          <w:rFonts w:cs="Calibri"/>
          <w:szCs w:val="24"/>
          <w:lang w:val="de-DE"/>
        </w:rPr>
      </w:pPr>
      <w:r>
        <w:rPr>
          <w:rFonts w:cs="Calibri"/>
          <w:lang w:val="de-DE"/>
        </w:rPr>
        <w:t>Die Besteuerung von Erdgas, Wasserstoff und Elektrofahrzeugen wird an die wallonischen Ziele für die Entwicklung alternativer Kraftstoffe angepasst;</w:t>
      </w:r>
    </w:p>
    <w:p w:rsidR="000B433A" w:rsidRPr="00481BA1" w:rsidRDefault="000B433A" w:rsidP="00481BA1">
      <w:pPr>
        <w:rPr>
          <w:rFonts w:cs="Calibri"/>
          <w:szCs w:val="24"/>
          <w:lang w:val="de-DE"/>
        </w:rPr>
      </w:pPr>
      <w:r>
        <w:rPr>
          <w:rFonts w:cs="Calibri"/>
          <w:lang w:val="de-DE"/>
        </w:rPr>
        <w:t xml:space="preserve">Auf transversale Weise: </w:t>
      </w:r>
    </w:p>
    <w:p w:rsidR="000B433A" w:rsidRDefault="000B433A" w:rsidP="00E15C2C">
      <w:pPr>
        <w:pStyle w:val="Paragraphedeliste"/>
        <w:numPr>
          <w:ilvl w:val="1"/>
          <w:numId w:val="4"/>
        </w:numPr>
        <w:rPr>
          <w:rFonts w:cs="Calibri"/>
          <w:szCs w:val="24"/>
          <w:lang w:val="de-DE"/>
        </w:rPr>
      </w:pPr>
      <w:r>
        <w:rPr>
          <w:rFonts w:cs="Calibri"/>
          <w:lang w:val="de-DE"/>
        </w:rPr>
        <w:t>Für Unternehmen, die Infrastrukturen für alternative Kraftstoffe (Stromtankstellen, CNG-, LNG- oder H</w:t>
      </w:r>
      <w:r w:rsidRPr="007E6AD4">
        <w:rPr>
          <w:rFonts w:cs="Calibri"/>
          <w:szCs w:val="24"/>
          <w:vertAlign w:val="subscript"/>
          <w:lang w:val="de-DE"/>
        </w:rPr>
        <w:t>2</w:t>
      </w:r>
      <w:r>
        <w:rPr>
          <w:rFonts w:cs="Calibri"/>
          <w:lang w:val="de-DE"/>
        </w:rPr>
        <w:t>-Pumpen) installieren, wird ein Steuerabzug für rationelle Energieinvestitionen eingeführt;</w:t>
      </w:r>
    </w:p>
    <w:p w:rsidR="000B433A" w:rsidRPr="007E6AD4" w:rsidRDefault="000B433A" w:rsidP="00EC50AA">
      <w:pPr>
        <w:pStyle w:val="Paragraphedeliste"/>
        <w:ind w:left="1440"/>
        <w:rPr>
          <w:rFonts w:cs="Calibri"/>
          <w:szCs w:val="24"/>
          <w:lang w:val="de-DE"/>
        </w:rPr>
      </w:pPr>
    </w:p>
    <w:p w:rsidR="000B433A" w:rsidRPr="00EC50AA" w:rsidRDefault="000B433A" w:rsidP="00EC50AA">
      <w:pPr>
        <w:pStyle w:val="Titre3"/>
        <w:rPr>
          <w:rFonts w:ascii="Calibri" w:hAnsi="Calibri" w:cs="Calibri"/>
          <w:i/>
          <w:lang w:val="de-DE"/>
        </w:rPr>
      </w:pPr>
      <w:r>
        <w:rPr>
          <w:rFonts w:ascii="Calibri" w:hAnsi="Calibri" w:cs="Calibri"/>
          <w:i/>
          <w:lang w:val="de-DE"/>
        </w:rPr>
        <w:t>Umsetzung eines ehrgeizigen territorialen Projekts über das Raumentwicklungsschema</w:t>
      </w:r>
    </w:p>
    <w:p w:rsidR="000B433A" w:rsidRDefault="000B433A" w:rsidP="00EC50AA">
      <w:pPr>
        <w:rPr>
          <w:rFonts w:cs="Calibri"/>
          <w:lang w:val="de-DE"/>
        </w:rPr>
      </w:pPr>
      <w:r>
        <w:rPr>
          <w:rFonts w:cs="Calibri"/>
          <w:lang w:val="de-DE"/>
        </w:rPr>
        <w:t>Das Projekt des Raumentwicklungsschemas (RES) nennt Klima und Energie als zwei der zehn Themen, die es aus raumplanerischer Sicht behandeln will.</w:t>
      </w:r>
    </w:p>
    <w:p w:rsidR="000B433A" w:rsidRDefault="000B433A" w:rsidP="00EC50AA">
      <w:pPr>
        <w:rPr>
          <w:rFonts w:cs="Calibri"/>
          <w:lang w:val="de-DE"/>
        </w:rPr>
      </w:pPr>
      <w:r>
        <w:rPr>
          <w:rFonts w:cs="Calibri"/>
          <w:lang w:val="de-DE"/>
        </w:rPr>
        <w:t>Die vom RES geförderte Vision zielt insbesondere darauf ab, Energie- und Klimawenden als wichtige territoriale Hebel zu nutzen. Über das RES zielt die Regierung darauf ab, eine Netzwerkorganisation der städtischen Gebiete aufzubauen und neue Formen der Wirtschaftsorganisation zu entwickeln, wie die lokale Wirtschaft und die Kreislaufwirtschaft. Der Wille ist es, die Art und Weise, wie wir das Gebiet und die Beziehungen zwischen Funktionen, Aktivitäten und Ressourcen verstehen, zu verändern.</w:t>
      </w:r>
    </w:p>
    <w:p w:rsidR="000B433A" w:rsidRDefault="000B433A" w:rsidP="00EC50AA">
      <w:pPr>
        <w:rPr>
          <w:rFonts w:cs="Calibri"/>
          <w:lang w:val="de-DE"/>
        </w:rPr>
      </w:pPr>
      <w:r>
        <w:rPr>
          <w:rFonts w:cs="Calibri"/>
          <w:lang w:val="de-DE"/>
        </w:rPr>
        <w:t>Im Entwurf des RES werden zwanzig ehrgeizige Ziele für 2030 und 2050 festgelegt. Alle diese Ziele tragen zum Kampf gegen die globale Erwärmung, zur Energieeffizienz und zur Verbesserung der Luftqualität bei.</w:t>
      </w:r>
    </w:p>
    <w:p w:rsidR="000B433A" w:rsidRDefault="000B433A" w:rsidP="00EC50AA">
      <w:pPr>
        <w:rPr>
          <w:rFonts w:cs="Calibri"/>
          <w:lang w:val="de-DE"/>
        </w:rPr>
      </w:pPr>
      <w:r>
        <w:rPr>
          <w:rFonts w:cs="Calibri"/>
          <w:lang w:val="de-DE"/>
        </w:rPr>
        <w:t>Das RES wird es ermöglichen, die wichtigsten raumplanerischen Entscheidungen zu definieren und gleichzeitig die Einhaltung der vier Prioritäten des Gesetzbuches über die räumliche Entwicklung sicherzustellen, nämlich:</w:t>
      </w:r>
    </w:p>
    <w:p w:rsidR="000B433A" w:rsidRDefault="000B433A">
      <w:pPr>
        <w:pStyle w:val="Paragraphedeliste"/>
        <w:numPr>
          <w:ilvl w:val="0"/>
          <w:numId w:val="15"/>
        </w:numPr>
        <w:rPr>
          <w:rFonts w:cs="Calibri"/>
          <w:lang w:val="de-DE"/>
        </w:rPr>
      </w:pPr>
      <w:r>
        <w:rPr>
          <w:rFonts w:cs="Calibri"/>
          <w:lang w:val="de-DE"/>
        </w:rPr>
        <w:t>die Bekämpfung der städtischen Zersiedelung und die rationelle Nutzung der Gebiete und der Ressourcen;</w:t>
      </w:r>
    </w:p>
    <w:p w:rsidR="000B433A" w:rsidRDefault="000B433A">
      <w:pPr>
        <w:pStyle w:val="Paragraphedeliste"/>
        <w:numPr>
          <w:ilvl w:val="0"/>
          <w:numId w:val="15"/>
        </w:numPr>
        <w:rPr>
          <w:rFonts w:cs="Calibri"/>
          <w:lang w:val="de-DE"/>
        </w:rPr>
      </w:pPr>
      <w:r>
        <w:rPr>
          <w:rFonts w:cs="Calibri"/>
          <w:lang w:val="de-DE"/>
        </w:rPr>
        <w:t>die sozial-wirtschaftliche Entwicklung und die Förderung der Attraktivität des Gebiets;</w:t>
      </w:r>
    </w:p>
    <w:p w:rsidR="000B433A" w:rsidRDefault="000B433A">
      <w:pPr>
        <w:pStyle w:val="Paragraphedeliste"/>
        <w:numPr>
          <w:ilvl w:val="0"/>
          <w:numId w:val="15"/>
        </w:numPr>
        <w:rPr>
          <w:rFonts w:cs="Calibri"/>
          <w:lang w:val="de-DE"/>
        </w:rPr>
      </w:pPr>
      <w:r>
        <w:rPr>
          <w:rFonts w:cs="Calibri"/>
          <w:lang w:val="de-DE"/>
        </w:rPr>
        <w:t>das Qualitätsmanagement des Lebensumfelds</w:t>
      </w:r>
    </w:p>
    <w:p w:rsidR="000B433A" w:rsidRDefault="000B433A">
      <w:pPr>
        <w:pStyle w:val="Paragraphedeliste"/>
        <w:numPr>
          <w:ilvl w:val="0"/>
          <w:numId w:val="15"/>
        </w:numPr>
        <w:rPr>
          <w:rFonts w:cs="Calibri"/>
          <w:lang w:val="de-DE"/>
        </w:rPr>
      </w:pPr>
      <w:r>
        <w:rPr>
          <w:rFonts w:cs="Calibri"/>
          <w:lang w:val="de-DE"/>
        </w:rPr>
        <w:t>die Kontrolle über die Mobilität</w:t>
      </w:r>
    </w:p>
    <w:p w:rsidR="000B433A" w:rsidRDefault="000B433A" w:rsidP="00EC50AA">
      <w:pPr>
        <w:rPr>
          <w:rFonts w:cs="Calibri"/>
          <w:lang w:val="de-DE"/>
        </w:rPr>
      </w:pPr>
      <w:r>
        <w:rPr>
          <w:rFonts w:cs="Calibri"/>
          <w:lang w:val="de-DE"/>
        </w:rPr>
        <w:t xml:space="preserve">Die vom RES gewählten Optionen müssen im Rahmen der Raumplanungsinstrumente, die auf lokaler und überregionaler Ebene entwickelt wurden, angewendet werden. Diese Instrumente dürfen nicht von den Zielen des Schemas abweichen. </w:t>
      </w:r>
    </w:p>
    <w:p w:rsidR="000B433A" w:rsidRDefault="000B433A" w:rsidP="00EC50AA">
      <w:pPr>
        <w:rPr>
          <w:rFonts w:cs="Calibri"/>
          <w:lang w:val="de-DE"/>
        </w:rPr>
      </w:pPr>
      <w:r>
        <w:rPr>
          <w:rFonts w:cs="Calibri"/>
          <w:lang w:val="de-DE"/>
        </w:rPr>
        <w:t>Konkret schlägt das RES-Projekt eine Reihe starker Maßnahmen vor, die darauf abzielen, den territorialen Reichtum der Wallonie zu erhalten und ihre Umwelt besser zu schützen. Zu diesen wichtigsten Maßnahmen gehören:</w:t>
      </w:r>
    </w:p>
    <w:p w:rsidR="000B433A" w:rsidRDefault="000B433A">
      <w:pPr>
        <w:pStyle w:val="Paragraphedeliste"/>
        <w:numPr>
          <w:ilvl w:val="0"/>
          <w:numId w:val="15"/>
        </w:numPr>
        <w:rPr>
          <w:rFonts w:cs="Calibri"/>
          <w:lang w:val="de-DE"/>
        </w:rPr>
      </w:pPr>
      <w:r>
        <w:rPr>
          <w:rFonts w:cs="Calibri"/>
          <w:lang w:val="de-DE"/>
        </w:rPr>
        <w:t>den Verbrauch von nicht denaturierten Flächen auf 6 km²/Jahr bis 2030 zu reduzieren, d. h. die Hälfte der derzeit genutzten Fläche, und 0 km²/Jahr bis 2050 anzustreben.</w:t>
      </w:r>
    </w:p>
    <w:p w:rsidR="000B433A" w:rsidRDefault="000B433A">
      <w:pPr>
        <w:pStyle w:val="Paragraphedeliste"/>
        <w:numPr>
          <w:ilvl w:val="0"/>
          <w:numId w:val="15"/>
        </w:numPr>
        <w:rPr>
          <w:rFonts w:cs="Calibri"/>
          <w:lang w:val="de-DE"/>
        </w:rPr>
      </w:pPr>
      <w:r>
        <w:rPr>
          <w:rFonts w:cs="Calibri"/>
          <w:lang w:val="de-DE"/>
        </w:rPr>
        <w:t>bis 2030 50 % neue Wohnungen im Zentrum von Städten und Dörfern und 75 % bis 2050 zu bauen.</w:t>
      </w:r>
    </w:p>
    <w:p w:rsidR="000B433A" w:rsidRDefault="000B433A">
      <w:pPr>
        <w:pStyle w:val="Paragraphedeliste"/>
        <w:numPr>
          <w:ilvl w:val="0"/>
          <w:numId w:val="15"/>
        </w:numPr>
        <w:rPr>
          <w:rFonts w:cs="Calibri"/>
          <w:lang w:val="de-DE"/>
        </w:rPr>
      </w:pPr>
      <w:r>
        <w:rPr>
          <w:rFonts w:cs="Calibri"/>
          <w:lang w:val="de-DE"/>
        </w:rPr>
        <w:t>die Belegungsdichte der für die Wirtschaftstätigkeit bestimmten Flächen auf einen Bodennutzungsfaktor von 70 % zu erhöhen.</w:t>
      </w:r>
    </w:p>
    <w:p w:rsidR="000B433A" w:rsidRDefault="000B433A">
      <w:pPr>
        <w:pStyle w:val="Paragraphedeliste"/>
        <w:numPr>
          <w:ilvl w:val="0"/>
          <w:numId w:val="15"/>
        </w:numPr>
        <w:rPr>
          <w:rFonts w:cs="Calibri"/>
          <w:lang w:val="de-DE"/>
        </w:rPr>
      </w:pPr>
      <w:r>
        <w:rPr>
          <w:rFonts w:cs="Calibri"/>
          <w:lang w:val="de-DE"/>
        </w:rPr>
        <w:t>Gewerbekomplexe von mehr als 2.500 m² nur in den Innenstädten und darüber hinaus in den Vororten zu genehmigen;</w:t>
      </w:r>
    </w:p>
    <w:p w:rsidR="000B433A" w:rsidRDefault="000B433A">
      <w:pPr>
        <w:pStyle w:val="Paragraphedeliste"/>
        <w:numPr>
          <w:ilvl w:val="0"/>
          <w:numId w:val="15"/>
        </w:numPr>
        <w:rPr>
          <w:rFonts w:cs="Calibri"/>
          <w:lang w:val="de-DE"/>
        </w:rPr>
      </w:pPr>
      <w:r>
        <w:rPr>
          <w:rFonts w:cs="Calibri"/>
          <w:lang w:val="de-DE"/>
        </w:rPr>
        <w:t>private Grünflächen (die bei Bedarf an die öffentliche Hand zurückgegeben werden) zu schaffen, die mindestens 10 % der Fläche bei allen Urbanisierungsprojekten von mehr als 2 ha betragen müssen.</w:t>
      </w:r>
    </w:p>
    <w:p w:rsidR="000B433A" w:rsidRDefault="000B433A">
      <w:pPr>
        <w:pStyle w:val="Paragraphedeliste"/>
        <w:numPr>
          <w:ilvl w:val="0"/>
          <w:numId w:val="15"/>
        </w:numPr>
        <w:rPr>
          <w:rFonts w:cs="Calibri"/>
          <w:lang w:val="de-DE"/>
        </w:rPr>
      </w:pPr>
      <w:r>
        <w:rPr>
          <w:rFonts w:cs="Calibri"/>
          <w:lang w:val="de-DE"/>
        </w:rPr>
        <w:t>bis 2030 rund 100 modale Austauschplattformen oder -einheiten schaffen und damit bis 2050 das gesamte Gebiet abzudecken;</w:t>
      </w:r>
    </w:p>
    <w:p w:rsidR="000B433A" w:rsidRDefault="000B433A">
      <w:pPr>
        <w:pStyle w:val="Paragraphedeliste"/>
        <w:numPr>
          <w:ilvl w:val="0"/>
          <w:numId w:val="15"/>
        </w:numPr>
        <w:rPr>
          <w:rFonts w:cs="Calibri"/>
          <w:szCs w:val="24"/>
          <w:lang w:val="de-DE"/>
        </w:rPr>
      </w:pPr>
      <w:r>
        <w:rPr>
          <w:rFonts w:cs="Calibri"/>
          <w:lang w:val="de-DE"/>
        </w:rPr>
        <w:t xml:space="preserve">100 ha Sanierungsstandorte pro Jahr bis 2030 und 103 ha pro Jahr zwischen 2030 und 2050 umzuwandeln. </w:t>
      </w:r>
    </w:p>
    <w:p w:rsidR="000B433A" w:rsidRPr="000D6838" w:rsidRDefault="000B433A" w:rsidP="0075235D">
      <w:pPr>
        <w:pStyle w:val="Titre3"/>
        <w:rPr>
          <w:rFonts w:ascii="Calibri" w:hAnsi="Calibri" w:cs="Calibri"/>
          <w:i/>
          <w:lang w:val="de-DE"/>
        </w:rPr>
      </w:pPr>
      <w:r>
        <w:rPr>
          <w:rFonts w:ascii="Calibri" w:hAnsi="Calibri" w:cs="Calibri"/>
          <w:i/>
          <w:lang w:val="de-DE"/>
        </w:rPr>
        <w:t>EE-Verpflichtungssystem und alternative Maßnahmen (Art. 7 dir EE): Implementierung eines Verpflichtungsmechanismus, der die alternativen Maßnahmen für 2021 - 2030 ergänzt.</w:t>
      </w:r>
    </w:p>
    <w:p w:rsidR="000B433A" w:rsidRPr="007E6AD4" w:rsidRDefault="000B433A" w:rsidP="007E6AD4">
      <w:pPr>
        <w:tabs>
          <w:tab w:val="left" w:pos="1985"/>
        </w:tabs>
        <w:rPr>
          <w:szCs w:val="24"/>
          <w:lang w:val="de-DE"/>
        </w:rPr>
      </w:pPr>
      <w:r w:rsidRPr="00D07F58">
        <w:rPr>
          <w:lang w:val="de-DE"/>
        </w:rPr>
        <w:t>Artikel 7 der Europäischen Richtlinie der „Energieeffizienz“ verpflichtet die Wallonische Region (und alle Mitgliedstaaten), einen Mechanismus für folgende jährliche Reduzierungen einzurichten:</w:t>
      </w:r>
    </w:p>
    <w:p w:rsidR="000B433A" w:rsidRDefault="000B433A">
      <w:pPr>
        <w:pStyle w:val="Paragraphedeliste"/>
        <w:numPr>
          <w:ilvl w:val="0"/>
          <w:numId w:val="49"/>
        </w:numPr>
        <w:tabs>
          <w:tab w:val="left" w:pos="1985"/>
        </w:tabs>
        <w:rPr>
          <w:rFonts w:cs="Calibri"/>
          <w:szCs w:val="24"/>
          <w:lang w:val="de-DE"/>
        </w:rPr>
      </w:pPr>
      <w:r>
        <w:rPr>
          <w:lang w:val="de-DE"/>
        </w:rPr>
        <w:t>1,5 % des Energieverkaufs</w:t>
      </w:r>
      <w:r w:rsidRPr="007E6AD4">
        <w:rPr>
          <w:rFonts w:cs="Calibri"/>
          <w:szCs w:val="24"/>
          <w:lang w:val="de-DE"/>
        </w:rPr>
        <w:t xml:space="preserve"> im Zeitraum 2014 - 2020</w:t>
      </w:r>
    </w:p>
    <w:p w:rsidR="000B433A" w:rsidRDefault="000B433A">
      <w:pPr>
        <w:pStyle w:val="Paragraphedeliste"/>
        <w:numPr>
          <w:ilvl w:val="0"/>
          <w:numId w:val="49"/>
        </w:numPr>
        <w:tabs>
          <w:tab w:val="left" w:pos="1985"/>
        </w:tabs>
        <w:rPr>
          <w:rFonts w:cs="Calibri"/>
          <w:szCs w:val="24"/>
          <w:lang w:val="de-DE"/>
        </w:rPr>
      </w:pPr>
      <w:r>
        <w:rPr>
          <w:rFonts w:cs="Calibri"/>
          <w:lang w:val="de-DE"/>
        </w:rPr>
        <w:t xml:space="preserve">0,8 % des Endverbrauchs im Zeitraum 2021 - 2030 (und Folgeperioden) </w:t>
      </w:r>
    </w:p>
    <w:p w:rsidR="000B433A" w:rsidRPr="007E6AD4" w:rsidRDefault="000B433A" w:rsidP="007E6AD4">
      <w:pPr>
        <w:tabs>
          <w:tab w:val="left" w:pos="1985"/>
        </w:tabs>
        <w:rPr>
          <w:szCs w:val="24"/>
          <w:lang w:val="de-DE"/>
        </w:rPr>
      </w:pPr>
      <w:r w:rsidRPr="00D07F58">
        <w:rPr>
          <w:lang w:val="de-DE"/>
        </w:rPr>
        <w:t xml:space="preserve">Es handelt sich um eine Mittelbindung, um ein Ergebnis zu erzielen, was durch ein wallonisches Ziel kumulativer Energieeinsparungen über </w:t>
      </w:r>
      <w:r w:rsidRPr="007E6AD4">
        <w:rPr>
          <w:rFonts w:cs="Calibri"/>
          <w:szCs w:val="24"/>
          <w:lang w:val="de-DE"/>
        </w:rPr>
        <w:t>jeden</w:t>
      </w:r>
      <w:r w:rsidRPr="00D07F58">
        <w:rPr>
          <w:lang w:val="de-DE"/>
        </w:rPr>
        <w:t xml:space="preserve"> Zeitraum</w:t>
      </w:r>
      <w:r w:rsidRPr="007E6AD4">
        <w:rPr>
          <w:rFonts w:cs="Calibri"/>
          <w:szCs w:val="24"/>
          <w:lang w:val="de-DE"/>
        </w:rPr>
        <w:t xml:space="preserve"> zum Ausdruck kommt:</w:t>
      </w:r>
    </w:p>
    <w:p w:rsidR="000B433A" w:rsidRDefault="000B433A">
      <w:pPr>
        <w:pStyle w:val="Paragraphedeliste"/>
        <w:numPr>
          <w:ilvl w:val="0"/>
          <w:numId w:val="50"/>
        </w:numPr>
        <w:tabs>
          <w:tab w:val="left" w:pos="1985"/>
        </w:tabs>
        <w:rPr>
          <w:rFonts w:cs="Calibri"/>
          <w:szCs w:val="24"/>
          <w:lang w:val="de-DE"/>
        </w:rPr>
      </w:pPr>
      <w:r>
        <w:rPr>
          <w:rFonts w:cs="Calibri"/>
          <w:lang w:val="de-DE"/>
        </w:rPr>
        <w:t xml:space="preserve">25.675 GWh im Zeitraum 2014 - 2020, d. h. jedes Jahr 917 GWh an neuen Einsparungen. </w:t>
      </w:r>
    </w:p>
    <w:p w:rsidR="000B433A" w:rsidRDefault="000B433A">
      <w:pPr>
        <w:pStyle w:val="Paragraphedeliste"/>
        <w:numPr>
          <w:ilvl w:val="0"/>
          <w:numId w:val="50"/>
        </w:numPr>
        <w:tabs>
          <w:tab w:val="left" w:pos="1985"/>
        </w:tabs>
        <w:rPr>
          <w:rFonts w:cs="Calibri"/>
          <w:szCs w:val="24"/>
          <w:lang w:val="de-DE"/>
        </w:rPr>
      </w:pPr>
      <w:r>
        <w:rPr>
          <w:rFonts w:cs="Calibri"/>
          <w:lang w:val="de-DE"/>
        </w:rPr>
        <w:t>53.920 GWh (zu bestätigen)</w:t>
      </w:r>
      <w:r w:rsidRPr="007E6AD4">
        <w:rPr>
          <w:rStyle w:val="Appelnotedebasdep"/>
          <w:rFonts w:cs="Calibri"/>
          <w:szCs w:val="24"/>
          <w:lang w:val="de-DE"/>
        </w:rPr>
        <w:footnoteReference w:id="16"/>
      </w:r>
      <w:r>
        <w:rPr>
          <w:rFonts w:cs="Calibri"/>
          <w:lang w:val="de-DE"/>
        </w:rPr>
        <w:t xml:space="preserve"> im Zeitraum 2021 - 2030, d. h. jedes Jahr 980 GWh an neuen Einsparungen.</w:t>
      </w:r>
    </w:p>
    <w:p w:rsidR="000B433A" w:rsidRPr="007E6AD4" w:rsidRDefault="000B433A" w:rsidP="007E6AD4">
      <w:pPr>
        <w:tabs>
          <w:tab w:val="left" w:pos="1985"/>
        </w:tabs>
        <w:rPr>
          <w:szCs w:val="24"/>
          <w:lang w:val="de-DE"/>
        </w:rPr>
      </w:pPr>
      <w:r w:rsidRPr="00D07F58">
        <w:rPr>
          <w:lang w:val="de-DE"/>
        </w:rPr>
        <w:t xml:space="preserve">Hierzu bietet Europa 2 Möglichkeiten (möglicherweise kombinierbar): </w:t>
      </w:r>
    </w:p>
    <w:p w:rsidR="000B433A" w:rsidRPr="007E6AD4" w:rsidRDefault="000B433A" w:rsidP="007E6AD4">
      <w:pPr>
        <w:pStyle w:val="Paragraphedeliste"/>
        <w:numPr>
          <w:ilvl w:val="0"/>
          <w:numId w:val="9"/>
        </w:numPr>
        <w:tabs>
          <w:tab w:val="left" w:pos="1985"/>
        </w:tabs>
        <w:rPr>
          <w:szCs w:val="24"/>
          <w:lang w:val="de-DE"/>
        </w:rPr>
      </w:pPr>
      <w:r>
        <w:rPr>
          <w:lang w:val="de-DE"/>
        </w:rPr>
        <w:t>einen Verpflichtungsmechanismus (weiße Zertifikate);</w:t>
      </w:r>
    </w:p>
    <w:p w:rsidR="000B433A" w:rsidRPr="007E6AD4" w:rsidRDefault="000B433A" w:rsidP="007E6AD4">
      <w:pPr>
        <w:pStyle w:val="Paragraphedeliste"/>
        <w:numPr>
          <w:ilvl w:val="0"/>
          <w:numId w:val="9"/>
        </w:numPr>
        <w:tabs>
          <w:tab w:val="left" w:pos="1985"/>
        </w:tabs>
        <w:rPr>
          <w:szCs w:val="24"/>
          <w:lang w:val="de-DE"/>
        </w:rPr>
      </w:pPr>
      <w:r>
        <w:rPr>
          <w:lang w:val="de-DE"/>
        </w:rPr>
        <w:t>eine Reihe von alternativen Maßnahmen.</w:t>
      </w:r>
    </w:p>
    <w:p w:rsidR="000B433A" w:rsidRPr="007E6AD4" w:rsidRDefault="000B433A" w:rsidP="007E6AD4">
      <w:pPr>
        <w:tabs>
          <w:tab w:val="left" w:pos="1985"/>
        </w:tabs>
        <w:rPr>
          <w:szCs w:val="24"/>
          <w:lang w:val="de-DE"/>
        </w:rPr>
      </w:pPr>
      <w:r w:rsidRPr="00D07F58">
        <w:rPr>
          <w:lang w:val="de-DE"/>
        </w:rPr>
        <w:t xml:space="preserve">Im Jahr 2013 hatte sich die wallonische Regierung </w:t>
      </w:r>
      <w:r w:rsidRPr="007E6AD4">
        <w:rPr>
          <w:rFonts w:cs="Calibri"/>
          <w:szCs w:val="24"/>
          <w:lang w:val="de-DE"/>
        </w:rPr>
        <w:t>für den Zeitraum 2014 - 2020</w:t>
      </w:r>
      <w:r w:rsidRPr="00D07F58">
        <w:rPr>
          <w:lang w:val="de-DE"/>
        </w:rPr>
        <w:t xml:space="preserve"> für den ausschließlichen Einsatz alternativer Maßnahmen und nicht für die Einführung einer Verpflichtung des Typs weißer Zertifikate entschieden. </w:t>
      </w:r>
    </w:p>
    <w:p w:rsidR="000B433A" w:rsidRPr="007E6AD4" w:rsidRDefault="000B433A" w:rsidP="007E6AD4">
      <w:pPr>
        <w:tabs>
          <w:tab w:val="left" w:pos="1985"/>
        </w:tabs>
        <w:rPr>
          <w:szCs w:val="24"/>
          <w:lang w:val="de-DE"/>
        </w:rPr>
      </w:pPr>
      <w:r>
        <w:rPr>
          <w:rFonts w:cs="Calibri"/>
          <w:lang w:val="de-DE"/>
        </w:rPr>
        <w:t xml:space="preserve">Angesichts der Schwierigkeiten bei der Erreichung des Ziels des ersten Zeitraums und der Tatsache, dass die jährlichen Anstrengungen im zweiten Zeitraum höher sind, obgleich die einfachsten Maßnahmen bereits ergriffen wurden, muss </w:t>
      </w:r>
      <w:r w:rsidRPr="007E6AD4">
        <w:rPr>
          <w:szCs w:val="24"/>
          <w:lang w:val="de-DE"/>
        </w:rPr>
        <w:t>ein neuer Mechanismus eingeführt werden, der den bestehenden Mechanismus ergänzt</w:t>
      </w:r>
      <w:r>
        <w:rPr>
          <w:rFonts w:cs="Calibri"/>
          <w:lang w:val="de-DE"/>
        </w:rPr>
        <w:t xml:space="preserve">, um </w:t>
      </w:r>
      <w:r w:rsidRPr="007E6AD4">
        <w:rPr>
          <w:szCs w:val="24"/>
          <w:lang w:val="de-DE"/>
        </w:rPr>
        <w:t xml:space="preserve">auf den Errungenschaften aufzubauen und eine progressive Verstärkung der in den folgenden </w:t>
      </w:r>
      <w:r>
        <w:rPr>
          <w:rFonts w:cs="Calibri"/>
          <w:lang w:val="de-DE"/>
        </w:rPr>
        <w:t>Kapiteln genannten Maßnahmen vorzusehen.</w:t>
      </w:r>
    </w:p>
    <w:p w:rsidR="000B433A" w:rsidRPr="005F5D9D" w:rsidRDefault="000B433A" w:rsidP="0075235D">
      <w:pPr>
        <w:pStyle w:val="Titre3"/>
        <w:rPr>
          <w:rStyle w:val="Emphaseple"/>
          <w:rFonts w:ascii="Calibri" w:hAnsi="Calibri" w:cs="Calibri"/>
          <w:iCs/>
          <w:lang w:val="de-DE"/>
        </w:rPr>
      </w:pPr>
      <w:r>
        <w:rPr>
          <w:rStyle w:val="Emphaseple"/>
          <w:rFonts w:ascii="Calibri" w:hAnsi="Calibri" w:cs="Calibri"/>
          <w:iCs/>
          <w:lang w:val="de-DE"/>
        </w:rPr>
        <w:t>Finanzierung lokaler Initiativen</w:t>
      </w:r>
    </w:p>
    <w:p w:rsidR="000B433A" w:rsidRPr="00F820B8" w:rsidRDefault="000B433A" w:rsidP="00CE1A98">
      <w:pPr>
        <w:rPr>
          <w:rFonts w:cs="Calibri"/>
          <w:szCs w:val="24"/>
          <w:lang w:val="de-DE"/>
        </w:rPr>
      </w:pPr>
      <w:r>
        <w:rPr>
          <w:rFonts w:cs="Calibri"/>
          <w:lang w:val="de-DE"/>
        </w:rPr>
        <w:t>Das POLLEC-Projekt zielt darauf ab, Gemeinden, die freiwillig eine lokale Energie- und Klimapolitik im Rahmen des Bürgermeisterkonvents einführen wollen, finanziell und methodisch zu unterstützen. Der Bürgermeisterkonvent ist eine europäische Initiative, die es den lokalen und regionalen Behörden ermöglicht, sich zu verpflichten, ihre Treibhausgasemissionen bis 2020 um mehr als 20 % und bis 2030 um mehr als 40 % zu reduzieren.</w:t>
      </w:r>
    </w:p>
    <w:p w:rsidR="000B433A" w:rsidRPr="00F820B8" w:rsidRDefault="000B433A" w:rsidP="00CE1A98">
      <w:pPr>
        <w:rPr>
          <w:rFonts w:cs="Calibri"/>
          <w:szCs w:val="24"/>
          <w:lang w:val="de-DE"/>
        </w:rPr>
      </w:pPr>
      <w:r>
        <w:rPr>
          <w:rFonts w:cs="Calibri"/>
          <w:lang w:val="de-DE"/>
        </w:rPr>
        <w:t>Seit 2012 hat die Wallonie drei Aufforderungen zur Einreichung von Bewerbungen veröffentlicht.</w:t>
      </w:r>
    </w:p>
    <w:p w:rsidR="000B433A" w:rsidRPr="00F820B8" w:rsidRDefault="000B433A" w:rsidP="00CE1A98">
      <w:pPr>
        <w:rPr>
          <w:rFonts w:cs="Calibri"/>
          <w:szCs w:val="24"/>
          <w:lang w:val="de-DE"/>
        </w:rPr>
      </w:pPr>
      <w:r>
        <w:rPr>
          <w:rFonts w:cs="Calibri"/>
          <w:lang w:val="de-DE"/>
        </w:rPr>
        <w:t>Im Anschluss an diese drei Kampagnen haben sich insgesamt etwa 160 Gemeinden gegenüber dem Bürgermeisterkonvent verpflichtet und einen Aktionsplan für nachhaltige Energie und Klimaschutz (ANEK) umgesetzt, der mehr als 60 % der Gemeinden in der Wallonie repräsentiert.</w:t>
      </w:r>
    </w:p>
    <w:p w:rsidR="000B433A" w:rsidRDefault="000B433A" w:rsidP="00CE1A98">
      <w:pPr>
        <w:rPr>
          <w:rFonts w:cs="Calibri"/>
          <w:szCs w:val="24"/>
          <w:lang w:val="de-DE"/>
        </w:rPr>
      </w:pPr>
      <w:r>
        <w:rPr>
          <w:rFonts w:cs="Calibri"/>
          <w:lang w:val="de-DE"/>
        </w:rPr>
        <w:t>Die wallonische Region wird Maßnahmen ergreifen, um die Umsetzung des ANEK durch die lokalen Behörden zu unterstützen.</w:t>
      </w:r>
    </w:p>
    <w:p w:rsidR="000B433A" w:rsidRDefault="000B433A" w:rsidP="00CE1A98">
      <w:pPr>
        <w:rPr>
          <w:rFonts w:cs="Calibri"/>
          <w:szCs w:val="24"/>
          <w:lang w:val="de-DE"/>
        </w:rPr>
      </w:pPr>
      <w:r>
        <w:rPr>
          <w:rFonts w:cs="Calibri"/>
          <w:lang w:val="de-DE"/>
        </w:rPr>
        <w:t xml:space="preserve">Darüber hinaus wird die Möglichkeit geprüft, von jeder Gemeinde die Annahme eines lokalen Aktionsplans für Luft, Klima und Energie zu verlangen, um in den Kodex der lokalen Demokratie aufgenommen zu werden. </w:t>
      </w:r>
    </w:p>
    <w:p w:rsidR="000B433A" w:rsidRDefault="000B433A" w:rsidP="0052697E">
      <w:pPr>
        <w:pStyle w:val="Titre3"/>
        <w:rPr>
          <w:rStyle w:val="Emphaseple"/>
          <w:rFonts w:ascii="Calibri" w:hAnsi="Calibri"/>
          <w:iCs/>
          <w:lang w:val="de-DE"/>
        </w:rPr>
      </w:pPr>
      <w:r>
        <w:rPr>
          <w:rStyle w:val="Emphaseple"/>
          <w:rFonts w:ascii="Calibri" w:hAnsi="Calibri"/>
          <w:iCs/>
          <w:lang w:val="de-DE"/>
        </w:rPr>
        <w:t>Die Entwicklung und Aufrechterhaltung eines Wissens über die Umweltverschmutzung in dem Gebiet.</w:t>
      </w:r>
    </w:p>
    <w:p w:rsidR="000B433A" w:rsidRPr="00D07F58" w:rsidRDefault="000B433A" w:rsidP="0052697E">
      <w:pPr>
        <w:rPr>
          <w:lang w:val="de-DE"/>
        </w:rPr>
      </w:pPr>
      <w:r w:rsidRPr="00D07F58">
        <w:rPr>
          <w:lang w:val="de-DE"/>
        </w:rPr>
        <w:t>Die wallonischen Luftqualitätsmessnetze ermöglichen es, die Luftqualität in verschiedenen Teilen des Landes zu beurteilen.</w:t>
      </w:r>
    </w:p>
    <w:p w:rsidR="000B433A" w:rsidRPr="00D07F58" w:rsidRDefault="000B433A" w:rsidP="0052697E">
      <w:pPr>
        <w:rPr>
          <w:lang w:val="de-DE"/>
        </w:rPr>
      </w:pPr>
      <w:r w:rsidRPr="00D07F58">
        <w:rPr>
          <w:lang w:val="de-DE"/>
        </w:rPr>
        <w:t>Je nach Funktionsweise wird zwischen zwei Hauptfamilien von Netzwerken unterschieden: das Netzwerk für Messungen in Echtzeit, dessen Ergebnisse halbstündlich an ein zentrales Computersystem übertragen werden (auch Telemeternetzwerk genannt), und die Netzwerke für zeitverzögerte Messungen, bei denen eine Probe vor Ort entnommen und dann im Labor analysiert wird. Bei den Letzteren liegen die Ergebnisse nicht sofort vor und der Zeitraum zwischen Probenahme und Veröffentlichung der Ergebnisse schwankt je nach Netz.</w:t>
      </w:r>
    </w:p>
    <w:p w:rsidR="000B433A" w:rsidRPr="00D07F58" w:rsidRDefault="000B433A" w:rsidP="0052697E">
      <w:pPr>
        <w:rPr>
          <w:lang w:val="de-DE"/>
        </w:rPr>
      </w:pPr>
      <w:r w:rsidRPr="00D07F58">
        <w:rPr>
          <w:lang w:val="de-DE"/>
        </w:rPr>
        <w:t>Das Netzwerk für Messungen in Echtzeit besteht aus 24 festen Stationen, die kontinuierlich die Konzentrationen von Stickoxiden, Schwefeldioxid, Ozon, Schwebstoffen (PM10 und PM2</w:t>
      </w:r>
      <w:proofErr w:type="gramStart"/>
      <w:r w:rsidRPr="00D07F58">
        <w:rPr>
          <w:lang w:val="de-DE"/>
        </w:rPr>
        <w:t>,5</w:t>
      </w:r>
      <w:proofErr w:type="gramEnd"/>
      <w:r w:rsidRPr="00D07F58">
        <w:rPr>
          <w:lang w:val="de-DE"/>
        </w:rPr>
        <w:t>), Kohlenmonoxid und schwarzem Kohlenstoff erfassen. Eine Station ist für die kontinuierliche Messung von gasförmigem Quecksilber ausgestattet.</w:t>
      </w:r>
    </w:p>
    <w:p w:rsidR="000B433A" w:rsidRPr="00D07F58" w:rsidRDefault="000B433A" w:rsidP="0052697E">
      <w:pPr>
        <w:rPr>
          <w:lang w:val="de-DE"/>
        </w:rPr>
      </w:pPr>
      <w:r w:rsidRPr="00D07F58">
        <w:rPr>
          <w:lang w:val="de-DE"/>
        </w:rPr>
        <w:t>Netzwerke für zeitverzögerte Messungen sammeln Proben, hauptsächlich für die Analyse von flüchtigen organischen Verbindungen, polyzyklischen aromatischen Kohlenwasserstoffen, Metallelementen, aber auch Fluor oder die Zusammensetzung in verschiedenen Elementen, die in sedimentierenden Stäuben oder Regen enthalten sind.</w:t>
      </w:r>
    </w:p>
    <w:p w:rsidR="000B433A" w:rsidRPr="00D07F58" w:rsidRDefault="000B433A" w:rsidP="0052697E">
      <w:pPr>
        <w:rPr>
          <w:lang w:val="de-DE"/>
        </w:rPr>
      </w:pPr>
      <w:r w:rsidRPr="00D07F58">
        <w:rPr>
          <w:lang w:val="de-DE"/>
        </w:rPr>
        <w:t>Die Wallonische Region erfüllt zwar die europäischen Verpflichtungen in Bezug auf die Beurteilung der Luftqualität (Richtlinien 2008/50/EG und 2004/107/EG), führt aber darüber hinaus vorübergehende indikative Kampagnen durch, um das Verständnis für bestimmte Verschmutzungsphänomene zu verbessern, den Ursprung der lokalen Verschmutzung zu ermitteln oder die Verteilung der Schadstoffkonzentrationen innerhalb einer Stadt oder eines Stadtteils zu erfassen. Anschließend werden mobile Geräte eingesetzt. In einigen Fällen wird die Messung mit speziellen Geräten wie passiven Diffusionsrohren oder Mikrosensoren durchgeführt, die die Anzahl der Messpunkte erheblich erhöhen, was manchmal zu einem Verlust der Genauigkeit der Ergebnisse führt.</w:t>
      </w:r>
    </w:p>
    <w:p w:rsidR="000B433A" w:rsidRPr="00D07F58" w:rsidRDefault="000B433A" w:rsidP="0052697E">
      <w:pPr>
        <w:rPr>
          <w:lang w:val="de-DE"/>
        </w:rPr>
      </w:pPr>
      <w:r w:rsidRPr="00D07F58">
        <w:rPr>
          <w:lang w:val="de-DE"/>
        </w:rPr>
        <w:t xml:space="preserve">Es werden mehrere Projekte durchgeführt, um unsere Kenntnisse über die Luftqualität oder unsere Messtechniken zu verbessern: </w:t>
      </w:r>
    </w:p>
    <w:p w:rsidR="000B433A" w:rsidRPr="00D07F58" w:rsidRDefault="000B433A">
      <w:pPr>
        <w:pStyle w:val="Paragraphedeliste"/>
        <w:numPr>
          <w:ilvl w:val="0"/>
          <w:numId w:val="15"/>
        </w:numPr>
        <w:rPr>
          <w:lang w:val="de-DE"/>
        </w:rPr>
      </w:pPr>
      <w:r>
        <w:rPr>
          <w:lang w:val="de-DE"/>
        </w:rPr>
        <w:t>Ergänzendes Netzwerk zur Messung der Luftqualität über Mikrosensoren;</w:t>
      </w:r>
    </w:p>
    <w:p w:rsidR="000B433A" w:rsidRPr="00D07F58" w:rsidRDefault="000B433A">
      <w:pPr>
        <w:pStyle w:val="Paragraphedeliste"/>
        <w:numPr>
          <w:ilvl w:val="0"/>
          <w:numId w:val="15"/>
        </w:numPr>
        <w:rPr>
          <w:lang w:val="de-DE"/>
        </w:rPr>
      </w:pPr>
      <w:r>
        <w:rPr>
          <w:lang w:val="de-DE"/>
        </w:rPr>
        <w:t>Einrichtung einer verkehrstechnischen Messstelle in Lüttich und Charleroi;</w:t>
      </w:r>
    </w:p>
    <w:p w:rsidR="000B433A" w:rsidRPr="00D07F58" w:rsidRDefault="000B433A">
      <w:pPr>
        <w:pStyle w:val="Paragraphedeliste"/>
        <w:numPr>
          <w:ilvl w:val="0"/>
          <w:numId w:val="15"/>
        </w:numPr>
        <w:rPr>
          <w:lang w:val="de-DE"/>
        </w:rPr>
      </w:pPr>
      <w:r>
        <w:rPr>
          <w:lang w:val="de-DE"/>
        </w:rPr>
        <w:t>Ausbau der festen und mobilen Luftqualitätsmessnetze;</w:t>
      </w:r>
    </w:p>
    <w:p w:rsidR="000B433A" w:rsidRPr="00D07F58" w:rsidRDefault="000B433A">
      <w:pPr>
        <w:pStyle w:val="Paragraphedeliste"/>
        <w:numPr>
          <w:ilvl w:val="0"/>
          <w:numId w:val="15"/>
        </w:numPr>
        <w:rPr>
          <w:lang w:val="de-DE"/>
        </w:rPr>
      </w:pPr>
      <w:r>
        <w:rPr>
          <w:lang w:val="de-DE"/>
        </w:rPr>
        <w:t>Förderung der Verbesserung der Luftqualität in Schulen (und Betreuungsstrukturen);</w:t>
      </w:r>
    </w:p>
    <w:p w:rsidR="000B433A" w:rsidRPr="00D07F58" w:rsidRDefault="000B433A">
      <w:pPr>
        <w:pStyle w:val="Paragraphedeliste"/>
        <w:numPr>
          <w:ilvl w:val="0"/>
          <w:numId w:val="15"/>
        </w:numPr>
        <w:rPr>
          <w:lang w:val="de-DE"/>
        </w:rPr>
      </w:pPr>
      <w:r>
        <w:rPr>
          <w:lang w:val="de-DE"/>
        </w:rPr>
        <w:t>Durchführung einer Umweltverträglichkeitsstudie für die Einrichtung von zwei emissionsarmen Zonen (EAZ) in der Wallonie;</w:t>
      </w:r>
    </w:p>
    <w:p w:rsidR="000B433A" w:rsidRPr="00D07F58" w:rsidRDefault="000B433A">
      <w:pPr>
        <w:pStyle w:val="Paragraphedeliste"/>
        <w:numPr>
          <w:ilvl w:val="0"/>
          <w:numId w:val="15"/>
        </w:numPr>
        <w:rPr>
          <w:lang w:val="de-DE"/>
        </w:rPr>
      </w:pPr>
      <w:r>
        <w:rPr>
          <w:lang w:val="de-DE"/>
        </w:rPr>
        <w:t>Bereitstellung und Überwachung von tragbaren Kohlendioxid-Sensoren in Schulen;</w:t>
      </w:r>
    </w:p>
    <w:p w:rsidR="000B433A" w:rsidRDefault="000B433A">
      <w:pPr>
        <w:pStyle w:val="Paragraphedeliste"/>
        <w:numPr>
          <w:ilvl w:val="0"/>
          <w:numId w:val="15"/>
        </w:numPr>
        <w:rPr>
          <w:rFonts w:cs="Calibri"/>
          <w:sz w:val="22"/>
          <w:lang w:val="de-DE"/>
        </w:rPr>
      </w:pPr>
      <w:r>
        <w:rPr>
          <w:lang w:val="de-DE"/>
        </w:rPr>
        <w:t>Biomonitoring der Raumluftqualität durch Pflanzen.</w:t>
      </w:r>
    </w:p>
    <w:p w:rsidR="000B433A" w:rsidRPr="000D6838" w:rsidRDefault="000B433A" w:rsidP="001B472E">
      <w:pPr>
        <w:pStyle w:val="Titre2"/>
        <w:numPr>
          <w:ilvl w:val="1"/>
          <w:numId w:val="1"/>
        </w:numPr>
        <w:ind w:left="851" w:hanging="851"/>
        <w:rPr>
          <w:rFonts w:ascii="Calibri" w:hAnsi="Calibri" w:cs="Calibri"/>
          <w:color w:val="1F497D"/>
          <w:sz w:val="28"/>
          <w:szCs w:val="28"/>
          <w:lang w:val="de-DE"/>
        </w:rPr>
      </w:pPr>
      <w:bookmarkStart w:id="35" w:name="_Toc7802449"/>
      <w:r>
        <w:rPr>
          <w:rFonts w:ascii="Calibri" w:hAnsi="Calibri" w:cs="Calibri"/>
          <w:color w:val="1F497D"/>
          <w:sz w:val="28"/>
          <w:lang w:val="de-DE"/>
        </w:rPr>
        <w:t>Energieerzeugung</w:t>
      </w:r>
      <w:bookmarkEnd w:id="35"/>
    </w:p>
    <w:p w:rsidR="000B433A" w:rsidRPr="000B54AE" w:rsidRDefault="000B433A" w:rsidP="001B472E">
      <w:pPr>
        <w:pStyle w:val="Paragraphedeliste"/>
        <w:numPr>
          <w:ilvl w:val="2"/>
          <w:numId w:val="1"/>
        </w:numPr>
        <w:ind w:left="851" w:hanging="851"/>
        <w:rPr>
          <w:b/>
          <w:color w:val="1F497D"/>
          <w:lang w:val="de-DE"/>
        </w:rPr>
      </w:pPr>
      <w:r>
        <w:rPr>
          <w:b/>
          <w:color w:val="1F497D"/>
          <w:lang w:val="de-DE"/>
        </w:rPr>
        <w:t xml:space="preserve">Förderung von Strom aus erneuerbaren Energien </w:t>
      </w:r>
    </w:p>
    <w:p w:rsidR="000B433A" w:rsidRPr="000D6838" w:rsidRDefault="000B433A" w:rsidP="00250B8C">
      <w:pPr>
        <w:pStyle w:val="Titre3"/>
        <w:rPr>
          <w:rStyle w:val="Emphaseple"/>
          <w:color w:val="4F81BD"/>
          <w:lang w:val="de-DE"/>
        </w:rPr>
      </w:pPr>
      <w:r>
        <w:rPr>
          <w:rStyle w:val="Emphaseple"/>
          <w:iCs/>
          <w:color w:val="4F81BD"/>
          <w:lang w:val="de-DE"/>
        </w:rPr>
        <w:t>Fördermaßnahme: Überarbeitung des Mechanismus für grüne Zertifikate</w:t>
      </w:r>
    </w:p>
    <w:p w:rsidR="000B433A" w:rsidRPr="00F820B8" w:rsidRDefault="000B433A" w:rsidP="00B540A9">
      <w:pPr>
        <w:rPr>
          <w:szCs w:val="24"/>
          <w:lang w:val="de-DE"/>
        </w:rPr>
      </w:pPr>
      <w:r w:rsidRPr="00D07F58">
        <w:rPr>
          <w:lang w:val="de-DE"/>
        </w:rPr>
        <w:t xml:space="preserve">Das wichtigste Instrument zur Förderung der Entwicklung von Strom aus erneuerbaren Energien in der Wallonie ist der Mechanismus der grünen Zertifikate, der aus einer Unterstützung der Produktion von Anlagen besteht. </w:t>
      </w:r>
    </w:p>
    <w:p w:rsidR="000B433A" w:rsidRPr="00F820B8" w:rsidRDefault="000B433A" w:rsidP="00B540A9">
      <w:pPr>
        <w:rPr>
          <w:szCs w:val="24"/>
          <w:lang w:val="de-DE"/>
        </w:rPr>
      </w:pPr>
      <w:r w:rsidRPr="00D07F58">
        <w:rPr>
          <w:lang w:val="de-DE"/>
        </w:rPr>
        <w:t>Auf Grundlage einer internen Bewertung des derzeitigen Mechanismus ist die Regierung der Ansicht, dass die Anpassung des bestehenden Mechanismus die relevanteste und pragmatischste Lösung ist, um die Entwicklung erneuerbarer Energien zu möglichst niedrigen Kosten fortzusetzen und somit die gesteckten Ziele zu erreichen. Allerdings müssen erhebliche Verbesserungen vorgenommen werden.</w:t>
      </w:r>
    </w:p>
    <w:p w:rsidR="000B433A" w:rsidRPr="00F820B8" w:rsidRDefault="000B433A" w:rsidP="00B540A9">
      <w:pPr>
        <w:rPr>
          <w:szCs w:val="24"/>
          <w:u w:val="single"/>
          <w:lang w:val="de-DE"/>
        </w:rPr>
      </w:pPr>
      <w:r>
        <w:rPr>
          <w:u w:val="single"/>
          <w:lang w:val="de-DE"/>
        </w:rPr>
        <w:t>Selbstannulierende Vorrichtung für den Fördermechanismus</w:t>
      </w:r>
    </w:p>
    <w:p w:rsidR="000B433A" w:rsidRPr="00F820B8" w:rsidRDefault="000B433A" w:rsidP="00B540A9">
      <w:pPr>
        <w:rPr>
          <w:szCs w:val="24"/>
          <w:lang w:val="de-DE"/>
        </w:rPr>
      </w:pPr>
      <w:r w:rsidRPr="00D07F58">
        <w:rPr>
          <w:lang w:val="de-DE"/>
        </w:rPr>
        <w:t>Der Fördermechanismus wird beibehalten, solange die Technologien, die die Wallonie entwickeln möchte, ein Wettbewerbsdefizit im Vergleich zu konventionellen Anlagen (fossile und nukleare) auf dem Elektrizitätsmarkt aufweisen.</w:t>
      </w:r>
    </w:p>
    <w:p w:rsidR="000B433A" w:rsidRPr="00F820B8" w:rsidRDefault="000B433A" w:rsidP="00B540A9">
      <w:pPr>
        <w:rPr>
          <w:szCs w:val="24"/>
          <w:lang w:val="de-DE"/>
        </w:rPr>
      </w:pPr>
      <w:r w:rsidRPr="00D07F58">
        <w:rPr>
          <w:lang w:val="de-DE"/>
        </w:rPr>
        <w:t xml:space="preserve">Die Überarbeitung des Mechanismus sieht eine Beschleunigung der selbstannulierenden Vorrichtung vor (d. h. eine abnehmende Förderung neuer Projekte). </w:t>
      </w:r>
    </w:p>
    <w:p w:rsidR="000B433A" w:rsidRPr="00F820B8" w:rsidRDefault="000B433A" w:rsidP="00B540A9">
      <w:pPr>
        <w:rPr>
          <w:rFonts w:cs="Calibri"/>
          <w:szCs w:val="24"/>
          <w:u w:val="single"/>
          <w:lang w:val="de-DE"/>
        </w:rPr>
      </w:pPr>
      <w:r>
        <w:rPr>
          <w:rFonts w:cs="Calibri"/>
          <w:u w:val="single"/>
          <w:lang w:val="de-DE"/>
        </w:rPr>
        <w:t>Begrenzung der Auswirkungen auf die Rechnungen der Verbraucher</w:t>
      </w:r>
    </w:p>
    <w:p w:rsidR="000B433A" w:rsidRPr="00F820B8" w:rsidRDefault="000B433A" w:rsidP="00B540A9">
      <w:pPr>
        <w:rPr>
          <w:szCs w:val="24"/>
          <w:lang w:val="de-DE"/>
        </w:rPr>
      </w:pPr>
      <w:r w:rsidRPr="00D07F58">
        <w:rPr>
          <w:lang w:val="de-DE"/>
        </w:rPr>
        <w:t>Für jede Verbraucherkategorie werden Leitlinien für die Finanzierung der Förderung festgelegt. Die Auswirkungen des Fördermechanismus werden für die Verbraucher überwacht und sehen Anpassungsmechanismen vor (unterschiedliche Verteilung der Mittel auf die Verbraucher oder zeitliche Verteilung der Kosten).</w:t>
      </w:r>
    </w:p>
    <w:p w:rsidR="000B433A" w:rsidRPr="00F820B8" w:rsidRDefault="000B433A" w:rsidP="00B540A9">
      <w:pPr>
        <w:rPr>
          <w:szCs w:val="24"/>
          <w:lang w:val="de-DE"/>
        </w:rPr>
      </w:pPr>
      <w:r w:rsidRPr="00D07F58">
        <w:rPr>
          <w:lang w:val="de-DE"/>
        </w:rPr>
        <w:t>Diese Leitlinien werden unter Berücksichtigung der Interessen im Hinblick auf die Wettbewerbsfähigkeit der Unternehmen und die Beteiligung von Privatpersonen an den für den Energiewandel erforderlichen Investitionen festgelegt.</w:t>
      </w:r>
    </w:p>
    <w:p w:rsidR="000B433A" w:rsidRPr="005F5D9D" w:rsidRDefault="000B433A" w:rsidP="00B540A9">
      <w:pPr>
        <w:rPr>
          <w:rFonts w:cs="Calibri"/>
          <w:u w:val="single"/>
          <w:lang w:val="de-DE"/>
        </w:rPr>
      </w:pPr>
      <w:r>
        <w:rPr>
          <w:rFonts w:cs="Calibri"/>
          <w:u w:val="single"/>
          <w:lang w:val="de-DE"/>
        </w:rPr>
        <w:t>Entwicklung hin zu Projektausschreibungen</w:t>
      </w:r>
    </w:p>
    <w:p w:rsidR="000B433A" w:rsidRPr="00F820B8" w:rsidRDefault="000B433A" w:rsidP="00B540A9">
      <w:pPr>
        <w:rPr>
          <w:rFonts w:cs="Calibri"/>
          <w:szCs w:val="24"/>
          <w:lang w:val="de-DE"/>
        </w:rPr>
      </w:pPr>
      <w:r w:rsidRPr="00D07F58">
        <w:rPr>
          <w:lang w:val="de-DE"/>
        </w:rPr>
        <w:t xml:space="preserve">Der Mechanismus der grünen Zertifikate wird schrittweise mit einer Ausschreibung in Hinblick auf Projekte und Branchen kombiniert, um die Ziele von Effizienz und Marktintegration zu erreichen, und gleichzeitig Teil des europäischen Rahmens für eine stärkere Marktintegration sein. Projektausschreibungen ermöglichen es insbesondere, das Entwicklungstempo besser zu kontrollieren, Projekte miteinander in Wettbewerb treten zu lassen und die zu entwickelnden Projekte gezielt einzusetzen. </w:t>
      </w:r>
      <w:r>
        <w:t>Folgende Hauptprinzipien werden befolgt:</w:t>
      </w:r>
    </w:p>
    <w:p w:rsidR="000B433A" w:rsidRPr="00F820B8" w:rsidRDefault="000B433A" w:rsidP="00E15C2C">
      <w:pPr>
        <w:pStyle w:val="Paragraphedeliste"/>
        <w:numPr>
          <w:ilvl w:val="0"/>
          <w:numId w:val="9"/>
        </w:numPr>
        <w:rPr>
          <w:rFonts w:cs="Calibri"/>
          <w:szCs w:val="24"/>
          <w:lang w:val="de-DE"/>
        </w:rPr>
      </w:pPr>
      <w:r>
        <w:rPr>
          <w:rFonts w:cs="Calibri"/>
          <w:lang w:val="de-DE"/>
        </w:rPr>
        <w:t>die über bestimmte Leistungen hinaus für bestimmte Technologien genutzt werden;</w:t>
      </w:r>
    </w:p>
    <w:p w:rsidR="000B433A" w:rsidRPr="00F820B8" w:rsidRDefault="000B433A" w:rsidP="00E15C2C">
      <w:pPr>
        <w:pStyle w:val="Paragraphedeliste"/>
        <w:numPr>
          <w:ilvl w:val="0"/>
          <w:numId w:val="9"/>
        </w:numPr>
        <w:rPr>
          <w:rFonts w:cs="Calibri"/>
          <w:szCs w:val="24"/>
          <w:lang w:val="de-DE"/>
        </w:rPr>
      </w:pPr>
      <w:r>
        <w:rPr>
          <w:rFonts w:cs="Calibri"/>
          <w:lang w:val="de-DE"/>
        </w:rPr>
        <w:t>vordefinierte Obergrenze (bei fehlender Konkurrenz);</w:t>
      </w:r>
    </w:p>
    <w:p w:rsidR="000B433A" w:rsidRPr="00F820B8" w:rsidRDefault="000B433A" w:rsidP="00E15C2C">
      <w:pPr>
        <w:pStyle w:val="Paragraphedeliste"/>
        <w:numPr>
          <w:ilvl w:val="0"/>
          <w:numId w:val="9"/>
        </w:numPr>
        <w:rPr>
          <w:rFonts w:cs="Calibri"/>
          <w:szCs w:val="24"/>
          <w:lang w:val="de-DE"/>
        </w:rPr>
      </w:pPr>
      <w:r>
        <w:rPr>
          <w:rFonts w:cs="Calibri"/>
          <w:lang w:val="de-DE"/>
        </w:rPr>
        <w:t>Multikriterien (umwelttechnische und soziale);</w:t>
      </w:r>
    </w:p>
    <w:p w:rsidR="000B433A" w:rsidRPr="00F820B8" w:rsidRDefault="000B433A" w:rsidP="00E15C2C">
      <w:pPr>
        <w:pStyle w:val="Paragraphedeliste"/>
        <w:numPr>
          <w:ilvl w:val="0"/>
          <w:numId w:val="9"/>
        </w:numPr>
        <w:rPr>
          <w:rFonts w:cs="Calibri"/>
          <w:szCs w:val="24"/>
          <w:lang w:val="de-DE"/>
        </w:rPr>
      </w:pPr>
      <w:r>
        <w:rPr>
          <w:rFonts w:cs="Calibri"/>
          <w:lang w:val="de-DE"/>
        </w:rPr>
        <w:t>der Wettbewerb zwischen Technologien wird erst in einer zweiten Phase berücksichtigt, in der ihre Wettbewerbsfähigkeit nahezu gesichert ist.</w:t>
      </w:r>
    </w:p>
    <w:p w:rsidR="000B433A" w:rsidRPr="005F5D9D" w:rsidRDefault="000B433A" w:rsidP="00B540A9">
      <w:pPr>
        <w:rPr>
          <w:rFonts w:cs="Calibri"/>
          <w:u w:val="single"/>
          <w:lang w:val="de-DE"/>
        </w:rPr>
      </w:pPr>
      <w:r>
        <w:rPr>
          <w:rFonts w:cs="Calibri"/>
          <w:u w:val="single"/>
          <w:lang w:val="de-DE"/>
        </w:rPr>
        <w:t>Erweiterung des Mechanismus und Integration des tatsächlichen Kostenpreises</w:t>
      </w:r>
    </w:p>
    <w:p w:rsidR="000B433A" w:rsidRPr="00F820B8" w:rsidRDefault="000B433A" w:rsidP="00B540A9">
      <w:pPr>
        <w:rPr>
          <w:szCs w:val="24"/>
          <w:lang w:val="de-DE"/>
        </w:rPr>
      </w:pPr>
      <w:r w:rsidRPr="00D07F58">
        <w:rPr>
          <w:lang w:val="de-DE"/>
        </w:rPr>
        <w:t>Es wird eine spezifische Förderung der Stromerzeugung durch Rückgewinnung von Abwärme eingeführt (ähnlich der hochwertigen fossilen Kraft-Wärme-Kopplung).</w:t>
      </w:r>
    </w:p>
    <w:p w:rsidR="000B433A" w:rsidRPr="00F820B8" w:rsidRDefault="000B433A" w:rsidP="00B540A9">
      <w:pPr>
        <w:rPr>
          <w:szCs w:val="24"/>
          <w:lang w:val="de-DE"/>
        </w:rPr>
      </w:pPr>
      <w:r w:rsidRPr="00D07F58">
        <w:rPr>
          <w:lang w:val="de-DE"/>
        </w:rPr>
        <w:t>Nach und nach wird der Mechanismus nurmehr die Erzeugung von Strom aus erneuerbaren Energien fördern, um den Grundsatz des Prinzips des tatsächlichen Kostenpreises (jener, der direkt betroffen ist, trägt zur Kostenübernahme bei) in die Praxis umzusetzen und damit die Belastung für den Stromverbraucher zu verringern:</w:t>
      </w:r>
    </w:p>
    <w:p w:rsidR="000B433A" w:rsidRPr="00F820B8" w:rsidRDefault="000B433A" w:rsidP="00E15C2C">
      <w:pPr>
        <w:pStyle w:val="Paragraphedeliste"/>
        <w:numPr>
          <w:ilvl w:val="0"/>
          <w:numId w:val="5"/>
        </w:numPr>
        <w:rPr>
          <w:szCs w:val="24"/>
          <w:lang w:val="de-DE"/>
        </w:rPr>
      </w:pPr>
      <w:r>
        <w:rPr>
          <w:lang w:val="de-DE"/>
        </w:rPr>
        <w:t>die Wärmeerzeugung aus Kraft-Wärme-Kopplung wird durch einen weiteren spezifischen Fördermechanismus für erneuerbare Wärme unterstützt;</w:t>
      </w:r>
    </w:p>
    <w:p w:rsidR="000B433A" w:rsidRPr="00F820B8" w:rsidRDefault="000B433A" w:rsidP="00E15C2C">
      <w:pPr>
        <w:pStyle w:val="Paragraphedeliste"/>
        <w:numPr>
          <w:ilvl w:val="0"/>
          <w:numId w:val="5"/>
        </w:numPr>
        <w:rPr>
          <w:szCs w:val="24"/>
          <w:lang w:val="de-DE"/>
        </w:rPr>
      </w:pPr>
      <w:r>
        <w:rPr>
          <w:lang w:val="de-DE"/>
        </w:rPr>
        <w:t>Für die Biomethanisierung wird der Fördermechanismus für die Stromerzeugung evaluiert, um Verbesserungsmöglichkeiten zu prüfen, sodass nur die Erzeugung erneuerbarer Energien finanziell unterstützt wird.</w:t>
      </w:r>
    </w:p>
    <w:p w:rsidR="000B433A" w:rsidRPr="005F5D9D" w:rsidRDefault="000B433A" w:rsidP="00B540A9">
      <w:pPr>
        <w:rPr>
          <w:rFonts w:cs="Calibri"/>
          <w:u w:val="single"/>
          <w:lang w:val="de-DE"/>
        </w:rPr>
      </w:pPr>
      <w:r>
        <w:rPr>
          <w:rFonts w:cs="Calibri"/>
          <w:u w:val="single"/>
          <w:lang w:val="de-DE"/>
        </w:rPr>
        <w:t>Entwicklung des Förderniveaus</w:t>
      </w:r>
    </w:p>
    <w:p w:rsidR="000B433A" w:rsidRPr="00F820B8" w:rsidRDefault="000B433A" w:rsidP="00B540A9">
      <w:pPr>
        <w:rPr>
          <w:szCs w:val="24"/>
          <w:lang w:val="de-DE"/>
        </w:rPr>
      </w:pPr>
      <w:r w:rsidRPr="00D07F58">
        <w:rPr>
          <w:lang w:val="de-DE"/>
        </w:rPr>
        <w:t xml:space="preserve">Die Entwicklung des Förderniveaus gemäß den marktbezogenen Parametern (hauptsächlich dem Strompreis) wird angepasst, um eine starke Reaktionsfähigkeit zu ermöglichen, insbesondere bei einem Anstieg der Strompreise. </w:t>
      </w:r>
    </w:p>
    <w:p w:rsidR="000B433A" w:rsidRPr="000D6838" w:rsidRDefault="000B433A" w:rsidP="00250B8C">
      <w:pPr>
        <w:pStyle w:val="Titre3"/>
        <w:rPr>
          <w:rStyle w:val="Emphaseple"/>
          <w:iCs/>
          <w:color w:val="4F81BD"/>
          <w:szCs w:val="24"/>
          <w:lang w:val="de-DE"/>
        </w:rPr>
      </w:pPr>
      <w:r>
        <w:rPr>
          <w:rStyle w:val="Emphaseple"/>
          <w:iCs/>
          <w:color w:val="4F81BD"/>
          <w:lang w:val="de-DE"/>
        </w:rPr>
        <w:t>Weitere Maßnahmen zur Förderung der Stromerzeugung aus erneuerbaren Energien</w:t>
      </w:r>
    </w:p>
    <w:p w:rsidR="000B433A" w:rsidRPr="005F5D9D" w:rsidRDefault="000B433A" w:rsidP="00B540A9">
      <w:pPr>
        <w:rPr>
          <w:rFonts w:cs="Calibri"/>
          <w:u w:val="single"/>
          <w:lang w:val="de-DE"/>
        </w:rPr>
      </w:pPr>
      <w:r>
        <w:rPr>
          <w:rFonts w:cs="Calibri"/>
          <w:u w:val="single"/>
          <w:lang w:val="de-DE"/>
        </w:rPr>
        <w:t>Verbesserung und Sicherung des allgemeinen Rahmens</w:t>
      </w:r>
    </w:p>
    <w:p w:rsidR="000B433A" w:rsidRPr="00F820B8" w:rsidRDefault="000B433A" w:rsidP="00B540A9">
      <w:pPr>
        <w:rPr>
          <w:szCs w:val="24"/>
          <w:lang w:val="de-DE"/>
        </w:rPr>
      </w:pPr>
      <w:r w:rsidRPr="00D07F58">
        <w:rPr>
          <w:lang w:val="de-DE"/>
        </w:rPr>
        <w:t>Um die Wettbewerbsfähigkeit der erneuerbaren Technologien zu erhöhen, müssen die mit ihrem Einsatz verbundenen Risiken und die verschiedenen Belastungen (Verwaltungsverfahren, Genehmigungen usw.) reduziert werden.</w:t>
      </w:r>
    </w:p>
    <w:p w:rsidR="000B433A" w:rsidRPr="00F820B8" w:rsidRDefault="000B433A" w:rsidP="00B540A9">
      <w:pPr>
        <w:rPr>
          <w:szCs w:val="24"/>
          <w:lang w:val="de-DE"/>
        </w:rPr>
      </w:pPr>
      <w:r w:rsidRPr="00D07F58">
        <w:rPr>
          <w:lang w:val="de-DE"/>
        </w:rPr>
        <w:t xml:space="preserve">Gegebenenfalls wird eine staatliche Garantie für Technologien mit hohem Risiko, aber attraktiver Rendite (z. B. Geothermie, a priori für thermische Zwecke) mit einem Mechanismus zur Retrozession bei einem höher als erwarteten Aufkommen gewährt. </w:t>
      </w:r>
    </w:p>
    <w:p w:rsidR="000B433A" w:rsidRPr="005F5D9D" w:rsidRDefault="000B433A" w:rsidP="00B540A9">
      <w:pPr>
        <w:rPr>
          <w:rFonts w:cs="Calibri"/>
          <w:u w:val="single"/>
          <w:lang w:val="de-DE"/>
        </w:rPr>
      </w:pPr>
      <w:r>
        <w:rPr>
          <w:rFonts w:cs="Calibri"/>
          <w:u w:val="single"/>
          <w:lang w:val="de-DE"/>
        </w:rPr>
        <w:t>Umsetzung einer Photovoltaikpolitik</w:t>
      </w:r>
    </w:p>
    <w:p w:rsidR="000B433A" w:rsidRPr="00F820B8" w:rsidRDefault="000B433A" w:rsidP="00B540A9">
      <w:pPr>
        <w:rPr>
          <w:szCs w:val="24"/>
          <w:lang w:val="de-DE"/>
        </w:rPr>
      </w:pPr>
      <w:r w:rsidRPr="00D07F58">
        <w:rPr>
          <w:lang w:val="de-DE"/>
        </w:rPr>
        <w:t>Die Photovoltaik ist eine Zukunftstechnologie mit hohem Integrationsgrad (Materialien, Infrastruktur) und einer drastischen Senkung der Produktionskosten, die sie zu einer Lösung macht, die sowohl für den Wohn</w:t>
      </w:r>
      <w:r>
        <w:rPr>
          <w:lang w:val="de-DE"/>
        </w:rPr>
        <w:t>ungs</w:t>
      </w:r>
      <w:r w:rsidRPr="00D07F58">
        <w:rPr>
          <w:lang w:val="de-DE"/>
        </w:rPr>
        <w:t>sektor als auch für die Industrie von Interesse ist. Die Regierung wird entscheiden müssen, was sie als Industrieprojekte zu akzeptieren gedenkt, die potenziell auf Nutzflächen umgesetzt werden. Eine Photovoltaikpolitik muss umgesetzt werden.</w:t>
      </w:r>
    </w:p>
    <w:p w:rsidR="000B433A" w:rsidRPr="005F5D9D" w:rsidRDefault="000B433A" w:rsidP="00B540A9">
      <w:pPr>
        <w:rPr>
          <w:rFonts w:cs="Calibri"/>
          <w:u w:val="single"/>
          <w:lang w:val="de-DE"/>
        </w:rPr>
      </w:pPr>
      <w:r>
        <w:rPr>
          <w:rFonts w:cs="Calibri"/>
          <w:u w:val="single"/>
          <w:lang w:val="de-DE"/>
        </w:rPr>
        <w:t>Sonstige Fördermaßnahmen</w:t>
      </w:r>
    </w:p>
    <w:p w:rsidR="000B433A" w:rsidRPr="00F820B8" w:rsidRDefault="000B433A" w:rsidP="00B540A9">
      <w:pPr>
        <w:rPr>
          <w:szCs w:val="24"/>
          <w:lang w:val="de-DE"/>
        </w:rPr>
      </w:pPr>
      <w:r w:rsidRPr="00D07F58">
        <w:rPr>
          <w:lang w:val="de-DE"/>
        </w:rPr>
        <w:t xml:space="preserve">Investitionsbeihilfen, einschließlich Beihilfen für Unternehmen zum Schutz der Umwelt und zur nachhaltigen Energienutzung, müssen mit dem Mechanismus der </w:t>
      </w:r>
      <w:r w:rsidRPr="00F820B8">
        <w:rPr>
          <w:rFonts w:cs="Calibri"/>
          <w:szCs w:val="24"/>
          <w:lang w:val="de-DE"/>
        </w:rPr>
        <w:t>grünen Zertifikate</w:t>
      </w:r>
      <w:r w:rsidRPr="00D07F58">
        <w:rPr>
          <w:lang w:val="de-DE"/>
        </w:rPr>
        <w:t xml:space="preserve"> verknüpft werden, um die Kohärenz (faires Förderniveau) im Falle einer Kumulierung zu gewährleisten.</w:t>
      </w:r>
    </w:p>
    <w:p w:rsidR="000B433A" w:rsidRPr="00F820B8" w:rsidRDefault="000B433A" w:rsidP="00B540A9">
      <w:pPr>
        <w:rPr>
          <w:szCs w:val="24"/>
          <w:lang w:val="de-DE"/>
        </w:rPr>
      </w:pPr>
      <w:r w:rsidRPr="00D07F58">
        <w:rPr>
          <w:lang w:val="de-DE"/>
        </w:rPr>
        <w:t xml:space="preserve">Weitere Maßnahmen ermöglichen auch den Einsatz von Strom aus erneuerbaren Energien in der Wallonie: </w:t>
      </w:r>
    </w:p>
    <w:p w:rsidR="000B433A" w:rsidRPr="00F820B8" w:rsidRDefault="000B433A" w:rsidP="00E15C2C">
      <w:pPr>
        <w:pStyle w:val="Paragraphedeliste"/>
        <w:numPr>
          <w:ilvl w:val="0"/>
          <w:numId w:val="7"/>
        </w:numPr>
        <w:spacing w:before="120"/>
        <w:rPr>
          <w:rStyle w:val="lev"/>
          <w:b w:val="0"/>
          <w:szCs w:val="24"/>
          <w:lang w:val="de-DE"/>
        </w:rPr>
      </w:pPr>
      <w:r>
        <w:rPr>
          <w:rStyle w:val="lev"/>
          <w:b w:val="0"/>
          <w:lang w:val="de-DE"/>
        </w:rPr>
        <w:t>Investitionsbeihilfen, einschließlich Beihilfen für Unternehmen zum Schutz der Umwelt und zur nachhaltigen Energienutzung;</w:t>
      </w:r>
    </w:p>
    <w:p w:rsidR="000B433A" w:rsidRPr="00F820B8" w:rsidRDefault="000B433A" w:rsidP="00E15C2C">
      <w:pPr>
        <w:pStyle w:val="Paragraphedeliste"/>
        <w:numPr>
          <w:ilvl w:val="0"/>
          <w:numId w:val="7"/>
        </w:numPr>
        <w:spacing w:before="120"/>
        <w:rPr>
          <w:rStyle w:val="lev"/>
          <w:b w:val="0"/>
          <w:szCs w:val="24"/>
          <w:lang w:val="de-DE"/>
        </w:rPr>
      </w:pPr>
      <w:r>
        <w:rPr>
          <w:rStyle w:val="lev"/>
          <w:b w:val="0"/>
          <w:lang w:val="de-DE"/>
        </w:rPr>
        <w:t>Unterstützung der Industrie bei der Durchführung von Machbarkeitsstudien zur Stromerzeugung aus erneuerbaren Energien (Branchenvereinbarungen);</w:t>
      </w:r>
    </w:p>
    <w:p w:rsidR="000B433A" w:rsidRPr="00F820B8" w:rsidRDefault="000B433A" w:rsidP="00E15C2C">
      <w:pPr>
        <w:pStyle w:val="Paragraphedeliste"/>
        <w:numPr>
          <w:ilvl w:val="0"/>
          <w:numId w:val="7"/>
        </w:numPr>
        <w:spacing w:before="120"/>
        <w:rPr>
          <w:rStyle w:val="lev"/>
          <w:b w:val="0"/>
          <w:szCs w:val="24"/>
          <w:lang w:val="de-DE"/>
        </w:rPr>
      </w:pPr>
      <w:r>
        <w:rPr>
          <w:rStyle w:val="lev"/>
          <w:b w:val="0"/>
          <w:lang w:val="de-DE"/>
        </w:rPr>
        <w:t>Forschungsunterstützung, Pilotprojekte;</w:t>
      </w:r>
    </w:p>
    <w:p w:rsidR="000B433A" w:rsidRPr="00481BA1" w:rsidRDefault="000B433A" w:rsidP="00B8505E">
      <w:pPr>
        <w:pStyle w:val="Paragraphedeliste"/>
        <w:numPr>
          <w:ilvl w:val="0"/>
          <w:numId w:val="7"/>
        </w:numPr>
        <w:spacing w:before="120" w:after="200"/>
        <w:jc w:val="left"/>
        <w:rPr>
          <w:rStyle w:val="Emphaseple"/>
          <w:rFonts w:ascii="Cambria" w:hAnsi="Cambria"/>
          <w:b/>
          <w:bCs/>
          <w:color w:val="4F81BD"/>
          <w:lang w:val="de-DE"/>
        </w:rPr>
      </w:pPr>
      <w:r>
        <w:rPr>
          <w:rStyle w:val="lev"/>
          <w:b w:val="0"/>
          <w:lang w:val="de-DE"/>
        </w:rPr>
        <w:t>Bereitstellung von Dienstleistungen von Förderern und Energieschaltern (Guichets de l’énergie).</w:t>
      </w:r>
    </w:p>
    <w:p w:rsidR="000B433A" w:rsidRPr="000D6838" w:rsidRDefault="000B433A" w:rsidP="00250B8C">
      <w:pPr>
        <w:pStyle w:val="Titre3"/>
        <w:rPr>
          <w:rStyle w:val="Emphaseple"/>
          <w:color w:val="4F81BD"/>
          <w:lang w:val="de-DE"/>
        </w:rPr>
      </w:pPr>
      <w:r>
        <w:rPr>
          <w:rStyle w:val="Emphaseple"/>
          <w:iCs/>
          <w:color w:val="4F81BD"/>
          <w:lang w:val="de-DE"/>
        </w:rPr>
        <w:t>Verwaltungsmaßnahmen</w:t>
      </w:r>
    </w:p>
    <w:p w:rsidR="000B433A" w:rsidRPr="005F5D9D" w:rsidRDefault="000B433A" w:rsidP="00B540A9">
      <w:pPr>
        <w:rPr>
          <w:rFonts w:cs="Calibri"/>
          <w:b/>
          <w:lang w:val="de-DE"/>
        </w:rPr>
      </w:pPr>
      <w:r>
        <w:rPr>
          <w:rFonts w:cs="Calibri"/>
          <w:b/>
          <w:lang w:val="de-DE"/>
        </w:rPr>
        <w:t>Beseitigung der Rechtsunsicherheit bei der Erteilung von Genehmigungen für den Windenergiesektor</w:t>
      </w:r>
    </w:p>
    <w:p w:rsidR="000B433A" w:rsidRPr="00F820B8" w:rsidRDefault="000B433A" w:rsidP="00B540A9">
      <w:pPr>
        <w:rPr>
          <w:rFonts w:cs="Calibri"/>
          <w:szCs w:val="24"/>
          <w:lang w:val="de-DE"/>
        </w:rPr>
      </w:pPr>
      <w:r>
        <w:rPr>
          <w:rFonts w:cs="Calibri"/>
          <w:lang w:val="de-DE"/>
        </w:rPr>
        <w:t>Um die Hindernisse für die Entwicklung der Windenergie in der Wallonie zu beseitigen, hat die wallonische Regierung 15 Maßnahmen zur Förderung der Entwicklung des Windenergiesektors im Hinblick auf den Abschluss einer „Pax Eolienica“ festgelegt. Die Verpflichtungen der Beteiligten können auch durch ein Übereinkommen der Energiewende zum Ausdruck kommen. Dieser Mechanismus des Übereinkommens der Energiewende ist in der Programmverordnung vom 17. Juli 2018 vorgesehen. Das einem Green Deal gleichkommende Übereinkommen der Energiewende unterscheidet sich vom „klassischen“ Umweltabkommen dadurch, dass es Bürgern, Städten und Gemeinden ermöglicht, frühzeitig in Windenergie-Entwicklungsprojekte einbezogen zu werden.</w:t>
      </w:r>
    </w:p>
    <w:p w:rsidR="000B433A" w:rsidRPr="00F820B8" w:rsidRDefault="000B433A" w:rsidP="00B540A9">
      <w:pPr>
        <w:rPr>
          <w:rFonts w:cs="Calibri"/>
          <w:szCs w:val="24"/>
          <w:lang w:val="de-DE"/>
        </w:rPr>
      </w:pPr>
      <w:r>
        <w:rPr>
          <w:rFonts w:cs="Calibri"/>
          <w:lang w:val="de-DE"/>
        </w:rPr>
        <w:t>Die Pax Eolienica:</w:t>
      </w:r>
    </w:p>
    <w:p w:rsidR="000B433A" w:rsidRPr="00F820B8" w:rsidRDefault="000B433A" w:rsidP="00E15C2C">
      <w:pPr>
        <w:pStyle w:val="Paragraphedeliste"/>
        <w:numPr>
          <w:ilvl w:val="0"/>
          <w:numId w:val="7"/>
        </w:numPr>
        <w:spacing w:before="120"/>
        <w:rPr>
          <w:rFonts w:cs="Calibri"/>
          <w:bCs/>
          <w:szCs w:val="24"/>
          <w:lang w:val="de-DE"/>
        </w:rPr>
      </w:pPr>
      <w:r>
        <w:rPr>
          <w:rFonts w:cs="Calibri"/>
          <w:lang w:val="de-DE"/>
        </w:rPr>
        <w:t>Ziel ist es, die Verwaltungsverfahren für Förderer der Windenergie zu vereinfachen, indem es ihnen ermöglicht wird, in einem wallonischen Rahmen zu arbeiten, der eine größere Rechtssicherheit bietet. Die aktuelle „Sterblichkeitsrate“ von Windenergieprojekten in der Verwaltungs- oder Prozessphase stellt einen realen wirtschaftlichen Kostenfaktor dar;</w:t>
      </w:r>
    </w:p>
    <w:p w:rsidR="000B433A" w:rsidRPr="00F820B8" w:rsidRDefault="000B433A" w:rsidP="00E15C2C">
      <w:pPr>
        <w:pStyle w:val="Paragraphedeliste"/>
        <w:numPr>
          <w:ilvl w:val="0"/>
          <w:numId w:val="7"/>
        </w:numPr>
        <w:spacing w:before="120"/>
        <w:rPr>
          <w:rFonts w:cs="Calibri"/>
          <w:bCs/>
          <w:szCs w:val="24"/>
          <w:lang w:val="de-DE"/>
        </w:rPr>
      </w:pPr>
      <w:r>
        <w:rPr>
          <w:rFonts w:cs="Calibri"/>
          <w:lang w:val="de-DE"/>
        </w:rPr>
        <w:t>Bekundet den Wunsch der wallonischen Regierung, alle betroffenen Akteure umfassend in die Herausforderungen im Zusammenhang mit der weiteren Entwicklung der Erzeugung erneuerbarer Energien durch die Errichtung von Windkraftanlagen auf wallonischem Gebiet einzubeziehen;</w:t>
      </w:r>
    </w:p>
    <w:p w:rsidR="000B433A" w:rsidRPr="00F820B8" w:rsidRDefault="000B433A" w:rsidP="00E15C2C">
      <w:pPr>
        <w:pStyle w:val="Paragraphedeliste"/>
        <w:numPr>
          <w:ilvl w:val="0"/>
          <w:numId w:val="7"/>
        </w:numPr>
        <w:spacing w:before="120"/>
        <w:rPr>
          <w:rFonts w:cs="Calibri"/>
          <w:bCs/>
          <w:szCs w:val="24"/>
          <w:lang w:val="de-DE"/>
        </w:rPr>
      </w:pPr>
      <w:r>
        <w:rPr>
          <w:rFonts w:cs="Calibri"/>
          <w:lang w:val="de-DE"/>
        </w:rPr>
        <w:t>Besiegelt die Verpflichtungen der beteiligten Parteien. So müssen sich die Förderer der Windenergie verpflichten, dafür zu sorgen, dass der Schutz der Umwelt und der biologischen Vielfalt, der Landschaft und der Lebensumwelt der Anwohner beim Einsatz von Windkraftanlagen in der Wallonie gewahrt bleibt.</w:t>
      </w:r>
    </w:p>
    <w:p w:rsidR="000B433A" w:rsidRPr="00F820B8" w:rsidRDefault="000B433A" w:rsidP="00B540A9">
      <w:pPr>
        <w:rPr>
          <w:rFonts w:cs="Calibri"/>
          <w:szCs w:val="24"/>
          <w:lang w:val="de-DE"/>
        </w:rPr>
      </w:pPr>
      <w:r>
        <w:rPr>
          <w:rFonts w:cs="Calibri"/>
          <w:lang w:val="de-DE"/>
        </w:rPr>
        <w:t xml:space="preserve">Die Maßnahmen der Pax betreffen die sektorspezifischen Bedingungen, die akustische Überwachung, die erforderlichen rechtlichen Anpassungen des Gesetzbuches über die räumliche Entwicklung, insbesondere in Bezug auf Genehmigungen, die Anpassung des Elektrizitätsdekrets, das den Aufbau von Mikronetzen ermöglicht, die administrative Vereinfachung, die aeronautischen Kriterien, den Zugang zu Katasterdaten, die soziale Akzeptanz und die Besteuerung. </w:t>
      </w:r>
    </w:p>
    <w:p w:rsidR="000B433A" w:rsidRPr="005F5D9D" w:rsidRDefault="000B433A" w:rsidP="00B540A9">
      <w:pPr>
        <w:rPr>
          <w:rFonts w:cs="Calibri"/>
          <w:sz w:val="22"/>
          <w:lang w:val="de-DE"/>
        </w:rPr>
      </w:pPr>
      <w:r>
        <w:rPr>
          <w:rFonts w:cs="Calibri"/>
          <w:lang w:val="de-DE"/>
        </w:rPr>
        <w:t xml:space="preserve">Im Gegenzug hat die Regierung einen Biodiversitätsfonds eingerichtet, der von Förderern der Windenergie zu Anlass einer Umweltkompensation finanziert wird und dessen Einnahmen für Projekte zur Wiederherstellung der Biodiversität genutzt werden. </w:t>
      </w:r>
    </w:p>
    <w:p w:rsidR="000B433A" w:rsidRPr="000D6838" w:rsidRDefault="000B433A" w:rsidP="00B540A9">
      <w:pPr>
        <w:rPr>
          <w:rFonts w:cs="Calibri"/>
          <w:b/>
          <w:i/>
          <w:color w:val="4F81BD"/>
          <w:lang w:val="de-DE"/>
        </w:rPr>
      </w:pPr>
      <w:r>
        <w:rPr>
          <w:rFonts w:cs="Calibri"/>
          <w:b/>
          <w:i/>
          <w:color w:val="4F81BD"/>
          <w:lang w:val="de-DE"/>
        </w:rPr>
        <w:t>Die Durchführung von Projekten im Bereich erneuerbarer Energien erleichtern: Die Rechtsgrundlage für die Funktionsweise des regionalen Strommarktes ändern:</w:t>
      </w:r>
    </w:p>
    <w:p w:rsidR="000B433A" w:rsidRPr="007E6AD4" w:rsidRDefault="000B433A" w:rsidP="00B540A9">
      <w:pPr>
        <w:rPr>
          <w:rFonts w:cs="Calibri"/>
          <w:szCs w:val="24"/>
          <w:lang w:val="de-DE"/>
        </w:rPr>
      </w:pPr>
      <w:r>
        <w:rPr>
          <w:rFonts w:cs="Calibri"/>
          <w:lang w:val="de-DE"/>
        </w:rPr>
        <w:t xml:space="preserve">Der derzeitige Rahmen für „Selbsterzeuger“ ist für Projektentwickler unnötig restriktiv, sobald man den Rahmen des strengen Konzeptes der Eigenproduktion verlässt (dieselbe rechtliche Einheit verbraucht und produziert Strom hinter dem Netzzähler). Angesichts des Wunsches, die dezentrale Produktion so verbrauchernah wie möglich zu gestalten, insbesondere in Bezug auf die Zoneneinteilung, sollte dieser Rahmen vereinfacht werden. </w:t>
      </w:r>
    </w:p>
    <w:p w:rsidR="000B433A" w:rsidRPr="007E6AD4" w:rsidRDefault="000B433A" w:rsidP="00B540A9">
      <w:pPr>
        <w:rPr>
          <w:rFonts w:cs="Calibri"/>
          <w:szCs w:val="24"/>
          <w:lang w:val="de-DE"/>
        </w:rPr>
      </w:pPr>
      <w:r>
        <w:rPr>
          <w:rFonts w:cs="Calibri"/>
          <w:lang w:val="de-DE"/>
        </w:rPr>
        <w:t>Indem die Montage von Projekten im Bereich erneuerbarer Energien durch die Beseitigung einiger dieser Hindernisse erleichtert wird, wird es möglich sein, die für lokale Projekte erforderliche Förderung weiter zu verringern und die Entstehung rentabler Projekte ohne Förderniveau zu erleichtern.</w:t>
      </w:r>
    </w:p>
    <w:p w:rsidR="000B433A" w:rsidRPr="00633F16" w:rsidRDefault="000B433A" w:rsidP="001B472E">
      <w:pPr>
        <w:pStyle w:val="Titre3"/>
        <w:numPr>
          <w:ilvl w:val="2"/>
          <w:numId w:val="1"/>
        </w:numPr>
        <w:ind w:left="851" w:hanging="851"/>
        <w:rPr>
          <w:rFonts w:ascii="Calibri" w:hAnsi="Calibri" w:cs="Calibri"/>
          <w:color w:val="1F497D"/>
          <w:szCs w:val="24"/>
          <w:lang w:val="de-DE"/>
        </w:rPr>
      </w:pPr>
      <w:r>
        <w:rPr>
          <w:rFonts w:ascii="Calibri" w:hAnsi="Calibri" w:cs="Calibri"/>
          <w:color w:val="1F497D"/>
          <w:lang w:val="de-DE"/>
        </w:rPr>
        <w:t>Förderung der erneuerbaren Wärme</w:t>
      </w:r>
    </w:p>
    <w:p w:rsidR="000B433A" w:rsidRPr="007E6AD4" w:rsidRDefault="000B433A" w:rsidP="00B540A9">
      <w:pPr>
        <w:rPr>
          <w:rFonts w:cs="Calibri"/>
          <w:szCs w:val="24"/>
          <w:lang w:val="de-DE"/>
        </w:rPr>
      </w:pPr>
      <w:r>
        <w:rPr>
          <w:rFonts w:cs="Calibri"/>
          <w:lang w:val="de-DE"/>
        </w:rPr>
        <w:t>Mehrere Maßnahmen sind erforderlich, um den Einsatz von erneuerbarer Wärme und Kälte zu kontrollieren:</w:t>
      </w:r>
    </w:p>
    <w:p w:rsidR="000B433A" w:rsidRPr="007E6AD4" w:rsidRDefault="000B433A" w:rsidP="00E15C2C">
      <w:pPr>
        <w:pStyle w:val="Paragraphedeliste"/>
        <w:numPr>
          <w:ilvl w:val="0"/>
          <w:numId w:val="8"/>
        </w:numPr>
        <w:rPr>
          <w:rFonts w:cs="Calibri"/>
          <w:szCs w:val="24"/>
          <w:lang w:val="de-DE"/>
        </w:rPr>
      </w:pPr>
      <w:r>
        <w:rPr>
          <w:rFonts w:cs="Calibri"/>
          <w:lang w:val="de-DE"/>
        </w:rPr>
        <w:t>Umsetzung eines Plans für den Übergang zu erneuerbarer Wärme, der eine Liste technologischer Alternativen für mehrere Anwendungen festlegt, insbesondere für den Ersatz der Ölheizung (Wärmepumpen, thermische Solarenergie, Wärmenetz, Geothermie, Pellets/Schnitzel, Biogas, Kleingasnetz...);</w:t>
      </w:r>
    </w:p>
    <w:p w:rsidR="000B433A" w:rsidRPr="007E6AD4" w:rsidRDefault="000B433A" w:rsidP="00E15C2C">
      <w:pPr>
        <w:pStyle w:val="Paragraphedeliste"/>
        <w:numPr>
          <w:ilvl w:val="0"/>
          <w:numId w:val="8"/>
        </w:numPr>
        <w:rPr>
          <w:rFonts w:cs="Calibri"/>
          <w:szCs w:val="24"/>
          <w:lang w:val="de-DE"/>
        </w:rPr>
      </w:pPr>
      <w:r>
        <w:rPr>
          <w:rFonts w:cs="Calibri"/>
          <w:lang w:val="de-DE"/>
        </w:rPr>
        <w:t>Einrichtung eines strukturellen Fördermechanismus (erneuerbare Wärme wird derzeit verstreut und unkoordiniert gefördert);</w:t>
      </w:r>
    </w:p>
    <w:p w:rsidR="000B433A" w:rsidRPr="007E6AD4" w:rsidRDefault="000B433A" w:rsidP="00E15C2C">
      <w:pPr>
        <w:pStyle w:val="Paragraphedeliste"/>
        <w:numPr>
          <w:ilvl w:val="0"/>
          <w:numId w:val="8"/>
        </w:numPr>
        <w:rPr>
          <w:rFonts w:cs="Calibri"/>
          <w:szCs w:val="24"/>
          <w:lang w:val="de-DE"/>
        </w:rPr>
      </w:pPr>
      <w:r>
        <w:rPr>
          <w:rFonts w:cs="Calibri"/>
          <w:lang w:val="de-DE"/>
        </w:rPr>
        <w:t>Im Wohnungssektor siehe Baumaßnahmen;</w:t>
      </w:r>
    </w:p>
    <w:p w:rsidR="000B433A" w:rsidRPr="007E6AD4" w:rsidRDefault="000B433A" w:rsidP="00E15C2C">
      <w:pPr>
        <w:pStyle w:val="Paragraphedeliste"/>
        <w:numPr>
          <w:ilvl w:val="0"/>
          <w:numId w:val="8"/>
        </w:numPr>
        <w:rPr>
          <w:rFonts w:cs="Calibri"/>
          <w:szCs w:val="24"/>
          <w:lang w:val="de-DE"/>
        </w:rPr>
      </w:pPr>
      <w:r>
        <w:rPr>
          <w:rFonts w:cs="Calibri"/>
          <w:lang w:val="de-DE"/>
        </w:rPr>
        <w:t>Beseitigung aller Formen der Förderung für fossil befeuerte Heizkessel;</w:t>
      </w:r>
    </w:p>
    <w:p w:rsidR="000B433A" w:rsidRPr="007E6AD4" w:rsidRDefault="000B433A" w:rsidP="00E15C2C">
      <w:pPr>
        <w:pStyle w:val="Paragraphedeliste"/>
        <w:numPr>
          <w:ilvl w:val="0"/>
          <w:numId w:val="8"/>
        </w:numPr>
        <w:rPr>
          <w:rFonts w:cs="Calibri"/>
          <w:szCs w:val="24"/>
          <w:lang w:val="de-DE"/>
        </w:rPr>
      </w:pPr>
      <w:r>
        <w:rPr>
          <w:rFonts w:cs="Calibri"/>
          <w:lang w:val="de-DE"/>
        </w:rPr>
        <w:t>Umsetzung einer staatlichen Garantie für ausgereifte, aber risikoreiche Technologien (hauptsächlich Geothermie) mit einem Retrozessionsmechanismus im Falle eines höher als erwarteten Aufkommens;</w:t>
      </w:r>
    </w:p>
    <w:p w:rsidR="000B433A" w:rsidRPr="007E6AD4" w:rsidRDefault="000B433A" w:rsidP="00E15C2C">
      <w:pPr>
        <w:pStyle w:val="Paragraphedeliste"/>
        <w:numPr>
          <w:ilvl w:val="0"/>
          <w:numId w:val="8"/>
        </w:numPr>
        <w:rPr>
          <w:rFonts w:cs="Calibri"/>
          <w:szCs w:val="24"/>
          <w:lang w:val="de-DE"/>
        </w:rPr>
      </w:pPr>
      <w:r>
        <w:rPr>
          <w:rFonts w:cs="Calibri"/>
          <w:lang w:val="de-DE"/>
        </w:rPr>
        <w:t>Austauschprogramm für bestehende Kamine und Öfen</w:t>
      </w:r>
    </w:p>
    <w:p w:rsidR="000B433A" w:rsidRPr="000D6838" w:rsidRDefault="000B433A" w:rsidP="00250B8C">
      <w:pPr>
        <w:pStyle w:val="Titre3"/>
        <w:rPr>
          <w:rStyle w:val="Emphaseple"/>
          <w:color w:val="4F81BD"/>
          <w:lang w:val="de-DE"/>
        </w:rPr>
      </w:pPr>
      <w:r>
        <w:rPr>
          <w:rStyle w:val="Emphaseple"/>
          <w:iCs/>
          <w:color w:val="4F81BD"/>
          <w:lang w:val="de-DE"/>
        </w:rPr>
        <w:t>Maßnahmen zur Förderung grüner Wärme</w:t>
      </w:r>
    </w:p>
    <w:p w:rsidR="000B433A" w:rsidRPr="000D6838" w:rsidRDefault="000B433A" w:rsidP="00B540A9">
      <w:pPr>
        <w:rPr>
          <w:rStyle w:val="Emphaseintense"/>
          <w:rFonts w:cs="Calibri"/>
          <w:i w:val="0"/>
          <w:iCs w:val="0"/>
          <w:color w:val="auto"/>
          <w:szCs w:val="24"/>
          <w:u w:val="single"/>
          <w:lang w:val="de-DE"/>
        </w:rPr>
      </w:pPr>
      <w:r>
        <w:rPr>
          <w:rStyle w:val="Emphaseintense"/>
          <w:rFonts w:cs="Calibri"/>
          <w:color w:val="auto"/>
          <w:u w:val="single"/>
          <w:lang w:val="de-DE"/>
        </w:rPr>
        <w:t>Vorrichtung für Großanlagen</w:t>
      </w:r>
    </w:p>
    <w:p w:rsidR="000B433A" w:rsidRPr="000D6838" w:rsidRDefault="000B433A" w:rsidP="00B540A9">
      <w:pPr>
        <w:autoSpaceDE w:val="0"/>
        <w:autoSpaceDN w:val="0"/>
        <w:adjustRightInd w:val="0"/>
        <w:spacing w:after="0"/>
        <w:rPr>
          <w:rFonts w:cs="Calibri"/>
          <w:szCs w:val="24"/>
          <w:lang w:val="de-DE"/>
        </w:rPr>
      </w:pPr>
      <w:r>
        <w:rPr>
          <w:rFonts w:cs="Calibri"/>
          <w:lang w:val="de-DE"/>
        </w:rPr>
        <w:t>Hauptziel der Förderung ist es, die Finanzierung von Anlagen zur Erzeugung von erneuerbarer Wärme, zwangsläufig anfallender Energie, Wärmenetzen oder dezentralem Gas, die an diese Anlagen angeschlossen sind, im Wohnungsbau- und Dienstleistungssektor sowie der Industrie zu unterstützen, damit diese Technologien im Vergleich zu Anlagen, die konventionelle Energie verwenden, wirtschaftlich wettbewerbsfähig sind.</w:t>
      </w:r>
    </w:p>
    <w:p w:rsidR="000B433A" w:rsidRDefault="000B433A">
      <w:pPr>
        <w:pStyle w:val="Titre5"/>
        <w:numPr>
          <w:ilvl w:val="0"/>
          <w:numId w:val="32"/>
        </w:numPr>
        <w:autoSpaceDE w:val="0"/>
        <w:autoSpaceDN w:val="0"/>
        <w:adjustRightInd w:val="0"/>
        <w:spacing w:line="276" w:lineRule="auto"/>
        <w:jc w:val="both"/>
        <w:rPr>
          <w:rFonts w:ascii="Calibri" w:hAnsi="Calibri" w:cs="Calibri"/>
          <w:bCs/>
          <w:color w:val="auto"/>
          <w:szCs w:val="24"/>
          <w:lang w:val="de-DE"/>
        </w:rPr>
      </w:pPr>
      <w:r>
        <w:rPr>
          <w:rStyle w:val="Accentuation"/>
          <w:rFonts w:ascii="Calibri" w:hAnsi="Calibri" w:cs="Calibri"/>
          <w:i w:val="0"/>
          <w:color w:val="auto"/>
          <w:lang w:val="de-DE"/>
        </w:rPr>
        <w:t xml:space="preserve">Förderfähigkeit: </w:t>
      </w:r>
      <w:r w:rsidRPr="00CB5387">
        <w:rPr>
          <w:rFonts w:ascii="Calibri" w:hAnsi="Calibri" w:cs="Calibri"/>
          <w:bCs/>
          <w:color w:val="auto"/>
          <w:szCs w:val="24"/>
          <w:lang w:val="de-DE"/>
        </w:rPr>
        <w:t>Die folgenden neuen Anlagen kommen für die Regelung in Betracht:</w:t>
      </w:r>
    </w:p>
    <w:p w:rsidR="000B433A" w:rsidRDefault="000B433A">
      <w:pPr>
        <w:pStyle w:val="Paragraphedeliste"/>
        <w:numPr>
          <w:ilvl w:val="0"/>
          <w:numId w:val="31"/>
        </w:numPr>
        <w:spacing w:before="120"/>
        <w:ind w:left="1077" w:hanging="357"/>
        <w:rPr>
          <w:rFonts w:cs="Calibri"/>
          <w:szCs w:val="24"/>
          <w:lang w:val="de-DE"/>
        </w:rPr>
      </w:pPr>
      <w:r>
        <w:rPr>
          <w:rFonts w:cs="Calibri"/>
          <w:lang w:val="de-DE"/>
        </w:rPr>
        <w:t>Große Biomasseanlagen von Unternehmen, einschließlich kompletter Systeme, die die Installation und Lieferung von Pellets integrieren;</w:t>
      </w:r>
    </w:p>
    <w:p w:rsidR="000B433A" w:rsidRDefault="000B433A">
      <w:pPr>
        <w:pStyle w:val="Paragraphedeliste"/>
        <w:numPr>
          <w:ilvl w:val="0"/>
          <w:numId w:val="31"/>
        </w:numPr>
        <w:spacing w:after="200"/>
        <w:rPr>
          <w:rFonts w:cs="Calibri"/>
          <w:szCs w:val="24"/>
          <w:lang w:val="de-DE"/>
        </w:rPr>
      </w:pPr>
      <w:r>
        <w:rPr>
          <w:rFonts w:cs="Calibri"/>
          <w:lang w:val="de-DE"/>
        </w:rPr>
        <w:t>Kollektivanlagen zur Nutzung erneuerbarer und Rückgewinnungsenergie: Biomasse (einschließlich Biogas), thermische Solarenergie, Geothermie;</w:t>
      </w:r>
    </w:p>
    <w:p w:rsidR="000B433A" w:rsidRDefault="000B433A">
      <w:pPr>
        <w:pStyle w:val="Paragraphedeliste"/>
        <w:numPr>
          <w:ilvl w:val="0"/>
          <w:numId w:val="31"/>
        </w:numPr>
        <w:autoSpaceDE w:val="0"/>
        <w:autoSpaceDN w:val="0"/>
        <w:adjustRightInd w:val="0"/>
        <w:spacing w:after="0"/>
        <w:rPr>
          <w:rFonts w:cs="Calibri"/>
          <w:szCs w:val="24"/>
          <w:lang w:val="de-DE"/>
        </w:rPr>
      </w:pPr>
      <w:r>
        <w:rPr>
          <w:rFonts w:cs="Calibri"/>
          <w:lang w:val="de-DE"/>
        </w:rPr>
        <w:t xml:space="preserve">Rückgewinnungswärme (Abwärme aus industriellen Prozessen); </w:t>
      </w:r>
    </w:p>
    <w:p w:rsidR="000B433A" w:rsidRDefault="000B433A">
      <w:pPr>
        <w:pStyle w:val="Paragraphedeliste"/>
        <w:numPr>
          <w:ilvl w:val="0"/>
          <w:numId w:val="31"/>
        </w:numPr>
        <w:autoSpaceDE w:val="0"/>
        <w:autoSpaceDN w:val="0"/>
        <w:adjustRightInd w:val="0"/>
        <w:spacing w:after="0"/>
        <w:rPr>
          <w:rFonts w:cs="Calibri"/>
          <w:szCs w:val="24"/>
          <w:lang w:val="de-DE"/>
        </w:rPr>
      </w:pPr>
      <w:r>
        <w:rPr>
          <w:rFonts w:cs="Calibri"/>
          <w:lang w:val="de-DE"/>
        </w:rPr>
        <w:t>die Wärmenetze, die den Transport dieser erneuerbaren Energien ermöglichen. In diesem Fall ist die Beihilfe streng davon abhängig, dass das Netz insgesamt mit mindestens 50 % EE versorgt wird, um den Wert der EE zu maximieren;</w:t>
      </w:r>
    </w:p>
    <w:p w:rsidR="000B433A" w:rsidRPr="001B472E" w:rsidRDefault="000B433A" w:rsidP="006F2649">
      <w:pPr>
        <w:pStyle w:val="Paragraphedeliste"/>
        <w:autoSpaceDE w:val="0"/>
        <w:autoSpaceDN w:val="0"/>
        <w:adjustRightInd w:val="0"/>
        <w:spacing w:after="0"/>
        <w:ind w:left="1080"/>
        <w:rPr>
          <w:rFonts w:cs="Calibri"/>
          <w:szCs w:val="24"/>
          <w:lang w:val="de-DE"/>
        </w:rPr>
      </w:pPr>
    </w:p>
    <w:p w:rsidR="000B433A" w:rsidRDefault="000B433A" w:rsidP="00481BA1">
      <w:pPr>
        <w:autoSpaceDE w:val="0"/>
        <w:autoSpaceDN w:val="0"/>
        <w:adjustRightInd w:val="0"/>
        <w:spacing w:after="0"/>
        <w:ind w:left="708"/>
        <w:rPr>
          <w:rFonts w:cs="Calibri"/>
          <w:szCs w:val="24"/>
          <w:lang w:val="de-DE"/>
        </w:rPr>
      </w:pPr>
      <w:r>
        <w:rPr>
          <w:rFonts w:cs="Calibri"/>
          <w:lang w:val="de-DE"/>
        </w:rPr>
        <w:t>Nicht förderfähig sind: die Erneuerung von EE-Anlagen und Wärmenetzen (außer im Falle einer zusätzlichen Produktion von EE; in diesem Fall wird die Beihilfe auf Grundlage dieser zusätzlichen Produktion berechnet).</w:t>
      </w:r>
    </w:p>
    <w:p w:rsidR="000B433A" w:rsidRDefault="000B433A" w:rsidP="00481BA1">
      <w:pPr>
        <w:autoSpaceDE w:val="0"/>
        <w:autoSpaceDN w:val="0"/>
        <w:adjustRightInd w:val="0"/>
        <w:spacing w:after="0"/>
        <w:ind w:left="708"/>
        <w:rPr>
          <w:rFonts w:cs="Calibri"/>
          <w:szCs w:val="24"/>
          <w:lang w:val="de-DE"/>
        </w:rPr>
      </w:pPr>
    </w:p>
    <w:p w:rsidR="000B433A" w:rsidRDefault="000B433A">
      <w:pPr>
        <w:pStyle w:val="Paragraphedeliste"/>
        <w:numPr>
          <w:ilvl w:val="0"/>
          <w:numId w:val="32"/>
        </w:numPr>
        <w:autoSpaceDE w:val="0"/>
        <w:autoSpaceDN w:val="0"/>
        <w:adjustRightInd w:val="0"/>
        <w:spacing w:after="0"/>
        <w:rPr>
          <w:rStyle w:val="Accentuation"/>
          <w:rFonts w:cs="Calibri"/>
          <w:i w:val="0"/>
          <w:iCs w:val="0"/>
          <w:szCs w:val="24"/>
          <w:lang w:val="de-DE"/>
        </w:rPr>
      </w:pPr>
      <w:r>
        <w:rPr>
          <w:rStyle w:val="Accentuation"/>
          <w:rFonts w:cs="Calibri"/>
          <w:i w:val="0"/>
          <w:lang w:val="de-DE"/>
        </w:rPr>
        <w:t>Modalitäten der Gewährung von Beihilfen: Die Unterstützung wird in Form von Investitionsbeihilfen oder eines rückforderbaren Vorschusses gewährt, wenn dies für die Durchführung von Projekten sinnvoll ist. Die effizientesten Projekte unter technischen, wirtschaftlichen und ökologischen Aspekten werden im Rahmen von Aufforderungen zur Einreichung von Vorschlägen ausgewählt, die insbesondere eine Vorstudie des Projekts berücksichtigen.</w:t>
      </w:r>
    </w:p>
    <w:p w:rsidR="000B433A" w:rsidRPr="00481BA1" w:rsidRDefault="000B433A" w:rsidP="00481BA1">
      <w:pPr>
        <w:pStyle w:val="Paragraphedeliste"/>
        <w:autoSpaceDE w:val="0"/>
        <w:autoSpaceDN w:val="0"/>
        <w:adjustRightInd w:val="0"/>
        <w:spacing w:after="0"/>
        <w:rPr>
          <w:rStyle w:val="Accentuation"/>
          <w:rFonts w:cs="Calibri"/>
          <w:i w:val="0"/>
          <w:iCs w:val="0"/>
          <w:szCs w:val="24"/>
          <w:lang w:val="de-DE"/>
        </w:rPr>
      </w:pPr>
    </w:p>
    <w:p w:rsidR="000B433A" w:rsidRDefault="000B433A">
      <w:pPr>
        <w:pStyle w:val="Paragraphedeliste"/>
        <w:numPr>
          <w:ilvl w:val="0"/>
          <w:numId w:val="32"/>
        </w:numPr>
        <w:autoSpaceDE w:val="0"/>
        <w:autoSpaceDN w:val="0"/>
        <w:adjustRightInd w:val="0"/>
        <w:spacing w:after="0"/>
        <w:rPr>
          <w:rFonts w:cs="Calibri"/>
          <w:szCs w:val="24"/>
          <w:lang w:val="de-DE"/>
        </w:rPr>
      </w:pPr>
      <w:r>
        <w:rPr>
          <w:rStyle w:val="Accentuation"/>
          <w:rFonts w:cs="Calibri"/>
          <w:i w:val="0"/>
          <w:lang w:val="de-DE"/>
        </w:rPr>
        <w:t>Überwachung von Anlagen</w:t>
      </w:r>
      <w:r w:rsidRPr="00481BA1">
        <w:rPr>
          <w:rFonts w:cs="Calibri"/>
          <w:szCs w:val="24"/>
          <w:lang w:val="de-DE"/>
        </w:rPr>
        <w:t>: Um die Wirksamkeit der Beihilfen zu überwachen und die Berichterstattung über die Energieerzeugung aus erneuerbaren Quellen an den Staat und die Europäische Kommission sicherzustellen, ist ein System zur Messung der tatsächlich erzeugten und genutzten erneuerbaren Wärme erforderlich.</w:t>
      </w:r>
    </w:p>
    <w:p w:rsidR="000B433A" w:rsidRDefault="000B433A">
      <w:pPr>
        <w:pStyle w:val="Titre5"/>
        <w:numPr>
          <w:ilvl w:val="0"/>
          <w:numId w:val="32"/>
        </w:numPr>
        <w:spacing w:line="276" w:lineRule="auto"/>
        <w:jc w:val="both"/>
        <w:rPr>
          <w:rFonts w:ascii="Calibri" w:hAnsi="Calibri" w:cs="Calibri"/>
          <w:color w:val="auto"/>
          <w:szCs w:val="24"/>
          <w:lang w:val="de-DE"/>
        </w:rPr>
      </w:pPr>
      <w:r>
        <w:rPr>
          <w:rStyle w:val="Accentuation"/>
          <w:rFonts w:ascii="Calibri" w:hAnsi="Calibri" w:cs="Calibri"/>
          <w:i w:val="0"/>
          <w:color w:val="auto"/>
          <w:lang w:val="de-DE"/>
        </w:rPr>
        <w:t xml:space="preserve">Sonderfall: Geothermie, </w:t>
      </w:r>
      <w:r w:rsidRPr="00CB5387">
        <w:rPr>
          <w:rFonts w:ascii="Calibri" w:hAnsi="Calibri" w:cs="Calibri"/>
          <w:color w:val="auto"/>
          <w:szCs w:val="24"/>
          <w:lang w:val="de-DE"/>
        </w:rPr>
        <w:t xml:space="preserve">um die Hindernisse für die Entwicklung der Tiefengeothermie in der Wallonie zu beseitigen, wird derzeit ein Rechtsrahmen entwickelt. Dieser Rahmen sollte es ermöglichen, die Entwicklung dieser Art von Projekten besser zu überwachen. Um das Risiko des Projektleiters zu minimieren, plant die Wallonie die Einrichtung eines Versicherungsfonds in Form einer staatlichen Garantie. Diese Garantie kann das explorative Risiko und/oder das operationelle Risiko abdecken. </w:t>
      </w:r>
    </w:p>
    <w:p w:rsidR="000B433A" w:rsidRDefault="000B433A" w:rsidP="00B540A9">
      <w:pPr>
        <w:rPr>
          <w:rStyle w:val="Emphaseintense"/>
          <w:rFonts w:cs="Calibri"/>
          <w:color w:val="auto"/>
          <w:szCs w:val="24"/>
          <w:u w:val="single"/>
          <w:lang w:val="de-DE"/>
        </w:rPr>
      </w:pPr>
    </w:p>
    <w:p w:rsidR="000B433A" w:rsidRPr="000D6838" w:rsidRDefault="000B433A" w:rsidP="00B540A9">
      <w:pPr>
        <w:rPr>
          <w:rStyle w:val="Emphaseintense"/>
          <w:rFonts w:cs="Calibri"/>
          <w:b w:val="0"/>
          <w:bCs w:val="0"/>
          <w:i w:val="0"/>
          <w:iCs w:val="0"/>
          <w:color w:val="auto"/>
          <w:szCs w:val="24"/>
          <w:u w:val="single"/>
          <w:lang w:val="de-DE"/>
        </w:rPr>
      </w:pPr>
      <w:r>
        <w:rPr>
          <w:rStyle w:val="Emphaseintense"/>
          <w:rFonts w:cs="Calibri"/>
          <w:color w:val="auto"/>
          <w:u w:val="single"/>
          <w:lang w:val="de-DE"/>
        </w:rPr>
        <w:t>Vorrichtung für Kleinanlagen</w:t>
      </w:r>
    </w:p>
    <w:p w:rsidR="000B433A" w:rsidRPr="00F820B8" w:rsidRDefault="000B433A" w:rsidP="00B540A9">
      <w:pPr>
        <w:rPr>
          <w:rFonts w:cs="Calibri"/>
          <w:szCs w:val="24"/>
          <w:lang w:val="de-DE"/>
        </w:rPr>
      </w:pPr>
      <w:r>
        <w:rPr>
          <w:rFonts w:cs="Calibri"/>
          <w:lang w:val="de-DE"/>
        </w:rPr>
        <w:t xml:space="preserve">Der Mechanismus wird auch den Einsatz von Anlagen mit geringer Leistung im privaten und öffentlichen Dienstleistungssektor durch die Gewährung von Investitionszulagen unterstützen. </w:t>
      </w:r>
    </w:p>
    <w:p w:rsidR="000B433A" w:rsidRPr="00F820B8" w:rsidRDefault="000B433A" w:rsidP="00B540A9">
      <w:pPr>
        <w:rPr>
          <w:rFonts w:cs="Calibri"/>
          <w:szCs w:val="24"/>
          <w:lang w:val="de-DE"/>
        </w:rPr>
      </w:pPr>
      <w:r>
        <w:rPr>
          <w:rFonts w:cs="Calibri"/>
          <w:lang w:val="de-DE"/>
        </w:rPr>
        <w:t xml:space="preserve">Für Privatpersonen ist es sinnvoll, ein speziell auf Haushaltskunden ausgerichtetes Prämienprogramm beizubehalten, um sie zu ermutigen, sich mit Wärmepumpen oder Solarthermiemodulen auszustatten, möglicherweise in Verbindung mit Wärmespeichern. Die Höhe der Prämie wird auf der Grundlage der zusätzlichen Produktionskosten im Vergleich zu einer Referenzsituation festgelegt. </w:t>
      </w:r>
    </w:p>
    <w:p w:rsidR="000B433A" w:rsidRPr="00F820B8" w:rsidRDefault="000B433A" w:rsidP="00B540A9">
      <w:pPr>
        <w:rPr>
          <w:rFonts w:cs="Calibri"/>
          <w:szCs w:val="24"/>
          <w:lang w:val="de-DE"/>
        </w:rPr>
      </w:pPr>
      <w:r>
        <w:rPr>
          <w:rFonts w:cs="Calibri"/>
          <w:lang w:val="de-DE"/>
        </w:rPr>
        <w:t>Vorgesehen ist auch die Einführung von Maßnahmen zur Förderung der Erneuerung individueller Biomasseheizsysteme oder Holzöfen durch Pelletöfen, beispielsweise durch ein Prämiensystem für Ersatz und Verrohrung. Eine Unterscheidung sollte für Prämien für prekarisierte Personengruppen getroffen werden. Für die effizientesten Geräte wird eine zusätzliche Prämie gewährt.</w:t>
      </w:r>
    </w:p>
    <w:p w:rsidR="000B433A" w:rsidRPr="00F820B8" w:rsidRDefault="000B433A" w:rsidP="00B540A9">
      <w:pPr>
        <w:rPr>
          <w:rFonts w:cs="Calibri"/>
          <w:szCs w:val="24"/>
          <w:lang w:val="de-DE"/>
        </w:rPr>
      </w:pPr>
      <w:r>
        <w:rPr>
          <w:rStyle w:val="Accentuation"/>
          <w:rFonts w:cs="Calibri"/>
          <w:i w:val="0"/>
          <w:lang w:val="de-DE"/>
        </w:rPr>
        <w:t>Im öffentlichen Dienstleistungssektor ist es sinnvoll,</w:t>
      </w:r>
      <w:r w:rsidRPr="00F820B8">
        <w:rPr>
          <w:rFonts w:cs="Calibri"/>
          <w:szCs w:val="24"/>
          <w:lang w:val="de-DE"/>
        </w:rPr>
        <w:t xml:space="preserve"> die Installation von erneuerbaren Systemen in öffentlichen Gebäuden zu fördern, um deren exemplarischen Charakter zu unterstreichen.</w:t>
      </w:r>
    </w:p>
    <w:p w:rsidR="000B433A" w:rsidRPr="000D6838" w:rsidRDefault="000B433A" w:rsidP="0075235D">
      <w:pPr>
        <w:pStyle w:val="Titre3"/>
        <w:rPr>
          <w:rStyle w:val="Emphaseple"/>
          <w:rFonts w:ascii="Calibri" w:hAnsi="Calibri" w:cs="Calibri"/>
          <w:color w:val="4F81BD"/>
          <w:lang w:val="de-DE"/>
        </w:rPr>
      </w:pPr>
      <w:r>
        <w:rPr>
          <w:rStyle w:val="Emphaseple"/>
          <w:rFonts w:ascii="Calibri" w:hAnsi="Calibri" w:cs="Calibri"/>
          <w:iCs/>
          <w:color w:val="4F81BD"/>
          <w:lang w:val="de-DE"/>
        </w:rPr>
        <w:t>Verwaltungsmaßnahmen</w:t>
      </w:r>
    </w:p>
    <w:p w:rsidR="000B433A" w:rsidRDefault="000B433A">
      <w:pPr>
        <w:pStyle w:val="Titre4"/>
        <w:numPr>
          <w:ilvl w:val="0"/>
          <w:numId w:val="33"/>
        </w:numPr>
        <w:spacing w:after="0"/>
        <w:ind w:left="851" w:hanging="851"/>
        <w:rPr>
          <w:rFonts w:ascii="Calibri" w:hAnsi="Calibri" w:cs="Calibri"/>
          <w:szCs w:val="24"/>
          <w:lang w:val="de-DE"/>
        </w:rPr>
      </w:pPr>
      <w:r>
        <w:rPr>
          <w:rFonts w:ascii="Calibri" w:hAnsi="Calibri" w:cs="Calibri"/>
          <w:lang w:val="de-DE"/>
        </w:rPr>
        <w:t>Übergreifende Maßnahmen</w:t>
      </w:r>
    </w:p>
    <w:p w:rsidR="000B433A" w:rsidRPr="000D6838" w:rsidRDefault="000B433A" w:rsidP="001B472E">
      <w:pPr>
        <w:spacing w:before="240"/>
        <w:rPr>
          <w:rStyle w:val="Emphaseple"/>
          <w:rFonts w:cs="Calibri"/>
          <w:i w:val="0"/>
          <w:color w:val="auto"/>
          <w:szCs w:val="24"/>
          <w:lang w:val="de-DE"/>
        </w:rPr>
      </w:pPr>
      <w:r>
        <w:rPr>
          <w:rStyle w:val="Emphaseple"/>
          <w:rFonts w:cs="Calibri"/>
          <w:iCs/>
          <w:color w:val="auto"/>
          <w:lang w:val="de-DE"/>
        </w:rPr>
        <w:t>Umsetzung eines integrierten Qualitätsansatzes</w:t>
      </w:r>
    </w:p>
    <w:p w:rsidR="000B433A" w:rsidRPr="000D6838" w:rsidRDefault="000B433A" w:rsidP="00B540A9">
      <w:pPr>
        <w:rPr>
          <w:rFonts w:cs="Calibri"/>
          <w:szCs w:val="24"/>
          <w:lang w:val="de-DE"/>
        </w:rPr>
      </w:pPr>
      <w:r>
        <w:rPr>
          <w:rFonts w:cs="Calibri"/>
          <w:lang w:val="de-DE"/>
        </w:rPr>
        <w:t>Im Rahmen der Umsetzung der EG-Richtlinie 2009/28 hat die Wallonische Region ein Zertifizierungssystem für Installateure von Systemen für erneuerbare Energien eingerichtet. Diese Zertifizierung wird nach einer Schulung der Installateure zur Verbesserung ihrer theoretischen und praktischen Kenntnisse erteilt.</w:t>
      </w:r>
    </w:p>
    <w:p w:rsidR="000B433A" w:rsidRPr="00F820B8" w:rsidRDefault="000B433A" w:rsidP="00B540A9">
      <w:pPr>
        <w:rPr>
          <w:rFonts w:cs="Calibri"/>
          <w:szCs w:val="24"/>
          <w:lang w:val="de-DE"/>
        </w:rPr>
      </w:pPr>
      <w:r>
        <w:rPr>
          <w:rFonts w:cs="Calibri"/>
          <w:lang w:val="de-DE"/>
        </w:rPr>
        <w:t xml:space="preserve">Sich der Bedeutung der Umsetzung bewusst, wollte die Region im Qualitätsprozess weitergehen und ein Qualitätssiegel für Unternehmen entwickeln. </w:t>
      </w:r>
    </w:p>
    <w:p w:rsidR="000B433A" w:rsidRPr="00F820B8" w:rsidRDefault="000B433A" w:rsidP="00B540A9">
      <w:pPr>
        <w:rPr>
          <w:rFonts w:cs="Calibri"/>
          <w:szCs w:val="24"/>
          <w:lang w:val="de-DE"/>
        </w:rPr>
      </w:pPr>
      <w:r>
        <w:rPr>
          <w:rFonts w:cs="Calibri"/>
          <w:lang w:val="de-DE"/>
        </w:rPr>
        <w:t xml:space="preserve">Die Ziele dieses Prozesses sind vielfältig: </w:t>
      </w:r>
    </w:p>
    <w:p w:rsidR="000B433A" w:rsidRDefault="000B433A">
      <w:pPr>
        <w:pStyle w:val="Paragraphedeliste"/>
        <w:numPr>
          <w:ilvl w:val="0"/>
          <w:numId w:val="30"/>
        </w:numPr>
        <w:spacing w:before="120"/>
        <w:rPr>
          <w:rFonts w:cs="Calibri"/>
          <w:szCs w:val="24"/>
          <w:lang w:val="de-DE"/>
        </w:rPr>
      </w:pPr>
      <w:r>
        <w:rPr>
          <w:rFonts w:cs="Calibri"/>
          <w:lang w:val="de-DE"/>
        </w:rPr>
        <w:t>Eine Dynamik im Zusammenhang mit dem Qualitätsansatz schaffen;</w:t>
      </w:r>
    </w:p>
    <w:p w:rsidR="000B433A" w:rsidRDefault="000B433A">
      <w:pPr>
        <w:pStyle w:val="Paragraphedeliste"/>
        <w:numPr>
          <w:ilvl w:val="0"/>
          <w:numId w:val="30"/>
        </w:numPr>
        <w:spacing w:before="120"/>
        <w:rPr>
          <w:rFonts w:cs="Calibri"/>
          <w:szCs w:val="24"/>
          <w:lang w:val="de-DE"/>
        </w:rPr>
      </w:pPr>
      <w:r>
        <w:rPr>
          <w:rFonts w:cs="Calibri"/>
          <w:lang w:val="de-DE"/>
        </w:rPr>
        <w:t>Die Öffentlichkeit für die Verwendung hochwertiger Materialien sensibilisieren;</w:t>
      </w:r>
    </w:p>
    <w:p w:rsidR="000B433A" w:rsidRDefault="000B433A">
      <w:pPr>
        <w:pStyle w:val="Paragraphedeliste"/>
        <w:numPr>
          <w:ilvl w:val="0"/>
          <w:numId w:val="30"/>
        </w:numPr>
        <w:spacing w:before="120"/>
        <w:rPr>
          <w:rFonts w:cs="Calibri"/>
          <w:szCs w:val="24"/>
          <w:lang w:val="de-DE"/>
        </w:rPr>
      </w:pPr>
      <w:r>
        <w:rPr>
          <w:rFonts w:cs="Calibri"/>
          <w:lang w:val="de-DE"/>
        </w:rPr>
        <w:t xml:space="preserve">Einen Mechanismus vorschlagen, durch den der Bürger, der in erneuerbare Energien investiert, Qualitätsgarantien erhält; </w:t>
      </w:r>
    </w:p>
    <w:p w:rsidR="000B433A" w:rsidRDefault="000B433A">
      <w:pPr>
        <w:pStyle w:val="Paragraphedeliste"/>
        <w:numPr>
          <w:ilvl w:val="0"/>
          <w:numId w:val="30"/>
        </w:numPr>
        <w:spacing w:before="120"/>
        <w:rPr>
          <w:rFonts w:cs="Calibri"/>
          <w:szCs w:val="24"/>
          <w:lang w:val="de-DE"/>
        </w:rPr>
      </w:pPr>
      <w:r>
        <w:rPr>
          <w:rFonts w:cs="Calibri"/>
          <w:lang w:val="de-DE"/>
        </w:rPr>
        <w:t xml:space="preserve">Jene Unternehmen unterstützen, die an einem „Qualitätsprozess“ beteiligt sind, in dem deren Sichtbarkeit erhöht wird. </w:t>
      </w:r>
    </w:p>
    <w:p w:rsidR="000B433A" w:rsidRDefault="000B433A" w:rsidP="00B540A9">
      <w:pPr>
        <w:rPr>
          <w:rFonts w:cs="Calibri"/>
          <w:szCs w:val="24"/>
          <w:lang w:val="de-DE"/>
        </w:rPr>
      </w:pPr>
      <w:r>
        <w:rPr>
          <w:rFonts w:cs="Calibri"/>
          <w:lang w:val="de-DE"/>
        </w:rPr>
        <w:t xml:space="preserve">Dieser Ansatz muss nachhaltig gestaltet werden. Derzeit ist die Gewährung von Prämien an die Zertifizierung und Kennzeichnung gebunden. Diese Verbindung sollte im Rahmen der künftigen Beihilferegelung beibehalten werden. </w:t>
      </w:r>
    </w:p>
    <w:p w:rsidR="000B433A" w:rsidRPr="00F820B8" w:rsidRDefault="000B433A" w:rsidP="001B472E">
      <w:pPr>
        <w:spacing w:after="0"/>
        <w:rPr>
          <w:rFonts w:cs="Calibri"/>
          <w:szCs w:val="24"/>
          <w:lang w:val="de-DE"/>
        </w:rPr>
      </w:pPr>
    </w:p>
    <w:p w:rsidR="000B433A" w:rsidRDefault="000B433A">
      <w:pPr>
        <w:pStyle w:val="Paragraphedeliste"/>
        <w:numPr>
          <w:ilvl w:val="0"/>
          <w:numId w:val="33"/>
        </w:numPr>
        <w:ind w:left="851" w:hanging="851"/>
        <w:rPr>
          <w:rStyle w:val="Emphaseple"/>
          <w:rFonts w:cs="Calibri"/>
          <w:i w:val="0"/>
          <w:color w:val="4F81BD"/>
          <w:szCs w:val="24"/>
          <w:lang w:val="de-DE"/>
        </w:rPr>
      </w:pPr>
      <w:r>
        <w:rPr>
          <w:rStyle w:val="Emphaseple"/>
          <w:rFonts w:cs="Calibri"/>
          <w:iCs/>
          <w:color w:val="4F81BD"/>
          <w:lang w:val="de-DE"/>
        </w:rPr>
        <w:t>Leitlinien für die Nutzung von Biomasse</w:t>
      </w:r>
    </w:p>
    <w:p w:rsidR="000B433A" w:rsidRPr="000D6838" w:rsidRDefault="000B433A" w:rsidP="00B540A9">
      <w:pPr>
        <w:rPr>
          <w:rFonts w:cs="Calibri"/>
          <w:szCs w:val="24"/>
          <w:lang w:val="de-DE"/>
        </w:rPr>
      </w:pPr>
      <w:r>
        <w:rPr>
          <w:rFonts w:cs="Calibri"/>
          <w:lang w:val="de-DE"/>
        </w:rPr>
        <w:t xml:space="preserve">Im April 2016 legte eine Arbeitsgruppe (Transversaler Ausschuss Biomasse), die sich aus Interessengruppen verschiedener Verwaltungen zusammensetzt, nach Konsultation der Interessengruppen der wallonischen Regierung einen Bericht über die Empfehlungen für die Entwicklung einer wallonischen „Biomasse-Energie-Strategie“ vor. </w:t>
      </w:r>
    </w:p>
    <w:p w:rsidR="000B433A" w:rsidRPr="000D6838" w:rsidRDefault="000B433A" w:rsidP="00B540A9">
      <w:pPr>
        <w:rPr>
          <w:rFonts w:cs="Calibri"/>
          <w:bCs/>
          <w:szCs w:val="24"/>
          <w:lang w:val="de-DE"/>
        </w:rPr>
      </w:pPr>
      <w:r>
        <w:rPr>
          <w:rFonts w:cs="Calibri"/>
          <w:lang w:val="de-DE"/>
        </w:rPr>
        <w:t xml:space="preserve">Die Strategie „Biomasse-Energie“ ist Teil der Bioökonomie, die alle Nutzungen von Biomasse betrifft. Diese Ziele können durch den Beitrag der einzelnen Teilsektoren unter Berücksichtigung der wichtigsten Techniken der Energierückgewinnung von Biomasse und ihrer verschiedenen Kategorien erreicht werden. Den Rückgewinnungsverfahren, die die beste Umwelt- und Energiebilanz bieten, wird Vorrang eingeräumt und sie werden gefördert. Die Nutzung von Biomasse in Energieform wird im Einklang mit den Arbeiten der Regierung stehen und dabei folgende Kernfragen berücksichtigen: Nachhaltigkeit, Nutzungskonflikte, Integration in den Fahrplan der Bio-Wirtschaft und Achtung der Kohärenz zwischen den Vektoren. </w:t>
      </w:r>
    </w:p>
    <w:p w:rsidR="000B433A" w:rsidRDefault="000B433A" w:rsidP="00B540A9">
      <w:pPr>
        <w:rPr>
          <w:rFonts w:cs="Calibri"/>
          <w:bCs/>
          <w:szCs w:val="24"/>
          <w:lang w:val="de-DE"/>
        </w:rPr>
      </w:pPr>
      <w:r>
        <w:rPr>
          <w:rFonts w:cs="Calibri"/>
          <w:lang w:val="de-DE"/>
        </w:rPr>
        <w:t>In diesem Sinne möchte die wallonische Regierung einen Rahmen für die Nutzung von Biomasse (alle Quellen kombiniert) für Energiezwecke beschließen.</w:t>
      </w:r>
    </w:p>
    <w:p w:rsidR="000B433A" w:rsidRPr="000D6838" w:rsidRDefault="000B433A" w:rsidP="00B540A9">
      <w:pPr>
        <w:rPr>
          <w:rFonts w:cs="Calibri"/>
          <w:bCs/>
          <w:szCs w:val="24"/>
          <w:lang w:val="de-DE"/>
        </w:rPr>
      </w:pPr>
    </w:p>
    <w:p w:rsidR="000B433A" w:rsidRDefault="000B433A">
      <w:pPr>
        <w:pStyle w:val="Paragraphedeliste"/>
        <w:numPr>
          <w:ilvl w:val="0"/>
          <w:numId w:val="33"/>
        </w:numPr>
        <w:ind w:left="851" w:hanging="851"/>
        <w:rPr>
          <w:rFonts w:cs="Calibri"/>
          <w:i/>
          <w:color w:val="4F81BD"/>
          <w:u w:val="single"/>
          <w:lang w:val="de-DE"/>
        </w:rPr>
      </w:pPr>
      <w:r>
        <w:rPr>
          <w:rFonts w:cs="Calibri"/>
          <w:i/>
          <w:color w:val="4F81BD"/>
          <w:u w:val="single"/>
          <w:lang w:val="de-DE"/>
        </w:rPr>
        <w:t>Biomethanisierung</w:t>
      </w:r>
    </w:p>
    <w:p w:rsidR="000B433A" w:rsidRPr="00F820B8" w:rsidRDefault="000B433A" w:rsidP="00B540A9">
      <w:pPr>
        <w:rPr>
          <w:rFonts w:cs="Calibri"/>
          <w:szCs w:val="24"/>
          <w:lang w:val="de-DE"/>
        </w:rPr>
      </w:pPr>
      <w:r>
        <w:rPr>
          <w:rFonts w:cs="Calibri"/>
          <w:lang w:val="de-DE"/>
        </w:rPr>
        <w:t>Im Interesse der Nachhaltigkeit wird die Biomethanisierung von Nebenprodukten aus Pflanzen für nicht-energetische Zwecke oder auf der Grundlage der Behandlung von landwirtschaftlichen, Haushalts- oder Industrieabfällen bevorzugt. Der Studie über die Aufkommen zufolge scheint es insbesondere, dass diese „Bioabfälle“ in der Wallonie in ausreichender Menge vorhanden sind, um die gesetzten Ziele zu erreichen.</w:t>
      </w:r>
    </w:p>
    <w:p w:rsidR="000B433A" w:rsidRPr="00F820B8" w:rsidRDefault="000B433A" w:rsidP="00B540A9">
      <w:pPr>
        <w:rPr>
          <w:rFonts w:cs="Calibri"/>
          <w:szCs w:val="24"/>
          <w:lang w:val="de-DE"/>
        </w:rPr>
      </w:pPr>
      <w:r>
        <w:rPr>
          <w:rFonts w:cs="Calibri"/>
          <w:lang w:val="de-DE"/>
        </w:rPr>
        <w:t xml:space="preserve">Wenn Biomethanisierungsanlagen Energiekulturen zur Stabilisierung ihrer Produktion erfordern, müssen diese Kulturen von Maßnahmen im Sinne einer guten Praxis begleitet werden. </w:t>
      </w:r>
    </w:p>
    <w:p w:rsidR="000B433A" w:rsidRDefault="000B433A" w:rsidP="00B540A9">
      <w:pPr>
        <w:rPr>
          <w:rFonts w:cs="Calibri"/>
          <w:szCs w:val="24"/>
          <w:lang w:val="de-DE"/>
        </w:rPr>
      </w:pPr>
      <w:r>
        <w:rPr>
          <w:rFonts w:cs="Calibri"/>
          <w:lang w:val="de-DE"/>
        </w:rPr>
        <w:t>Es wird ein Rahmen für die Biomethanisierung in der Landwirtschaft geschaffen, einschließlich der Bewirtschaftung von Abfällen, der Behandlung von Gärgut, der Überwachung von Energiekulturen (sowohl Haupt- als auch Zwischenfruchtanbau), rechtliche Hindernisse usw.</w:t>
      </w:r>
    </w:p>
    <w:p w:rsidR="000B433A" w:rsidRPr="005F5D9D" w:rsidRDefault="000B433A" w:rsidP="00B540A9">
      <w:pPr>
        <w:rPr>
          <w:rFonts w:cs="Calibri"/>
          <w:sz w:val="22"/>
          <w:lang w:val="de-DE"/>
        </w:rPr>
      </w:pPr>
    </w:p>
    <w:p w:rsidR="000B433A" w:rsidRDefault="000B433A">
      <w:pPr>
        <w:pStyle w:val="Paragraphedeliste"/>
        <w:numPr>
          <w:ilvl w:val="0"/>
          <w:numId w:val="33"/>
        </w:numPr>
        <w:ind w:left="851" w:hanging="851"/>
        <w:rPr>
          <w:rFonts w:cs="Calibri"/>
          <w:i/>
          <w:color w:val="4F81BD"/>
          <w:u w:val="single"/>
          <w:lang w:val="de-DE"/>
        </w:rPr>
      </w:pPr>
      <w:r>
        <w:rPr>
          <w:rFonts w:cs="Calibri"/>
          <w:i/>
          <w:color w:val="4F81BD"/>
          <w:u w:val="single"/>
          <w:lang w:val="de-DE"/>
        </w:rPr>
        <w:t>Verwendung von Biogas</w:t>
      </w:r>
    </w:p>
    <w:p w:rsidR="000B433A" w:rsidRPr="00F820B8" w:rsidRDefault="000B433A" w:rsidP="00B540A9">
      <w:pPr>
        <w:rPr>
          <w:rFonts w:cs="Calibri"/>
          <w:szCs w:val="24"/>
          <w:lang w:val="de-DE"/>
        </w:rPr>
      </w:pPr>
      <w:r>
        <w:rPr>
          <w:rFonts w:cs="Calibri"/>
          <w:lang w:val="de-DE"/>
        </w:rPr>
        <w:t>Es wird ein Rahmen zur Förderung der Nutzung von Biogas als Biokraftstoff geschaffen.</w:t>
      </w:r>
    </w:p>
    <w:p w:rsidR="000B433A" w:rsidRPr="00F820B8" w:rsidRDefault="000B433A" w:rsidP="00B540A9">
      <w:pPr>
        <w:rPr>
          <w:rFonts w:cs="Calibri"/>
          <w:szCs w:val="24"/>
          <w:lang w:val="de-DE"/>
        </w:rPr>
      </w:pPr>
      <w:r>
        <w:rPr>
          <w:rFonts w:cs="Calibri"/>
          <w:lang w:val="de-DE"/>
        </w:rPr>
        <w:t>Zur Nutzung von Biogas zur Wärmeerzeugung:</w:t>
      </w:r>
    </w:p>
    <w:p w:rsidR="000B433A" w:rsidRDefault="000B433A">
      <w:pPr>
        <w:pStyle w:val="Paragraphedeliste"/>
        <w:numPr>
          <w:ilvl w:val="0"/>
          <w:numId w:val="27"/>
        </w:numPr>
        <w:spacing w:before="120"/>
        <w:rPr>
          <w:rFonts w:cs="Calibri"/>
          <w:szCs w:val="24"/>
          <w:lang w:val="de-DE"/>
        </w:rPr>
      </w:pPr>
      <w:r>
        <w:rPr>
          <w:rFonts w:cs="Calibri"/>
          <w:lang w:val="de-DE"/>
        </w:rPr>
        <w:t>die Einspeisung von Biomethan in das Erdgasnetz wird über den Wärme-Fördermechanismus unterstützt;</w:t>
      </w:r>
    </w:p>
    <w:p w:rsidR="000B433A" w:rsidRDefault="000B433A">
      <w:pPr>
        <w:pStyle w:val="Paragraphedeliste"/>
        <w:numPr>
          <w:ilvl w:val="0"/>
          <w:numId w:val="27"/>
        </w:numPr>
        <w:spacing w:before="120"/>
        <w:rPr>
          <w:rFonts w:cs="Calibri"/>
          <w:sz w:val="22"/>
          <w:lang w:val="de-DE"/>
        </w:rPr>
      </w:pPr>
      <w:r>
        <w:rPr>
          <w:rFonts w:cs="Calibri"/>
          <w:lang w:val="de-DE"/>
        </w:rPr>
        <w:t>die Rückgewinnung von unbehandeltem Biogas vor Ort wird durch den Wärme-Fördermechanismus unterstützt.</w:t>
      </w:r>
    </w:p>
    <w:p w:rsidR="000B433A" w:rsidRPr="001B472E" w:rsidRDefault="000B433A" w:rsidP="001B472E">
      <w:pPr>
        <w:pStyle w:val="Paragraphedeliste"/>
        <w:spacing w:before="120"/>
        <w:rPr>
          <w:rFonts w:cs="Calibri"/>
          <w:sz w:val="22"/>
          <w:lang w:val="de-DE"/>
        </w:rPr>
      </w:pPr>
    </w:p>
    <w:p w:rsidR="000B433A" w:rsidRDefault="000B433A">
      <w:pPr>
        <w:pStyle w:val="Paragraphedeliste"/>
        <w:numPr>
          <w:ilvl w:val="0"/>
          <w:numId w:val="33"/>
        </w:numPr>
        <w:ind w:left="851" w:hanging="851"/>
        <w:rPr>
          <w:rFonts w:cs="Calibri"/>
          <w:i/>
          <w:color w:val="4F81BD"/>
          <w:u w:val="single"/>
          <w:lang w:val="de-DE"/>
        </w:rPr>
      </w:pPr>
      <w:r>
        <w:rPr>
          <w:rFonts w:cs="Calibri"/>
          <w:i/>
          <w:color w:val="4F81BD"/>
          <w:u w:val="single"/>
          <w:lang w:val="de-DE"/>
        </w:rPr>
        <w:t>Kraft-Wärme-Kopplung</w:t>
      </w:r>
    </w:p>
    <w:p w:rsidR="000B433A" w:rsidRPr="00F820B8" w:rsidRDefault="000B433A" w:rsidP="00B540A9">
      <w:pPr>
        <w:rPr>
          <w:rFonts w:cs="Calibri"/>
          <w:szCs w:val="24"/>
          <w:lang w:val="de-DE"/>
        </w:rPr>
      </w:pPr>
      <w:r>
        <w:rPr>
          <w:rFonts w:cs="Calibri"/>
          <w:lang w:val="de-DE"/>
        </w:rPr>
        <w:t>Im Bereich der Kraft-Wärme-Kopplung basiert der erwartete Fortschritt auf den folgenden Vektoren:</w:t>
      </w:r>
    </w:p>
    <w:p w:rsidR="000B433A" w:rsidRDefault="000B433A">
      <w:pPr>
        <w:pStyle w:val="Paragraphedeliste"/>
        <w:numPr>
          <w:ilvl w:val="0"/>
          <w:numId w:val="28"/>
        </w:numPr>
        <w:spacing w:before="120"/>
        <w:rPr>
          <w:rFonts w:cs="Calibri"/>
          <w:szCs w:val="24"/>
          <w:lang w:val="de-DE"/>
        </w:rPr>
      </w:pPr>
      <w:r>
        <w:rPr>
          <w:rFonts w:cs="Calibri"/>
          <w:lang w:val="de-DE"/>
        </w:rPr>
        <w:t>Verbesserung der Energieeffizienz;</w:t>
      </w:r>
    </w:p>
    <w:p w:rsidR="000B433A" w:rsidRDefault="000B433A">
      <w:pPr>
        <w:pStyle w:val="Paragraphedeliste"/>
        <w:numPr>
          <w:ilvl w:val="0"/>
          <w:numId w:val="28"/>
        </w:numPr>
        <w:spacing w:before="120"/>
        <w:rPr>
          <w:rFonts w:cs="Calibri"/>
          <w:szCs w:val="24"/>
          <w:lang w:val="de-DE"/>
        </w:rPr>
      </w:pPr>
      <w:r>
        <w:rPr>
          <w:rFonts w:cs="Calibri"/>
          <w:lang w:val="de-DE"/>
        </w:rPr>
        <w:t>Energierückgewinnung der Unterprodukte;</w:t>
      </w:r>
    </w:p>
    <w:p w:rsidR="000B433A" w:rsidRDefault="000B433A">
      <w:pPr>
        <w:pStyle w:val="Paragraphedeliste"/>
        <w:numPr>
          <w:ilvl w:val="0"/>
          <w:numId w:val="28"/>
        </w:numPr>
        <w:spacing w:before="120"/>
        <w:rPr>
          <w:rFonts w:cs="Calibri"/>
          <w:szCs w:val="24"/>
          <w:lang w:val="de-DE"/>
        </w:rPr>
      </w:pPr>
      <w:r>
        <w:rPr>
          <w:rFonts w:cs="Calibri"/>
          <w:lang w:val="de-DE"/>
        </w:rPr>
        <w:t>Erhöhung der internen Nutzung der erzeugten Energie;</w:t>
      </w:r>
    </w:p>
    <w:p w:rsidR="000B433A" w:rsidRDefault="000B433A">
      <w:pPr>
        <w:pStyle w:val="Paragraphedeliste"/>
        <w:numPr>
          <w:ilvl w:val="0"/>
          <w:numId w:val="28"/>
        </w:numPr>
        <w:spacing w:before="120"/>
        <w:rPr>
          <w:rFonts w:cs="Calibri"/>
          <w:szCs w:val="24"/>
          <w:lang w:val="de-DE"/>
        </w:rPr>
      </w:pPr>
      <w:r>
        <w:rPr>
          <w:rFonts w:cs="Calibri"/>
          <w:lang w:val="de-DE"/>
        </w:rPr>
        <w:t>Entwicklung von Einheiten für Kraft-Wärme-Kopplung und Verbesserung bestehender Anlagen für die lokale Ressource.</w:t>
      </w:r>
    </w:p>
    <w:p w:rsidR="000B433A" w:rsidRDefault="000B433A" w:rsidP="001B472E">
      <w:pPr>
        <w:pStyle w:val="Paragraphedeliste"/>
        <w:spacing w:before="120"/>
        <w:rPr>
          <w:rFonts w:cs="Calibri"/>
          <w:szCs w:val="24"/>
          <w:lang w:val="de-DE"/>
        </w:rPr>
      </w:pPr>
    </w:p>
    <w:p w:rsidR="000B433A" w:rsidRDefault="000B433A">
      <w:pPr>
        <w:pStyle w:val="Paragraphedeliste"/>
        <w:numPr>
          <w:ilvl w:val="0"/>
          <w:numId w:val="33"/>
        </w:numPr>
        <w:spacing w:before="240"/>
        <w:ind w:left="851" w:hanging="851"/>
        <w:rPr>
          <w:rFonts w:cs="Calibri"/>
          <w:i/>
          <w:color w:val="4F81BD"/>
          <w:u w:val="single"/>
          <w:lang w:val="de-DE"/>
        </w:rPr>
      </w:pPr>
      <w:r>
        <w:rPr>
          <w:rFonts w:cs="Calibri"/>
          <w:i/>
          <w:color w:val="4F81BD"/>
          <w:u w:val="single"/>
          <w:lang w:val="de-DE"/>
        </w:rPr>
        <w:t>Heizung</w:t>
      </w:r>
    </w:p>
    <w:p w:rsidR="000B433A" w:rsidRPr="00F820B8" w:rsidRDefault="000B433A" w:rsidP="00B540A9">
      <w:pPr>
        <w:rPr>
          <w:rFonts w:cs="Calibri"/>
          <w:szCs w:val="24"/>
          <w:lang w:val="de-DE"/>
        </w:rPr>
      </w:pPr>
      <w:r>
        <w:rPr>
          <w:rFonts w:cs="Calibri"/>
          <w:lang w:val="de-DE"/>
        </w:rPr>
        <w:t>Im Bereich der Wärme basiert der Beitrag des Sektors auf den folgenden Elementen:</w:t>
      </w:r>
    </w:p>
    <w:p w:rsidR="000B433A" w:rsidRDefault="000B433A">
      <w:pPr>
        <w:pStyle w:val="Paragraphedeliste"/>
        <w:numPr>
          <w:ilvl w:val="0"/>
          <w:numId w:val="29"/>
        </w:numPr>
        <w:spacing w:before="120"/>
        <w:rPr>
          <w:rFonts w:cs="Calibri"/>
          <w:szCs w:val="24"/>
          <w:lang w:val="de-DE"/>
        </w:rPr>
      </w:pPr>
      <w:r>
        <w:rPr>
          <w:rFonts w:cs="Calibri"/>
          <w:lang w:val="de-DE"/>
        </w:rPr>
        <w:t>Erhöhung der Ergiebigkeit, die eine Verbesserung der Verwendung von Holz für Zusatzheizungen ermöglicht (Erhöhung der Ergiebigkeit von 10 auf 20 %);</w:t>
      </w:r>
    </w:p>
    <w:p w:rsidR="000B433A" w:rsidRDefault="000B433A">
      <w:pPr>
        <w:pStyle w:val="Paragraphedeliste"/>
        <w:numPr>
          <w:ilvl w:val="0"/>
          <w:numId w:val="29"/>
        </w:numPr>
        <w:spacing w:before="120"/>
        <w:rPr>
          <w:rFonts w:cs="Calibri"/>
          <w:szCs w:val="24"/>
          <w:lang w:val="de-DE"/>
        </w:rPr>
      </w:pPr>
      <w:r>
        <w:rPr>
          <w:rFonts w:cs="Calibri"/>
          <w:lang w:val="de-DE"/>
        </w:rPr>
        <w:t>Technologische Veränderungen beim Austausch von Anlagen;</w:t>
      </w:r>
    </w:p>
    <w:p w:rsidR="000B433A" w:rsidRDefault="000B433A">
      <w:pPr>
        <w:pStyle w:val="Paragraphedeliste"/>
        <w:numPr>
          <w:ilvl w:val="0"/>
          <w:numId w:val="29"/>
        </w:numPr>
        <w:spacing w:before="120"/>
        <w:rPr>
          <w:rFonts w:cs="Calibri"/>
          <w:szCs w:val="24"/>
          <w:lang w:val="de-DE"/>
        </w:rPr>
      </w:pPr>
      <w:r>
        <w:rPr>
          <w:rFonts w:cs="Calibri"/>
          <w:lang w:val="de-DE"/>
        </w:rPr>
        <w:t>Die Entwicklung einer nachhaltigen Nutzung von Biomasse-Energie für kommunale Gebäude und kollektive Heizungsanlagen.</w:t>
      </w:r>
    </w:p>
    <w:p w:rsidR="000B433A" w:rsidRPr="00F820B8" w:rsidRDefault="000B433A" w:rsidP="00B540A9">
      <w:pPr>
        <w:rPr>
          <w:rFonts w:cs="Calibri"/>
          <w:szCs w:val="24"/>
          <w:lang w:val="de-DE"/>
        </w:rPr>
      </w:pPr>
      <w:r>
        <w:rPr>
          <w:rFonts w:cs="Calibri"/>
          <w:lang w:val="de-DE"/>
        </w:rPr>
        <w:t>Es ist anzumerken, dass die derzeitigen Einheiten in Bezug auf die Pelletproduktion unterhalb ihrer Kapazitäten produzieren, während der Sektor mehrere zusätzliche primäre GWh liefern könnte, würde er seine maximale Kapazität ausschöpfen. Es ist jedoch zu berücksichtigen, dass diese Produktionssteigerung zu zusätzlichen Spannungen bei der Versorgung der lokalen Zerkleinerungsindustrie führen könnte.</w:t>
      </w:r>
    </w:p>
    <w:p w:rsidR="000B433A" w:rsidRPr="005F5D9D" w:rsidRDefault="000B433A" w:rsidP="00B540A9">
      <w:pPr>
        <w:rPr>
          <w:rFonts w:cs="Calibri"/>
          <w:sz w:val="22"/>
          <w:lang w:val="de-DE"/>
        </w:rPr>
      </w:pPr>
    </w:p>
    <w:p w:rsidR="000B433A" w:rsidRDefault="000B433A">
      <w:pPr>
        <w:pStyle w:val="Paragraphedeliste"/>
        <w:numPr>
          <w:ilvl w:val="0"/>
          <w:numId w:val="33"/>
        </w:numPr>
        <w:ind w:left="851" w:hanging="851"/>
        <w:rPr>
          <w:rFonts w:cs="Calibri"/>
          <w:i/>
          <w:color w:val="4F81BD"/>
          <w:u w:val="single"/>
          <w:lang w:val="de-DE"/>
        </w:rPr>
      </w:pPr>
      <w:r>
        <w:rPr>
          <w:rFonts w:cs="Calibri"/>
          <w:i/>
          <w:color w:val="4F81BD"/>
          <w:u w:val="single"/>
          <w:lang w:val="de-DE"/>
        </w:rPr>
        <w:t>Nutzung von Biomasse</w:t>
      </w:r>
    </w:p>
    <w:p w:rsidR="000B433A" w:rsidRPr="00F820B8" w:rsidRDefault="000B433A" w:rsidP="00B540A9">
      <w:pPr>
        <w:rPr>
          <w:rFonts w:cs="Calibri"/>
          <w:szCs w:val="24"/>
          <w:lang w:val="de-DE"/>
        </w:rPr>
      </w:pPr>
      <w:r>
        <w:rPr>
          <w:rFonts w:cs="Calibri"/>
          <w:lang w:val="de-DE"/>
        </w:rPr>
        <w:t>Die Verwendung lokaler Rohstoffe, auch aus eigener Produktion, scheint daher ein wichtiger Stabilitätsfaktor für den Biomasse-Energiebereich der Wallonie zu sein:</w:t>
      </w:r>
    </w:p>
    <w:p w:rsidR="000B433A" w:rsidRDefault="000B433A">
      <w:pPr>
        <w:pStyle w:val="Paragraphedeliste"/>
        <w:numPr>
          <w:ilvl w:val="0"/>
          <w:numId w:val="29"/>
        </w:numPr>
        <w:spacing w:before="120"/>
        <w:rPr>
          <w:rFonts w:cs="Calibri"/>
          <w:szCs w:val="24"/>
          <w:lang w:val="de-DE"/>
        </w:rPr>
      </w:pPr>
      <w:r>
        <w:rPr>
          <w:rFonts w:cs="Calibri"/>
          <w:lang w:val="de-DE"/>
        </w:rPr>
        <w:t>sie bietet eine höhere Sicherheit in Bezug auf die Versorgung;</w:t>
      </w:r>
    </w:p>
    <w:p w:rsidR="000B433A" w:rsidRDefault="000B433A">
      <w:pPr>
        <w:pStyle w:val="Paragraphedeliste"/>
        <w:numPr>
          <w:ilvl w:val="0"/>
          <w:numId w:val="29"/>
        </w:numPr>
        <w:spacing w:before="120"/>
        <w:rPr>
          <w:rFonts w:cs="Calibri"/>
          <w:szCs w:val="24"/>
          <w:lang w:val="de-DE"/>
        </w:rPr>
      </w:pPr>
      <w:r>
        <w:rPr>
          <w:rFonts w:cs="Calibri"/>
          <w:lang w:val="de-DE"/>
        </w:rPr>
        <w:t>sie erlaubt, sich vom Wettbewerb um Ressourcen zu lösen;</w:t>
      </w:r>
    </w:p>
    <w:p w:rsidR="000B433A" w:rsidRDefault="000B433A">
      <w:pPr>
        <w:pStyle w:val="Paragraphedeliste"/>
        <w:numPr>
          <w:ilvl w:val="0"/>
          <w:numId w:val="29"/>
        </w:numPr>
        <w:spacing w:before="120"/>
        <w:rPr>
          <w:rFonts w:cs="Calibri"/>
          <w:szCs w:val="24"/>
          <w:lang w:val="de-DE"/>
        </w:rPr>
      </w:pPr>
      <w:r>
        <w:rPr>
          <w:rFonts w:cs="Calibri"/>
          <w:lang w:val="de-DE"/>
        </w:rPr>
        <w:t>sie ermöglicht eine gewisse Kontrolle der Preise;</w:t>
      </w:r>
    </w:p>
    <w:p w:rsidR="000B433A" w:rsidRDefault="000B433A">
      <w:pPr>
        <w:pStyle w:val="Paragraphedeliste"/>
        <w:numPr>
          <w:ilvl w:val="0"/>
          <w:numId w:val="29"/>
        </w:numPr>
        <w:spacing w:before="120"/>
        <w:rPr>
          <w:rFonts w:cs="Calibri"/>
          <w:szCs w:val="24"/>
          <w:lang w:val="de-DE"/>
        </w:rPr>
      </w:pPr>
      <w:r>
        <w:rPr>
          <w:rFonts w:cs="Calibri"/>
          <w:lang w:val="de-DE"/>
        </w:rPr>
        <w:t>sie bietet die Voraussetzungen für eine bessere Rückverfolgbarkeit;</w:t>
      </w:r>
    </w:p>
    <w:p w:rsidR="000B433A" w:rsidRDefault="000B433A">
      <w:pPr>
        <w:pStyle w:val="Paragraphedeliste"/>
        <w:numPr>
          <w:ilvl w:val="0"/>
          <w:numId w:val="29"/>
        </w:numPr>
        <w:spacing w:before="120"/>
        <w:rPr>
          <w:rFonts w:cs="Calibri"/>
          <w:szCs w:val="24"/>
          <w:lang w:val="de-DE"/>
        </w:rPr>
      </w:pPr>
      <w:r>
        <w:rPr>
          <w:rFonts w:cs="Calibri"/>
          <w:lang w:val="de-DE"/>
        </w:rPr>
        <w:t>sie begrenzt den Transport und reduziert somit seine Gesamtauswirkungen.</w:t>
      </w:r>
    </w:p>
    <w:p w:rsidR="000B433A" w:rsidRPr="00F820B8" w:rsidRDefault="000B433A" w:rsidP="00B540A9">
      <w:pPr>
        <w:rPr>
          <w:rFonts w:cs="Calibri"/>
          <w:szCs w:val="24"/>
          <w:lang w:val="de-DE"/>
        </w:rPr>
      </w:pPr>
      <w:r>
        <w:rPr>
          <w:rFonts w:cs="Calibri"/>
          <w:lang w:val="de-DE"/>
        </w:rPr>
        <w:t>Es erscheint nicht angebracht, die Prioritäten für die Nutzung von Biomasse in der Wallonie verbindlich vorzuschreiben: Lebensmittel (Mensch und Tier), Faserproduktion (Textilien), grüne Chemie oder Biomaterialien, um nur einige zu nennen, sind alle notwendig. Außerdem verändern sich die Arten der Nutzung und ihrer Anteile im Laufe der Zeit. Andererseits müssen Nutzungen anerkannt und identifiziert werden, die nicht wünschenswert sind, um jegliche Unterstützung auszuschließen und die effiziente Nutzung der Ressource zu fördern.</w:t>
      </w:r>
    </w:p>
    <w:p w:rsidR="000B433A" w:rsidRPr="00F820B8" w:rsidRDefault="000B433A" w:rsidP="00B540A9">
      <w:pPr>
        <w:rPr>
          <w:rFonts w:cs="Calibri"/>
          <w:szCs w:val="24"/>
          <w:lang w:val="de-DE"/>
        </w:rPr>
      </w:pPr>
      <w:r>
        <w:rPr>
          <w:rFonts w:cs="Calibri"/>
          <w:lang w:val="de-DE"/>
        </w:rPr>
        <w:t>In diesem Rahmen sollen die Hilfsmittel, die von der AG „Holz-Energie“ vorgeschlagen wurden, eine Gewährleistung der nachhaltigen Nutzung der gesamten Biomasse ermöglichen:</w:t>
      </w:r>
    </w:p>
    <w:p w:rsidR="000B433A" w:rsidRDefault="000B433A">
      <w:pPr>
        <w:pStyle w:val="Paragraphedeliste"/>
        <w:numPr>
          <w:ilvl w:val="0"/>
          <w:numId w:val="29"/>
        </w:numPr>
        <w:spacing w:before="120"/>
        <w:rPr>
          <w:rFonts w:cs="Calibri"/>
          <w:szCs w:val="24"/>
          <w:lang w:val="de-DE"/>
        </w:rPr>
      </w:pPr>
      <w:r>
        <w:rPr>
          <w:rFonts w:cs="Calibri"/>
          <w:lang w:val="de-DE"/>
        </w:rPr>
        <w:t>Eine nicht zwingende kaskadenartige Nutzung von Holz</w:t>
      </w:r>
    </w:p>
    <w:p w:rsidR="000B433A" w:rsidRDefault="000B433A">
      <w:pPr>
        <w:pStyle w:val="Paragraphedeliste"/>
        <w:numPr>
          <w:ilvl w:val="0"/>
          <w:numId w:val="29"/>
        </w:numPr>
        <w:spacing w:before="120"/>
        <w:rPr>
          <w:rFonts w:cs="Calibri"/>
          <w:szCs w:val="24"/>
          <w:lang w:val="de-DE"/>
        </w:rPr>
      </w:pPr>
      <w:r>
        <w:rPr>
          <w:rFonts w:cs="Calibri"/>
          <w:lang w:val="de-DE"/>
        </w:rPr>
        <w:t>Eine Negativliste von Produkten, die von der Förderungsregelung ausgeschlossen sind: „Rundholz“</w:t>
      </w:r>
    </w:p>
    <w:p w:rsidR="000B433A" w:rsidRDefault="000B433A">
      <w:pPr>
        <w:pStyle w:val="Paragraphedeliste"/>
        <w:numPr>
          <w:ilvl w:val="0"/>
          <w:numId w:val="29"/>
        </w:numPr>
        <w:spacing w:before="120"/>
        <w:rPr>
          <w:rFonts w:cs="Calibri"/>
          <w:szCs w:val="24"/>
          <w:lang w:val="de-DE"/>
        </w:rPr>
      </w:pPr>
      <w:r>
        <w:rPr>
          <w:rFonts w:cs="Calibri"/>
          <w:lang w:val="de-DE"/>
        </w:rPr>
        <w:t>Eine wirtschaftliche Kennzeichnung durch Fördermechanismen</w:t>
      </w:r>
    </w:p>
    <w:p w:rsidR="000B433A" w:rsidRDefault="000B433A">
      <w:pPr>
        <w:pStyle w:val="Paragraphedeliste"/>
        <w:numPr>
          <w:ilvl w:val="0"/>
          <w:numId w:val="29"/>
        </w:numPr>
        <w:spacing w:before="120"/>
        <w:rPr>
          <w:rFonts w:cs="Calibri"/>
          <w:szCs w:val="24"/>
          <w:lang w:val="de-DE"/>
        </w:rPr>
      </w:pPr>
      <w:r>
        <w:rPr>
          <w:rFonts w:cs="Calibri"/>
          <w:lang w:val="de-DE"/>
        </w:rPr>
        <w:t>Eine Definition von Versorgungsplänen und strikte Kontrolle ihrer Relevanz und potenziellen Auswirkungen auf Ebene des Einzugsgebiets</w:t>
      </w:r>
    </w:p>
    <w:p w:rsidR="000B433A" w:rsidRDefault="000B433A">
      <w:pPr>
        <w:pStyle w:val="Paragraphedeliste"/>
        <w:numPr>
          <w:ilvl w:val="0"/>
          <w:numId w:val="29"/>
        </w:numPr>
        <w:spacing w:before="120"/>
        <w:rPr>
          <w:rFonts w:cs="Calibri"/>
          <w:szCs w:val="24"/>
          <w:lang w:val="de-DE"/>
        </w:rPr>
      </w:pPr>
      <w:r>
        <w:rPr>
          <w:rFonts w:cs="Calibri"/>
          <w:lang w:val="de-DE"/>
        </w:rPr>
        <w:t xml:space="preserve">Es werden einige Vorschläge zur Verbesserung der Verfahren zur Prüfung der Nachhaltigkeit unterbreitet, einschließlich der Zertifizierung nachhaltiger Biomasse durch Dritte, um die administrative Überwachung und den Handel zu erleichtern. Für Industrielle hätte eine internationale Zertifizierung den Vorteil, in mehreren Ländern anerkannt zu sein, was derzeit nicht der Fall ist. </w:t>
      </w:r>
    </w:p>
    <w:p w:rsidR="000B433A" w:rsidRPr="005F5D9D" w:rsidRDefault="000B433A" w:rsidP="00B540A9">
      <w:pPr>
        <w:pStyle w:val="Paragraphedeliste"/>
        <w:rPr>
          <w:rFonts w:cs="Calibri"/>
          <w:sz w:val="22"/>
          <w:lang w:val="de-DE"/>
        </w:rPr>
      </w:pPr>
    </w:p>
    <w:p w:rsidR="000B433A" w:rsidRDefault="000B433A">
      <w:pPr>
        <w:pStyle w:val="Paragraphedeliste"/>
        <w:numPr>
          <w:ilvl w:val="0"/>
          <w:numId w:val="33"/>
        </w:numPr>
        <w:ind w:left="851" w:hanging="851"/>
        <w:rPr>
          <w:rFonts w:cs="Calibri"/>
          <w:i/>
          <w:color w:val="4F81BD"/>
          <w:u w:val="single"/>
          <w:lang w:val="de-DE"/>
        </w:rPr>
      </w:pPr>
      <w:r>
        <w:rPr>
          <w:rFonts w:cs="Calibri"/>
          <w:i/>
          <w:color w:val="4F81BD"/>
          <w:u w:val="single"/>
          <w:lang w:val="de-DE"/>
        </w:rPr>
        <w:t>Kommunikation, Information, Sensibilisierung</w:t>
      </w:r>
    </w:p>
    <w:p w:rsidR="000B433A" w:rsidRPr="00F820B8" w:rsidRDefault="000B433A" w:rsidP="00B540A9">
      <w:pPr>
        <w:rPr>
          <w:rFonts w:cs="Calibri"/>
          <w:szCs w:val="24"/>
          <w:lang w:val="de-DE"/>
        </w:rPr>
      </w:pPr>
      <w:r>
        <w:rPr>
          <w:rFonts w:cs="Calibri"/>
          <w:lang w:val="de-DE"/>
        </w:rPr>
        <w:t>Es ist ebenfalls notwendig, thematisch zu kommunizieren, insbesondere über die ordnungsgemäße Verwendung von Biomassegeräten. Diese Maßnahme bezieht sich auf die in Kapitel 3.2 beschriebene Verhaltensmaßnahme.</w:t>
      </w:r>
    </w:p>
    <w:p w:rsidR="000B433A" w:rsidRPr="00F820B8" w:rsidRDefault="000B433A" w:rsidP="00B540A9">
      <w:pPr>
        <w:rPr>
          <w:rFonts w:cs="Calibri"/>
          <w:szCs w:val="24"/>
          <w:lang w:val="de-DE"/>
        </w:rPr>
      </w:pPr>
      <w:r>
        <w:rPr>
          <w:rFonts w:cs="Calibri"/>
          <w:lang w:val="de-DE"/>
        </w:rPr>
        <w:t xml:space="preserve">Die Region kann auch Initiativen zur Organisation von </w:t>
      </w:r>
      <w:r w:rsidRPr="00F820B8">
        <w:rPr>
          <w:rFonts w:cs="Calibri"/>
          <w:szCs w:val="24"/>
          <w:u w:val="single"/>
          <w:lang w:val="de-DE"/>
        </w:rPr>
        <w:t>Einkaufsgemeinschaften</w:t>
      </w:r>
      <w:r>
        <w:rPr>
          <w:rFonts w:cs="Calibri"/>
          <w:lang w:val="de-DE"/>
        </w:rPr>
        <w:t xml:space="preserve"> unterstützen, um die Installationskosten zu senken und die Qualitätsüberwachung zu gewährleisten.</w:t>
      </w:r>
    </w:p>
    <w:p w:rsidR="000B433A" w:rsidRPr="0029680C" w:rsidRDefault="000B433A" w:rsidP="001B472E">
      <w:pPr>
        <w:pStyle w:val="Titre3"/>
        <w:numPr>
          <w:ilvl w:val="2"/>
          <w:numId w:val="1"/>
        </w:numPr>
        <w:ind w:left="851" w:hanging="851"/>
        <w:rPr>
          <w:rFonts w:ascii="Calibri" w:hAnsi="Calibri" w:cs="Calibri"/>
          <w:i/>
          <w:color w:val="1F497D"/>
          <w:lang w:val="de-DE"/>
        </w:rPr>
      </w:pPr>
      <w:r>
        <w:rPr>
          <w:rFonts w:ascii="Calibri" w:hAnsi="Calibri" w:cs="Calibri"/>
          <w:i/>
          <w:color w:val="1F497D"/>
          <w:lang w:val="de-DE"/>
        </w:rPr>
        <w:t>Spezifische Maßnahme zur Verbesserung der Luftqualität</w:t>
      </w:r>
    </w:p>
    <w:p w:rsidR="000B433A" w:rsidRPr="007E62B3" w:rsidRDefault="000B433A" w:rsidP="0075235D">
      <w:pPr>
        <w:pStyle w:val="Titre3"/>
        <w:rPr>
          <w:rFonts w:ascii="Calibri" w:hAnsi="Calibri" w:cs="Calibri"/>
          <w:i/>
          <w:lang w:val="de-DE"/>
        </w:rPr>
      </w:pPr>
      <w:r>
        <w:rPr>
          <w:rFonts w:ascii="Calibri" w:hAnsi="Calibri" w:cs="Calibri"/>
          <w:i/>
          <w:lang w:val="de-DE"/>
        </w:rPr>
        <w:t>Verstärkung der Grenzwerte für Feuerungsanlagen mit einer Leistung zwischen 100 kW und weniger als 1 MW.</w:t>
      </w:r>
    </w:p>
    <w:p w:rsidR="000B433A" w:rsidRPr="004130E7" w:rsidRDefault="000B433A" w:rsidP="00CC2C4F">
      <w:pPr>
        <w:pStyle w:val="Sansinterligne"/>
        <w:rPr>
          <w:rFonts w:ascii="Calibri" w:hAnsi="Calibri"/>
          <w:sz w:val="24"/>
          <w:szCs w:val="24"/>
          <w:lang w:val="de-DE"/>
        </w:rPr>
      </w:pPr>
      <w:r>
        <w:rPr>
          <w:rFonts w:ascii="Calibri" w:hAnsi="Calibri"/>
          <w:sz w:val="24"/>
          <w:lang w:val="de-DE"/>
        </w:rPr>
        <w:t>Es besteht ein rechtliches Vakuum in Bezug auf die Emissionsgrenzwerte (EGW) für Anlagen zwischen 400 und 500 kW je nach Brennstoff und 1 MW, die nicht in eine genehmigungspflichtige Einheit integriert sind. Die angestrebten Schadstoffe sind Stickoxide (NO</w:t>
      </w:r>
      <w:r w:rsidRPr="004130E7">
        <w:rPr>
          <w:rFonts w:ascii="Calibri" w:hAnsi="Calibri"/>
          <w:sz w:val="24"/>
          <w:szCs w:val="24"/>
          <w:vertAlign w:val="subscript"/>
          <w:lang w:val="de-DE"/>
        </w:rPr>
        <w:t>x</w:t>
      </w:r>
      <w:r>
        <w:rPr>
          <w:rFonts w:ascii="Calibri" w:hAnsi="Calibri"/>
          <w:sz w:val="24"/>
          <w:lang w:val="de-DE"/>
        </w:rPr>
        <w:t>), Schwefeloxide (SO</w:t>
      </w:r>
      <w:r w:rsidRPr="004130E7">
        <w:rPr>
          <w:rFonts w:ascii="Calibri" w:hAnsi="Calibri"/>
          <w:sz w:val="24"/>
          <w:szCs w:val="24"/>
          <w:vertAlign w:val="subscript"/>
          <w:lang w:val="de-DE"/>
        </w:rPr>
        <w:t>2</w:t>
      </w:r>
      <w:r>
        <w:rPr>
          <w:rFonts w:ascii="Calibri" w:hAnsi="Calibri"/>
          <w:sz w:val="24"/>
          <w:lang w:val="de-DE"/>
        </w:rPr>
        <w:t>), Feinstaub und CO.</w:t>
      </w:r>
    </w:p>
    <w:p w:rsidR="000B433A" w:rsidRPr="004130E7" w:rsidRDefault="000B433A" w:rsidP="00CC2C4F">
      <w:pPr>
        <w:pStyle w:val="Sansinterligne"/>
        <w:rPr>
          <w:rFonts w:ascii="Calibri" w:hAnsi="Calibri"/>
          <w:sz w:val="24"/>
          <w:szCs w:val="24"/>
          <w:lang w:val="de-DE"/>
        </w:rPr>
      </w:pPr>
    </w:p>
    <w:p w:rsidR="000B433A" w:rsidRPr="004130E7" w:rsidRDefault="000B433A" w:rsidP="00CC2C4F">
      <w:pPr>
        <w:pStyle w:val="Sansinterligne"/>
        <w:rPr>
          <w:rFonts w:ascii="Calibri" w:hAnsi="Calibri"/>
          <w:sz w:val="24"/>
          <w:szCs w:val="24"/>
          <w:lang w:val="de-DE"/>
        </w:rPr>
      </w:pPr>
      <w:r>
        <w:rPr>
          <w:rFonts w:ascii="Calibri" w:hAnsi="Calibri"/>
          <w:sz w:val="24"/>
          <w:lang w:val="de-DE"/>
        </w:rPr>
        <w:t>In der Wallonie sind diese Verbrennungsanlagen ab 100 kW in Klasse 3 der Umweltgenehmigungsgesetzgebung eingestuft und erfordern nur eine Erklärung und Anwendung der allgemeinen Bedingungen der Umweltgenehmigung und gegebenenfalls der Bestimmungen, die in einem umfassenden Dokument enthalten sind (derzeit nicht vorhanden). In der Praxis müssen nur Anlagen mit einer Leistung von mehr als 400 kW, die in eine genehmigungspflichtige technische und geografische Einheit integriert sind, den Anforderungen des EGW durch die Umweltgenehmigung der Einheit, in der sie sich befinden, entsprechen.</w:t>
      </w:r>
    </w:p>
    <w:p w:rsidR="000B433A" w:rsidRPr="004130E7" w:rsidRDefault="000B433A" w:rsidP="00CC2C4F">
      <w:pPr>
        <w:pStyle w:val="Sansinterligne"/>
        <w:rPr>
          <w:rFonts w:ascii="Calibri" w:hAnsi="Calibri"/>
          <w:sz w:val="24"/>
          <w:szCs w:val="24"/>
          <w:lang w:val="de-DE"/>
        </w:rPr>
      </w:pPr>
    </w:p>
    <w:p w:rsidR="000B433A" w:rsidRDefault="000B433A" w:rsidP="00CC2C4F">
      <w:pPr>
        <w:pStyle w:val="Sansinterligne"/>
        <w:rPr>
          <w:rFonts w:ascii="Calibri" w:hAnsi="Calibri"/>
          <w:sz w:val="24"/>
          <w:szCs w:val="24"/>
          <w:lang w:val="de-DE"/>
        </w:rPr>
      </w:pPr>
      <w:r>
        <w:rPr>
          <w:rFonts w:ascii="Calibri" w:hAnsi="Calibri"/>
          <w:sz w:val="24"/>
          <w:lang w:val="de-DE"/>
        </w:rPr>
        <w:t xml:space="preserve">Um diese Lücke zu schließen, müssen Feuerungsanlagen, die mit festem, flüssigem oder gasförmigem Brennstoff mit einer Gesamtwärmeleistung von mindestens 100 kW und weniger als 1 MW versorgt werden, Grenzwerte für relevante Luftschadstoffe einhalten.   Diese Werte werden von der wallonischen Regierung auf der Grundlage einer Studie festgelegt, die darauf abzielt, die für Kleinfeuerungsanlagen am besten geeigneten EGW zu objektivieren und mit den für mittlere Feuerungsanlagen geltenden Normen in Einklang zu bringen. EGW können danach unterschieden werden, ob es sich um neue oder bestehende Anlagen handelt. </w:t>
      </w:r>
    </w:p>
    <w:p w:rsidR="000B433A" w:rsidRDefault="000B433A" w:rsidP="00CC2C4F">
      <w:pPr>
        <w:pStyle w:val="Sansinterligne"/>
        <w:rPr>
          <w:rFonts w:ascii="Calibri" w:hAnsi="Calibri"/>
          <w:sz w:val="24"/>
          <w:szCs w:val="24"/>
          <w:lang w:val="de-DE"/>
        </w:rPr>
      </w:pPr>
    </w:p>
    <w:p w:rsidR="000B433A" w:rsidRPr="004130E7" w:rsidRDefault="000B433A" w:rsidP="00CC2C4F">
      <w:pPr>
        <w:pStyle w:val="Sansinterligne"/>
        <w:rPr>
          <w:rFonts w:ascii="Calibri" w:hAnsi="Calibri"/>
          <w:sz w:val="24"/>
          <w:szCs w:val="24"/>
          <w:lang w:val="de-DE"/>
        </w:rPr>
      </w:pPr>
      <w:r>
        <w:rPr>
          <w:rFonts w:ascii="Calibri" w:hAnsi="Calibri"/>
          <w:sz w:val="24"/>
          <w:lang w:val="de-DE"/>
        </w:rPr>
        <w:t xml:space="preserve">Diese Änderungen werden von der Umsetzung einer Kommunikationsstrategie über die Verpflichtungen und Fragen dieser Politik begleitet. </w:t>
      </w:r>
    </w:p>
    <w:p w:rsidR="000B433A" w:rsidRPr="004130E7" w:rsidRDefault="000B433A" w:rsidP="00BE296A">
      <w:pPr>
        <w:pStyle w:val="Sansinterligne"/>
        <w:ind w:left="426"/>
        <w:rPr>
          <w:rFonts w:ascii="Calibri" w:hAnsi="Calibri"/>
          <w:sz w:val="24"/>
          <w:szCs w:val="24"/>
          <w:lang w:val="de-DE"/>
        </w:rPr>
      </w:pPr>
    </w:p>
    <w:p w:rsidR="000B433A" w:rsidRPr="007E62B3" w:rsidRDefault="000B433A" w:rsidP="001B472E">
      <w:pPr>
        <w:pStyle w:val="Titre2"/>
        <w:numPr>
          <w:ilvl w:val="1"/>
          <w:numId w:val="1"/>
        </w:numPr>
        <w:ind w:left="851" w:hanging="851"/>
        <w:rPr>
          <w:rFonts w:ascii="Calibri" w:hAnsi="Calibri" w:cs="Calibri"/>
          <w:color w:val="1F497D"/>
          <w:sz w:val="28"/>
          <w:szCs w:val="28"/>
          <w:lang w:val="de-DE"/>
        </w:rPr>
      </w:pPr>
      <w:bookmarkStart w:id="36" w:name="_Toc7802450"/>
      <w:r>
        <w:rPr>
          <w:rFonts w:ascii="Calibri" w:hAnsi="Calibri" w:cs="Calibri"/>
          <w:color w:val="1F497D"/>
          <w:sz w:val="28"/>
          <w:lang w:val="de-DE"/>
        </w:rPr>
        <w:t>Industriesektor</w:t>
      </w:r>
      <w:bookmarkEnd w:id="36"/>
    </w:p>
    <w:p w:rsidR="000B433A" w:rsidRPr="007E62B3" w:rsidRDefault="000B433A" w:rsidP="0075235D">
      <w:pPr>
        <w:pStyle w:val="Titre3"/>
        <w:rPr>
          <w:rFonts w:ascii="Calibri" w:hAnsi="Calibri" w:cs="Calibri"/>
          <w:i/>
          <w:lang w:val="de-DE"/>
        </w:rPr>
      </w:pPr>
      <w:r>
        <w:rPr>
          <w:rFonts w:ascii="Calibri" w:hAnsi="Calibri" w:cs="Calibri"/>
          <w:i/>
          <w:lang w:val="de-DE"/>
        </w:rPr>
        <w:t>Fortsetzung der Umsetzung der „EHS“-Richtlinie</w:t>
      </w:r>
    </w:p>
    <w:p w:rsidR="000B433A" w:rsidRPr="005F5D9D" w:rsidRDefault="000B433A" w:rsidP="003A2E13">
      <w:pPr>
        <w:rPr>
          <w:rFonts w:cs="Calibri"/>
          <w:lang w:val="de-DE"/>
        </w:rPr>
      </w:pPr>
      <w:r>
        <w:rPr>
          <w:rFonts w:cs="Calibri"/>
          <w:lang w:val="de-DE"/>
        </w:rPr>
        <w:t xml:space="preserve">Das EU EHS (Emission trading system), auf Deutsch Emissionshandelssystem (EHS), ist ein verbindliches Instrument gemäß der Richtlinie 2003/87/EU, das in der gesamten EU (ebenfalls in Lichtenstein, Island und in Norwegen) in 2005 eingeführt wurde, um die Treibhausgasemissionen in bestimmten Industriesektoren und in der zivilen Luftfahrt zu reduzieren. </w:t>
      </w:r>
    </w:p>
    <w:p w:rsidR="000B433A" w:rsidRPr="005F5D9D" w:rsidRDefault="000B433A" w:rsidP="003A2E13">
      <w:pPr>
        <w:rPr>
          <w:rFonts w:cs="Calibri"/>
          <w:lang w:val="de-DE"/>
        </w:rPr>
      </w:pPr>
      <w:r>
        <w:rPr>
          <w:rFonts w:cs="Calibri"/>
          <w:lang w:val="de-DE"/>
        </w:rPr>
        <w:t>Die Phase IV (2021-2030) zeichnet sich aus durch eine Änderung des Ziels, wobei die Emissionen bis 2030 um 43 Prozent gegenüber 2005 gesenkt werden müssen. Folglich wird der lineare Faktor bis 2021 auf -2,2 Prozent jährlich angepasst. Dieser Mechanismus fällt nicht unter die regionalen Zuständigkeiten, die einzige Maßnahme, die ergriffen werden kann, ist die Unterstützung der betroffenen Branchen, insbesondere in Hinblick auf die Stromkosten.</w:t>
      </w:r>
    </w:p>
    <w:p w:rsidR="000B433A" w:rsidRDefault="000B433A" w:rsidP="003A2E13">
      <w:pPr>
        <w:rPr>
          <w:rFonts w:cs="Calibri"/>
          <w:lang w:val="de-DE"/>
        </w:rPr>
      </w:pPr>
      <w:r>
        <w:rPr>
          <w:rFonts w:cs="Calibri"/>
          <w:lang w:val="de-DE"/>
        </w:rPr>
        <w:t>Seit 2012 hat die Richtlinie die Emissionen aus dem Luftverkehr in das EHS aufgenommen. Konkret fallen die Emissionen aus allen Flügen in den, aus dem und im Europäischen Wirtschaftsraum (EWR), d. h. die 28 Mitgliedstaaten der EU, Island, Liechtenstein und Norwegen, unter das EHS. Diese Regelung gilt für alle europäischen und nicht-europäischen Fluggesellschaften.</w:t>
      </w:r>
    </w:p>
    <w:p w:rsidR="000B433A" w:rsidRPr="00D07F58" w:rsidRDefault="000B433A" w:rsidP="00B83D1D">
      <w:pPr>
        <w:rPr>
          <w:lang w:val="de-DE"/>
        </w:rPr>
      </w:pPr>
      <w:r w:rsidRPr="00D07F58">
        <w:rPr>
          <w:lang w:val="de-DE"/>
        </w:rPr>
        <w:t xml:space="preserve">Ebenso wird Belgien darauf bestehen, dass der Luftverkehrssektor konkrete Verpflichtungen eingeht und einen Fahrplan entwickelt, um die von ihm verursachten Treibhausgasemissionen deutlich zu reduzieren. </w:t>
      </w:r>
    </w:p>
    <w:p w:rsidR="000B433A" w:rsidRPr="00D07F58" w:rsidRDefault="000B433A" w:rsidP="00B83D1D">
      <w:pPr>
        <w:rPr>
          <w:lang w:val="de-DE"/>
        </w:rPr>
      </w:pPr>
      <w:r w:rsidRPr="00D07F58">
        <w:rPr>
          <w:lang w:val="de-DE"/>
        </w:rPr>
        <w:t>Ziel ist es, die externen Umweltkosten der Luftverkehrstätigkeiten durch steuerliche Maßnahmen zu internalisieren. Auf diese Weise können wir Initiativen unterstützen, die auf europäischer Ebene ergriffen würden, um harmonisierte Verbrauchsteuern auf Kerosin und/oder eine Steuer auf Flugtickets einzuführen.</w:t>
      </w:r>
    </w:p>
    <w:p w:rsidR="000B433A" w:rsidRPr="00D07F58" w:rsidRDefault="000B433A" w:rsidP="00B83D1D">
      <w:pPr>
        <w:rPr>
          <w:lang w:val="de-DE"/>
        </w:rPr>
      </w:pPr>
      <w:r w:rsidRPr="00D07F58">
        <w:rPr>
          <w:lang w:val="de-DE"/>
        </w:rPr>
        <w:t>In Erwartung einer europäischen Initiative zur Besteuerung von Flugtickets werden wir in Absprache mit den Nachbarländern prüfen, ob und wie eine Besteuerung von Flugtickets von einer Gruppe von Ländern eingeführt werden kann, wobei die Höhe der Steuer von der Entfernung des Fluges abhängt.</w:t>
      </w:r>
    </w:p>
    <w:p w:rsidR="000B433A" w:rsidRPr="00BA7CE5" w:rsidRDefault="000B433A" w:rsidP="00B83D1D">
      <w:pPr>
        <w:rPr>
          <w:u w:val="single"/>
          <w:lang w:val="de-DE"/>
        </w:rPr>
      </w:pPr>
      <w:r w:rsidRPr="00D07F58">
        <w:rPr>
          <w:lang w:val="de-DE"/>
        </w:rPr>
        <w:t>Auf diese Weise wollen wir zunächst einmal die externen Kosten der Flüge innerhalb Europas internalisieren. Zweitens kann auch die Möglichkeit einer Steuer auf Flüge außerhalb der EU in Betracht gezogen werden.</w:t>
      </w:r>
    </w:p>
    <w:p w:rsidR="000B433A" w:rsidRPr="007E62B3" w:rsidRDefault="000B433A" w:rsidP="00171557">
      <w:pPr>
        <w:pStyle w:val="Titre3"/>
        <w:rPr>
          <w:rFonts w:ascii="Calibri" w:hAnsi="Calibri" w:cs="Calibri"/>
          <w:i/>
          <w:lang w:val="de-DE"/>
        </w:rPr>
      </w:pPr>
      <w:r>
        <w:rPr>
          <w:rFonts w:ascii="Calibri" w:hAnsi="Calibri" w:cs="Calibri"/>
          <w:i/>
          <w:lang w:val="de-DE"/>
        </w:rPr>
        <w:t>Spezifische Maßnahmen im Bereich der Nicht-EHS-Industrien</w:t>
      </w:r>
    </w:p>
    <w:p w:rsidR="000B433A" w:rsidRPr="004130E7" w:rsidRDefault="000B433A" w:rsidP="00CE1A98">
      <w:pPr>
        <w:spacing w:after="0"/>
        <w:rPr>
          <w:rFonts w:cs="Calibri"/>
          <w:szCs w:val="24"/>
          <w:lang w:val="de-DE"/>
        </w:rPr>
      </w:pPr>
      <w:r>
        <w:rPr>
          <w:rFonts w:cs="Calibri"/>
          <w:lang w:val="de-DE"/>
        </w:rPr>
        <w:t xml:space="preserve">Zu den Maßnahmen im Nicht-EHS-Sektor gehören: </w:t>
      </w:r>
    </w:p>
    <w:p w:rsidR="000B433A" w:rsidRDefault="000B433A">
      <w:pPr>
        <w:pStyle w:val="Paragraphedeliste"/>
        <w:numPr>
          <w:ilvl w:val="0"/>
          <w:numId w:val="26"/>
        </w:numPr>
        <w:rPr>
          <w:rFonts w:cs="Calibri"/>
          <w:szCs w:val="24"/>
          <w:lang w:val="de-DE"/>
        </w:rPr>
      </w:pPr>
      <w:r>
        <w:rPr>
          <w:rFonts w:cs="Calibri"/>
          <w:lang w:val="de-DE"/>
        </w:rPr>
        <w:t xml:space="preserve">Es wurde eine Fortsetzung der Verbesserung der Energieeffizienz dieses Sektors durch verschiedene Arten von technischen Maßnahmen gewählt. </w:t>
      </w:r>
    </w:p>
    <w:p w:rsidR="000B433A" w:rsidRDefault="000B433A">
      <w:pPr>
        <w:pStyle w:val="Paragraphedeliste"/>
        <w:numPr>
          <w:ilvl w:val="0"/>
          <w:numId w:val="26"/>
        </w:numPr>
        <w:spacing w:after="0"/>
        <w:rPr>
          <w:rFonts w:cs="Calibri"/>
          <w:szCs w:val="24"/>
          <w:lang w:val="de-DE"/>
        </w:rPr>
      </w:pPr>
      <w:r>
        <w:rPr>
          <w:lang w:val="de-DE"/>
        </w:rPr>
        <w:t xml:space="preserve"> die Dekarbonisierung der Energieträger </w:t>
      </w:r>
      <w:r w:rsidRPr="004130E7">
        <w:rPr>
          <w:rFonts w:cs="Calibri"/>
          <w:szCs w:val="24"/>
          <w:lang w:val="de-DE"/>
        </w:rPr>
        <w:t>und</w:t>
      </w:r>
      <w:r>
        <w:rPr>
          <w:lang w:val="de-DE"/>
        </w:rPr>
        <w:t xml:space="preserve"> die Verbesserung der Flexibilität des Energiebedarfs. Längerfristig müssen bedeutende Brennstoffumstellungen (fuel switching) auf dekarbonisierten Strom und erneuerbare Wärme (thermische Solarenergie, Wärmepumpen und Geothermie oder Biomasseverbrennung) oder sogar auf Synthesegase wie Wasserstoff oder synthetisches Erdgas, die durch Wasserstoffmethanierung</w:t>
      </w:r>
      <w:r w:rsidRPr="004130E7">
        <w:rPr>
          <w:rStyle w:val="Appelnotedebasdep"/>
          <w:rFonts w:cs="Calibri"/>
          <w:szCs w:val="24"/>
          <w:lang w:val="de-DE"/>
        </w:rPr>
        <w:footnoteReference w:id="17"/>
      </w:r>
      <w:r>
        <w:rPr>
          <w:lang w:val="de-DE"/>
        </w:rPr>
        <w:t xml:space="preserve"> gewonnen werden, parallel zur Energieerzeugung im Prozess der Dekarbonisierung verfolgt werden. </w:t>
      </w:r>
    </w:p>
    <w:p w:rsidR="000B433A" w:rsidRPr="005F5D9D" w:rsidRDefault="000B433A" w:rsidP="00CE1A98">
      <w:pPr>
        <w:rPr>
          <w:rFonts w:cs="Calibri"/>
          <w:sz w:val="22"/>
          <w:lang w:val="de-DE"/>
        </w:rPr>
      </w:pPr>
    </w:p>
    <w:p w:rsidR="000B433A" w:rsidRPr="007E62B3" w:rsidRDefault="000B433A" w:rsidP="00CE1A98">
      <w:pPr>
        <w:spacing w:after="0"/>
        <w:rPr>
          <w:rFonts w:cs="Calibri"/>
          <w:szCs w:val="24"/>
          <w:lang w:val="de-DE"/>
        </w:rPr>
      </w:pPr>
      <w:r>
        <w:rPr>
          <w:rFonts w:cs="Calibri"/>
          <w:lang w:val="de-DE"/>
        </w:rPr>
        <w:t xml:space="preserve">Der Einsatz verschiedener Werkzeuge zur Implementierung dieser Achsen wird im Folgenden beschrieben. </w:t>
      </w:r>
    </w:p>
    <w:p w:rsidR="000B433A" w:rsidRPr="007E62B3" w:rsidRDefault="000B433A" w:rsidP="00CE1A98">
      <w:pPr>
        <w:spacing w:after="0"/>
        <w:rPr>
          <w:rFonts w:cs="Calibri"/>
          <w:szCs w:val="24"/>
          <w:lang w:val="de-DE"/>
        </w:rPr>
      </w:pPr>
    </w:p>
    <w:p w:rsidR="000B433A" w:rsidRDefault="000B433A">
      <w:pPr>
        <w:pStyle w:val="Paragraphedeliste"/>
        <w:numPr>
          <w:ilvl w:val="0"/>
          <w:numId w:val="38"/>
        </w:numPr>
        <w:spacing w:before="120"/>
        <w:rPr>
          <w:rFonts w:cs="Calibri"/>
          <w:szCs w:val="24"/>
          <w:lang w:val="de-DE"/>
        </w:rPr>
      </w:pPr>
      <w:r>
        <w:rPr>
          <w:rFonts w:cs="Calibri"/>
          <w:b/>
          <w:u w:val="single"/>
          <w:lang w:val="de-DE"/>
        </w:rPr>
        <w:t>Regulierungsinstrumente</w:t>
      </w:r>
      <w:r w:rsidRPr="007E62B3">
        <w:rPr>
          <w:rFonts w:cs="Calibri"/>
          <w:szCs w:val="24"/>
          <w:lang w:val="de-DE"/>
        </w:rPr>
        <w:t>:</w:t>
      </w:r>
    </w:p>
    <w:p w:rsidR="000B433A" w:rsidRPr="007E62B3" w:rsidRDefault="000B433A" w:rsidP="001B472E">
      <w:pPr>
        <w:pStyle w:val="Paragraphedeliste"/>
        <w:spacing w:before="120"/>
        <w:rPr>
          <w:rFonts w:cs="Calibri"/>
          <w:szCs w:val="24"/>
          <w:lang w:val="de-DE"/>
        </w:rPr>
      </w:pPr>
    </w:p>
    <w:p w:rsidR="000B433A" w:rsidRDefault="000B433A">
      <w:pPr>
        <w:pStyle w:val="Paragraphedeliste"/>
        <w:numPr>
          <w:ilvl w:val="1"/>
          <w:numId w:val="38"/>
        </w:numPr>
        <w:spacing w:after="200"/>
        <w:rPr>
          <w:rFonts w:cs="Calibri"/>
          <w:szCs w:val="24"/>
          <w:lang w:val="de-DE"/>
        </w:rPr>
      </w:pPr>
      <w:r>
        <w:rPr>
          <w:rFonts w:cs="Calibri"/>
          <w:lang w:val="de-DE"/>
        </w:rPr>
        <w:t>den Umwandlungsfaktor (von Strom) in Primärenergie entsprechend den Merkmalen des Liefervertrages so ändern, dass elektrische Technologien aus regulatorischer Sicht nicht benachteiligt werden und somit technologische Lock-ins (z. B. Wahl des Heizsystems) vermieden werden.</w:t>
      </w:r>
    </w:p>
    <w:p w:rsidR="000B433A" w:rsidRDefault="000B433A">
      <w:pPr>
        <w:pStyle w:val="Paragraphedeliste"/>
        <w:numPr>
          <w:ilvl w:val="1"/>
          <w:numId w:val="38"/>
        </w:numPr>
        <w:spacing w:after="200"/>
        <w:rPr>
          <w:rFonts w:cs="Calibri"/>
          <w:szCs w:val="24"/>
          <w:lang w:val="de-DE"/>
        </w:rPr>
      </w:pPr>
      <w:r>
        <w:rPr>
          <w:rFonts w:cs="Calibri"/>
          <w:lang w:val="de-DE"/>
        </w:rPr>
        <w:t>die Umsetzung der neuen Norm ISO 14080 empfehlen. Wie die Internationale Organisation für Normung erklärt, besteht ihr Ziel darin, „</w:t>
      </w:r>
      <w:r w:rsidRPr="007E62B3">
        <w:rPr>
          <w:rFonts w:cs="Calibri"/>
          <w:color w:val="333333"/>
          <w:szCs w:val="24"/>
          <w:shd w:val="clear" w:color="auto" w:fill="FFFFFF"/>
          <w:lang w:val="de-DE"/>
        </w:rPr>
        <w:t>allen an Klimaschutzmaßnahmen beteiligten Organisationen einen Rahmen für die Entwicklung kohärenter, vergleichbarer und verbesserter Methoden zur Bekämpfung des Klimawandels zu bieten“</w:t>
      </w:r>
      <w:r>
        <w:rPr>
          <w:rFonts w:cs="Calibri"/>
          <w:lang w:val="de-DE"/>
        </w:rPr>
        <w:t xml:space="preserve">. </w:t>
      </w:r>
    </w:p>
    <w:p w:rsidR="000B433A" w:rsidRPr="007E62B3" w:rsidRDefault="000B433A" w:rsidP="001B472E">
      <w:pPr>
        <w:pStyle w:val="Paragraphedeliste"/>
        <w:spacing w:after="200"/>
        <w:ind w:left="1440"/>
        <w:rPr>
          <w:rFonts w:cs="Calibri"/>
          <w:szCs w:val="24"/>
          <w:lang w:val="de-DE"/>
        </w:rPr>
      </w:pPr>
    </w:p>
    <w:p w:rsidR="000B433A" w:rsidRDefault="000B433A">
      <w:pPr>
        <w:pStyle w:val="Paragraphedeliste"/>
        <w:numPr>
          <w:ilvl w:val="0"/>
          <w:numId w:val="38"/>
        </w:numPr>
        <w:spacing w:before="120"/>
        <w:rPr>
          <w:rFonts w:cs="Calibri"/>
          <w:b/>
          <w:szCs w:val="24"/>
          <w:u w:val="single"/>
          <w:lang w:val="de-DE"/>
        </w:rPr>
      </w:pPr>
      <w:r>
        <w:rPr>
          <w:rFonts w:cs="Calibri"/>
          <w:b/>
          <w:u w:val="single"/>
          <w:lang w:val="de-DE"/>
        </w:rPr>
        <w:t>Ökonomische Werkzeuge</w:t>
      </w:r>
      <w:r w:rsidRPr="001B472E">
        <w:rPr>
          <w:rFonts w:cs="Calibri"/>
          <w:b/>
          <w:szCs w:val="24"/>
          <w:lang w:val="de-DE"/>
        </w:rPr>
        <w:t>:</w:t>
      </w:r>
    </w:p>
    <w:p w:rsidR="000B433A" w:rsidRPr="007E62B3" w:rsidRDefault="000B433A" w:rsidP="001B472E">
      <w:pPr>
        <w:pStyle w:val="Paragraphedeliste"/>
        <w:spacing w:before="120"/>
        <w:rPr>
          <w:rFonts w:cs="Calibri"/>
          <w:b/>
          <w:szCs w:val="24"/>
          <w:u w:val="single"/>
          <w:lang w:val="de-DE"/>
        </w:rPr>
      </w:pPr>
    </w:p>
    <w:p w:rsidR="000B433A" w:rsidRDefault="000B433A">
      <w:pPr>
        <w:pStyle w:val="Paragraphedeliste"/>
        <w:numPr>
          <w:ilvl w:val="1"/>
          <w:numId w:val="38"/>
        </w:numPr>
        <w:rPr>
          <w:rFonts w:cs="Calibri"/>
          <w:szCs w:val="24"/>
          <w:lang w:val="de-DE"/>
        </w:rPr>
      </w:pPr>
      <w:r>
        <w:rPr>
          <w:rFonts w:cs="Calibri"/>
          <w:lang w:val="de-DE"/>
        </w:rPr>
        <w:t xml:space="preserve">Aufrechterhaltung des Investitionsfördersystems: Investitionen im Zusammenhang mit der Umstellung auf Strom oder Biokraftstoffe oder längerfristig auf Synthesegas, verbesserte Herstellungsverfahren, den Kauf effizienterer Geräte oder jede andere Maßnahme zur Verbesserung der Energieeffizienz fördern. </w:t>
      </w:r>
    </w:p>
    <w:p w:rsidR="000B433A" w:rsidRDefault="000B433A">
      <w:pPr>
        <w:pStyle w:val="Paragraphedeliste"/>
        <w:numPr>
          <w:ilvl w:val="1"/>
          <w:numId w:val="37"/>
        </w:numPr>
        <w:autoSpaceDE w:val="0"/>
        <w:autoSpaceDN w:val="0"/>
        <w:adjustRightInd w:val="0"/>
        <w:ind w:left="1434" w:hanging="357"/>
        <w:rPr>
          <w:rFonts w:cs="Calibri"/>
          <w:szCs w:val="24"/>
          <w:lang w:val="de-DE"/>
        </w:rPr>
      </w:pPr>
      <w:r>
        <w:rPr>
          <w:rFonts w:cs="Calibri"/>
          <w:lang w:val="de-DE"/>
        </w:rPr>
        <w:t xml:space="preserve">Steuerabzüge für Investitionen zur Energieeinsparung sind für Investitionen bestimmt, die eine stärkere Elektrifizierung der Prozesse ermöglichen, für Investitionen, die die Verwendung klimaneutraler Kraftstoffe (Biokraftstoffe, Biogas oder Synthesegas aus kohlenstofffreien Energiequellen) ermöglichen, für Investitionen zur Verbesserung der Energieeffizienz. </w:t>
      </w:r>
    </w:p>
    <w:p w:rsidR="000B433A" w:rsidRDefault="000B433A">
      <w:pPr>
        <w:pStyle w:val="Paragraphedeliste"/>
        <w:numPr>
          <w:ilvl w:val="1"/>
          <w:numId w:val="37"/>
        </w:numPr>
        <w:autoSpaceDE w:val="0"/>
        <w:autoSpaceDN w:val="0"/>
        <w:adjustRightInd w:val="0"/>
        <w:ind w:left="1434" w:hanging="357"/>
        <w:rPr>
          <w:rFonts w:cs="Calibri"/>
          <w:szCs w:val="24"/>
          <w:lang w:val="de-DE"/>
        </w:rPr>
      </w:pPr>
      <w:r>
        <w:rPr>
          <w:rFonts w:cs="Calibri"/>
          <w:lang w:val="de-DE"/>
        </w:rPr>
        <w:t xml:space="preserve">Im Rahmen des Ökostrom-Fördersystems sollte eine Unterstützung für Stromerzeugungsanlagen auf der Grundlage von Synthesegas und/oder Abwärme eingeführt werden. </w:t>
      </w:r>
    </w:p>
    <w:p w:rsidR="000B433A" w:rsidRDefault="000B433A">
      <w:pPr>
        <w:pStyle w:val="Paragraphedeliste"/>
        <w:numPr>
          <w:ilvl w:val="1"/>
          <w:numId w:val="37"/>
        </w:numPr>
        <w:autoSpaceDE w:val="0"/>
        <w:autoSpaceDN w:val="0"/>
        <w:adjustRightInd w:val="0"/>
        <w:ind w:left="1434" w:hanging="357"/>
        <w:rPr>
          <w:rFonts w:cs="Calibri"/>
          <w:szCs w:val="24"/>
          <w:lang w:val="de-DE"/>
        </w:rPr>
      </w:pPr>
      <w:r>
        <w:rPr>
          <w:rFonts w:cs="Calibri"/>
          <w:lang w:val="de-DE"/>
        </w:rPr>
        <w:t>Entwicklung von ESCO</w:t>
      </w:r>
      <w:r w:rsidRPr="007E62B3">
        <w:rPr>
          <w:szCs w:val="24"/>
          <w:vertAlign w:val="superscript"/>
          <w:lang w:val="de-DE"/>
        </w:rPr>
        <w:footnoteReference w:id="18"/>
      </w:r>
    </w:p>
    <w:p w:rsidR="000B433A" w:rsidRDefault="000B433A">
      <w:pPr>
        <w:pStyle w:val="Paragraphedeliste"/>
        <w:numPr>
          <w:ilvl w:val="1"/>
          <w:numId w:val="37"/>
        </w:numPr>
        <w:autoSpaceDE w:val="0"/>
        <w:autoSpaceDN w:val="0"/>
        <w:adjustRightInd w:val="0"/>
        <w:ind w:left="1434" w:hanging="357"/>
        <w:rPr>
          <w:rFonts w:cs="Calibri"/>
          <w:szCs w:val="24"/>
          <w:lang w:val="de-DE"/>
        </w:rPr>
      </w:pPr>
      <w:r>
        <w:rPr>
          <w:rFonts w:cs="Calibri"/>
          <w:lang w:val="de-DE"/>
        </w:rPr>
        <w:t>Einrichtung eines spezifischen Fördermechanismus für die Stromerzeugung durch Rückgewinnung der Abwärme, der eine bessere Nutzung der Abwärme ermöglicht.</w:t>
      </w:r>
    </w:p>
    <w:p w:rsidR="000B433A" w:rsidRPr="007E62B3" w:rsidRDefault="000B433A" w:rsidP="00E15C2C">
      <w:pPr>
        <w:pStyle w:val="Paragraphedeliste"/>
        <w:numPr>
          <w:ilvl w:val="1"/>
          <w:numId w:val="6"/>
        </w:numPr>
        <w:rPr>
          <w:rFonts w:cs="Calibri"/>
          <w:szCs w:val="24"/>
          <w:lang w:val="de-DE"/>
        </w:rPr>
      </w:pPr>
      <w:r>
        <w:rPr>
          <w:rFonts w:cs="Calibri"/>
          <w:lang w:val="de-DE"/>
        </w:rPr>
        <w:t>Beibehaltung des zinsgünstigen Kreditmechanismus für Unternehmen (Novallia)</w:t>
      </w:r>
    </w:p>
    <w:p w:rsidR="000B433A" w:rsidRPr="007E62B3" w:rsidRDefault="000B433A" w:rsidP="00E15C2C">
      <w:pPr>
        <w:pStyle w:val="Paragraphedeliste"/>
        <w:numPr>
          <w:ilvl w:val="1"/>
          <w:numId w:val="6"/>
        </w:numPr>
        <w:rPr>
          <w:rFonts w:cs="Calibri"/>
          <w:szCs w:val="24"/>
          <w:lang w:val="de-DE"/>
        </w:rPr>
      </w:pPr>
      <w:r>
        <w:rPr>
          <w:rFonts w:cs="Calibri"/>
          <w:lang w:val="de-DE"/>
        </w:rPr>
        <w:t>Verlängerung bestehender Branchenabkommen (einige wenige Branchen sind nicht im EHS enthalten)</w:t>
      </w:r>
    </w:p>
    <w:p w:rsidR="000B433A" w:rsidRPr="007E62B3" w:rsidRDefault="000B433A" w:rsidP="007260C4">
      <w:pPr>
        <w:rPr>
          <w:rFonts w:cs="Calibri"/>
          <w:szCs w:val="24"/>
          <w:lang w:val="de-DE"/>
        </w:rPr>
      </w:pPr>
      <w:r>
        <w:rPr>
          <w:rFonts w:cs="Calibri"/>
          <w:lang w:val="de-DE"/>
        </w:rPr>
        <w:t>Kohlenstoffplan für KMU (zunächst freiwillig, später obligatorisch)</w:t>
      </w:r>
    </w:p>
    <w:p w:rsidR="000B433A" w:rsidRPr="007E62B3" w:rsidRDefault="000B433A" w:rsidP="0075235D">
      <w:pPr>
        <w:pStyle w:val="Titre3"/>
        <w:rPr>
          <w:rFonts w:ascii="Calibri" w:hAnsi="Calibri" w:cs="Calibri"/>
          <w:i/>
          <w:szCs w:val="24"/>
          <w:lang w:val="de-DE"/>
        </w:rPr>
      </w:pPr>
      <w:r>
        <w:rPr>
          <w:rFonts w:ascii="Calibri" w:hAnsi="Calibri" w:cs="Calibri"/>
          <w:i/>
          <w:lang w:val="de-DE"/>
        </w:rPr>
        <w:t>Luftqualität: Verschärfung der Genehmigungsauflagen, um in den hauptsächlichen Industriesektoren (außer Lösungsmitteln) auf niedrige AEW-BVT-Werte (Assoziierte Emissionswerte - Beste Verfügbare Techniken) hinzuarbeiten.</w:t>
      </w:r>
    </w:p>
    <w:p w:rsidR="000B433A" w:rsidRPr="007E62B3" w:rsidRDefault="000B433A" w:rsidP="004F06CE">
      <w:pPr>
        <w:pStyle w:val="Sansinterligne"/>
        <w:rPr>
          <w:rFonts w:ascii="Calibri" w:hAnsi="Calibri" w:cs="Calibri"/>
          <w:sz w:val="24"/>
          <w:szCs w:val="24"/>
          <w:lang w:val="de-DE"/>
        </w:rPr>
      </w:pPr>
      <w:r>
        <w:rPr>
          <w:rFonts w:ascii="Calibri" w:hAnsi="Calibri" w:cs="Calibri"/>
          <w:sz w:val="24"/>
          <w:lang w:val="de-DE"/>
        </w:rPr>
        <w:t>Gemäß der Richtlinie 2010/75/EG über Industrieemissionen, der so genannten IED-Richtlinie, und der wallonischen Verordnung vom 11. März 1999 über Umweltgenehmigungen müssen die zuständigen Behörden die Betriebsbedingungen der betreffenden Anlagen auf die Leistung der besten verfügbaren Techniken (BVT) stützen. Insbesondere sollten diese BVT als Grundlage für die Festlegung der Emissionsgrenzwerte (EGW) für Luftschadstoffe unter Betriebsbedingungen dienen. Die mit den BVT (AEW-BVT) verbundenen Emissionswerte werden in Form eines „Bereichs“ zwischen einem niedrigen und einem hohen Wert ausgedrückt. Es ist ein evolutionärer Prozess, um im Laufe der Zeit die Vorteile technologischer Entwicklungen zur Verbesserung der Emissionskontrolle zu integrieren.</w:t>
      </w:r>
    </w:p>
    <w:p w:rsidR="000B433A" w:rsidRPr="007E62B3" w:rsidRDefault="000B433A" w:rsidP="004F06CE">
      <w:pPr>
        <w:pStyle w:val="Sansinterligne"/>
        <w:rPr>
          <w:rFonts w:ascii="Calibri" w:hAnsi="Calibri" w:cs="Calibri"/>
          <w:sz w:val="24"/>
          <w:szCs w:val="24"/>
          <w:lang w:val="de-DE"/>
        </w:rPr>
      </w:pPr>
    </w:p>
    <w:p w:rsidR="000B433A" w:rsidRPr="007E62B3" w:rsidRDefault="000B433A" w:rsidP="004F06CE">
      <w:pPr>
        <w:pStyle w:val="Sansinterligne"/>
        <w:rPr>
          <w:rFonts w:ascii="Calibri" w:hAnsi="Calibri" w:cs="Calibri"/>
          <w:sz w:val="24"/>
          <w:szCs w:val="24"/>
          <w:lang w:val="de-DE"/>
        </w:rPr>
      </w:pPr>
      <w:r>
        <w:rPr>
          <w:rFonts w:ascii="Calibri" w:hAnsi="Calibri" w:cs="Calibri"/>
          <w:sz w:val="24"/>
          <w:lang w:val="de-DE"/>
        </w:rPr>
        <w:t xml:space="preserve">In einem Konsultationsprozess mit den Betreibern bestehender Anlagen, auf die in Anhang I der IED-Richtlinie Bezug genommen wird, wird die Wallonie in den nachstehend genannten Sektoren unter Berücksichtigung der technischen und wirtschaftlichen Machbarkeit bestrebt sein, niedrigere und effizientere AEW-BVT-Werte durch die Überprüfung der Genehmigungen festzulegen. </w:t>
      </w:r>
    </w:p>
    <w:p w:rsidR="000B433A" w:rsidRPr="007E62B3" w:rsidRDefault="000B433A" w:rsidP="004F06CE">
      <w:pPr>
        <w:pStyle w:val="Sansinterligne"/>
        <w:rPr>
          <w:rFonts w:ascii="Calibri" w:hAnsi="Calibri" w:cs="Calibri"/>
          <w:sz w:val="24"/>
          <w:szCs w:val="24"/>
          <w:lang w:val="de-DE"/>
        </w:rPr>
      </w:pPr>
    </w:p>
    <w:p w:rsidR="000B433A" w:rsidRPr="007E62B3" w:rsidRDefault="000B433A" w:rsidP="004F06CE">
      <w:pPr>
        <w:pStyle w:val="Sansinterligne"/>
        <w:rPr>
          <w:rFonts w:ascii="Calibri" w:hAnsi="Calibri" w:cs="Calibri"/>
          <w:sz w:val="24"/>
          <w:szCs w:val="24"/>
          <w:lang w:val="de-DE"/>
        </w:rPr>
      </w:pPr>
      <w:r>
        <w:rPr>
          <w:rFonts w:ascii="Calibri" w:hAnsi="Calibri" w:cs="Calibri"/>
          <w:sz w:val="24"/>
          <w:lang w:val="de-DE"/>
        </w:rPr>
        <w:t>Jede neue Anlage in jeglichen Sektoren, die der Anwendung der IED-Richtlinie unterliegen, unterliegt nach Erteilung der Umweltgenehmigung automatisch den niedrigen Werten der AEW-BVT.</w:t>
      </w:r>
    </w:p>
    <w:p w:rsidR="000B433A" w:rsidRPr="007E62B3" w:rsidRDefault="000B433A" w:rsidP="004F06CE">
      <w:pPr>
        <w:pStyle w:val="Sansinterligne"/>
        <w:rPr>
          <w:rFonts w:ascii="Calibri" w:hAnsi="Calibri" w:cs="Calibri"/>
          <w:sz w:val="24"/>
          <w:szCs w:val="24"/>
          <w:lang w:val="de-DE"/>
        </w:rPr>
      </w:pPr>
    </w:p>
    <w:p w:rsidR="000B433A" w:rsidRDefault="000B433A">
      <w:pPr>
        <w:pStyle w:val="Sansinterligne"/>
        <w:numPr>
          <w:ilvl w:val="0"/>
          <w:numId w:val="18"/>
        </w:numPr>
        <w:rPr>
          <w:rFonts w:ascii="Calibri" w:hAnsi="Calibri" w:cs="Calibri"/>
          <w:sz w:val="24"/>
          <w:szCs w:val="24"/>
          <w:lang w:val="de-DE"/>
        </w:rPr>
      </w:pPr>
      <w:r>
        <w:rPr>
          <w:rFonts w:ascii="Calibri" w:hAnsi="Calibri" w:cs="Calibri"/>
          <w:sz w:val="24"/>
          <w:lang w:val="de-DE"/>
        </w:rPr>
        <w:t>Verbrennungsanlagen;</w:t>
      </w:r>
    </w:p>
    <w:p w:rsidR="000B433A" w:rsidRDefault="000B433A">
      <w:pPr>
        <w:pStyle w:val="Sansinterligne"/>
        <w:numPr>
          <w:ilvl w:val="0"/>
          <w:numId w:val="18"/>
        </w:numPr>
        <w:rPr>
          <w:rFonts w:ascii="Calibri" w:hAnsi="Calibri" w:cs="Calibri"/>
          <w:sz w:val="24"/>
          <w:szCs w:val="24"/>
          <w:lang w:val="de-DE"/>
        </w:rPr>
      </w:pPr>
      <w:r>
        <w:rPr>
          <w:rFonts w:ascii="Calibri" w:hAnsi="Calibri" w:cs="Calibri"/>
          <w:sz w:val="24"/>
          <w:lang w:val="de-DE"/>
        </w:rPr>
        <w:t>Industrie nicht-eisenhaltiger Metalle: Herstellung von Zink aus der Zweitschmelze oder anderen nicht-eisenhaltigen Metallen;</w:t>
      </w:r>
    </w:p>
    <w:p w:rsidR="000B433A" w:rsidRDefault="000B433A">
      <w:pPr>
        <w:pStyle w:val="Sansinterligne"/>
        <w:numPr>
          <w:ilvl w:val="0"/>
          <w:numId w:val="18"/>
        </w:numPr>
        <w:rPr>
          <w:rFonts w:ascii="Calibri" w:hAnsi="Calibri" w:cs="Calibri"/>
          <w:sz w:val="24"/>
          <w:szCs w:val="24"/>
          <w:lang w:val="de-DE"/>
        </w:rPr>
      </w:pPr>
      <w:r>
        <w:rPr>
          <w:rFonts w:ascii="Calibri" w:hAnsi="Calibri" w:cs="Calibri"/>
          <w:sz w:val="24"/>
          <w:lang w:val="de-DE"/>
        </w:rPr>
        <w:t xml:space="preserve">Zementindustrie: Herstellung von Klinker </w:t>
      </w:r>
    </w:p>
    <w:p w:rsidR="000B433A" w:rsidRDefault="000B433A">
      <w:pPr>
        <w:pStyle w:val="Sansinterligne"/>
        <w:numPr>
          <w:ilvl w:val="0"/>
          <w:numId w:val="18"/>
        </w:numPr>
        <w:rPr>
          <w:rFonts w:ascii="Calibri" w:hAnsi="Calibri" w:cs="Calibri"/>
          <w:sz w:val="24"/>
          <w:szCs w:val="24"/>
          <w:lang w:val="de-DE"/>
        </w:rPr>
      </w:pPr>
      <w:r>
        <w:rPr>
          <w:rFonts w:ascii="Calibri" w:hAnsi="Calibri" w:cs="Calibri"/>
          <w:sz w:val="24"/>
          <w:lang w:val="de-DE"/>
        </w:rPr>
        <w:t>Kalkindustrie: Herstellung von Kalk und Magnesia;</w:t>
      </w:r>
    </w:p>
    <w:p w:rsidR="000B433A" w:rsidRDefault="000B433A">
      <w:pPr>
        <w:pStyle w:val="Sansinterligne"/>
        <w:numPr>
          <w:ilvl w:val="0"/>
          <w:numId w:val="18"/>
        </w:numPr>
        <w:rPr>
          <w:rFonts w:ascii="Calibri" w:hAnsi="Calibri" w:cs="Calibri"/>
          <w:sz w:val="24"/>
          <w:szCs w:val="24"/>
          <w:lang w:val="de-DE"/>
        </w:rPr>
      </w:pPr>
      <w:r>
        <w:rPr>
          <w:rFonts w:ascii="Calibri" w:hAnsi="Calibri" w:cs="Calibri"/>
          <w:sz w:val="24"/>
          <w:lang w:val="de-DE"/>
        </w:rPr>
        <w:t>Glasindustrie: Herstellung von Flachglas, Verpackungsglas und Glasfaser;</w:t>
      </w:r>
    </w:p>
    <w:p w:rsidR="000B433A" w:rsidRDefault="000B433A">
      <w:pPr>
        <w:pStyle w:val="Sansinterligne"/>
        <w:numPr>
          <w:ilvl w:val="0"/>
          <w:numId w:val="18"/>
        </w:numPr>
        <w:rPr>
          <w:rFonts w:ascii="Calibri" w:hAnsi="Calibri" w:cs="Calibri"/>
          <w:sz w:val="24"/>
          <w:szCs w:val="24"/>
          <w:lang w:val="de-DE"/>
        </w:rPr>
      </w:pPr>
      <w:r>
        <w:rPr>
          <w:rFonts w:ascii="Calibri" w:hAnsi="Calibri" w:cs="Calibri"/>
          <w:sz w:val="24"/>
          <w:lang w:val="de-DE"/>
        </w:rPr>
        <w:t>Metallurgische Industrie: Herstellung von Elektrostahl;</w:t>
      </w:r>
    </w:p>
    <w:p w:rsidR="000B433A" w:rsidRDefault="000B433A">
      <w:pPr>
        <w:pStyle w:val="Sansinterligne"/>
        <w:numPr>
          <w:ilvl w:val="0"/>
          <w:numId w:val="18"/>
        </w:numPr>
        <w:rPr>
          <w:rFonts w:ascii="Calibri" w:hAnsi="Calibri" w:cs="Calibri"/>
          <w:sz w:val="24"/>
          <w:szCs w:val="24"/>
          <w:lang w:val="de-DE"/>
        </w:rPr>
      </w:pPr>
      <w:r>
        <w:rPr>
          <w:rFonts w:ascii="Calibri" w:hAnsi="Calibri" w:cs="Calibri"/>
          <w:sz w:val="24"/>
          <w:lang w:val="de-DE"/>
        </w:rPr>
        <w:t>Holzplattenindustrie;</w:t>
      </w:r>
    </w:p>
    <w:p w:rsidR="000B433A" w:rsidRDefault="000B433A">
      <w:pPr>
        <w:pStyle w:val="Sansinterligne"/>
        <w:numPr>
          <w:ilvl w:val="0"/>
          <w:numId w:val="18"/>
        </w:numPr>
        <w:rPr>
          <w:rFonts w:ascii="Calibri" w:hAnsi="Calibri" w:cs="Calibri"/>
          <w:sz w:val="24"/>
          <w:szCs w:val="24"/>
          <w:lang w:val="de-DE"/>
        </w:rPr>
      </w:pPr>
      <w:r>
        <w:rPr>
          <w:rFonts w:ascii="Calibri" w:hAnsi="Calibri" w:cs="Calibri"/>
          <w:sz w:val="24"/>
          <w:lang w:val="de-DE"/>
        </w:rPr>
        <w:t>Zellstoff-, Papier- und Kartonindustrie.</w:t>
      </w:r>
    </w:p>
    <w:p w:rsidR="000B433A" w:rsidRPr="007E62B3" w:rsidRDefault="000B433A" w:rsidP="004F06CE">
      <w:pPr>
        <w:pStyle w:val="Sansinterligne"/>
        <w:rPr>
          <w:rFonts w:ascii="Calibri" w:hAnsi="Calibri" w:cs="Calibri"/>
          <w:sz w:val="24"/>
          <w:szCs w:val="24"/>
          <w:lang w:val="de-DE"/>
        </w:rPr>
      </w:pPr>
    </w:p>
    <w:p w:rsidR="000B433A" w:rsidRPr="007E62B3" w:rsidRDefault="000B433A" w:rsidP="00E26458">
      <w:pPr>
        <w:pStyle w:val="Sansinterligne"/>
        <w:rPr>
          <w:rFonts w:ascii="Calibri" w:hAnsi="Calibri" w:cs="Calibri"/>
          <w:sz w:val="24"/>
          <w:szCs w:val="24"/>
          <w:lang w:val="de-DE"/>
        </w:rPr>
      </w:pPr>
      <w:r>
        <w:rPr>
          <w:rFonts w:ascii="Calibri" w:hAnsi="Calibri" w:cs="Calibri"/>
          <w:sz w:val="24"/>
          <w:lang w:val="de-DE"/>
        </w:rPr>
        <w:t>Für den Chemiesektor, dessen BVT-Schlussfolgerungen noch nicht vorliegen, dessen Genehmigungen jedoch kürzlich auf der Grundlage bestehender BVT-Merkblätter überarbeitet wurden, werden die Bedingungen im Lichte der BVT-Schlussfolgerungen geprüft, sobald sie verfügbar werden, wobei es ebenso darum geht, die Umweltverträglichkeit von Anlagen in Absprache mit den Betreibern und unter Berücksichtigung der technischen und wirtschaftlichen Machbarkeit zu verbessern.</w:t>
      </w:r>
    </w:p>
    <w:p w:rsidR="000B433A" w:rsidRPr="007E62B3" w:rsidRDefault="000B433A" w:rsidP="004F06CE">
      <w:pPr>
        <w:pStyle w:val="Sansinterligne"/>
        <w:rPr>
          <w:rFonts w:ascii="Calibri" w:hAnsi="Calibri" w:cs="Calibri"/>
          <w:sz w:val="24"/>
          <w:szCs w:val="24"/>
          <w:lang w:val="de-DE"/>
        </w:rPr>
      </w:pPr>
    </w:p>
    <w:p w:rsidR="000B433A" w:rsidRPr="007E62B3" w:rsidRDefault="000B433A" w:rsidP="0075235D">
      <w:pPr>
        <w:pStyle w:val="Titre3"/>
        <w:rPr>
          <w:rFonts w:ascii="Calibri" w:hAnsi="Calibri" w:cs="Calibri"/>
          <w:i/>
          <w:szCs w:val="24"/>
          <w:lang w:val="de-DE"/>
        </w:rPr>
      </w:pPr>
      <w:r>
        <w:rPr>
          <w:rFonts w:ascii="Calibri" w:hAnsi="Calibri" w:cs="Calibri"/>
          <w:i/>
          <w:lang w:val="de-DE"/>
        </w:rPr>
        <w:t>Verwendung von industriellen Lösungsmitteln</w:t>
      </w:r>
    </w:p>
    <w:p w:rsidR="000B433A" w:rsidRPr="007E62B3" w:rsidRDefault="000B433A" w:rsidP="004F06CE">
      <w:pPr>
        <w:pStyle w:val="Sansinterligne"/>
        <w:rPr>
          <w:rFonts w:ascii="Calibri" w:hAnsi="Calibri" w:cs="Calibri"/>
          <w:sz w:val="24"/>
          <w:szCs w:val="24"/>
          <w:lang w:val="de-DE"/>
        </w:rPr>
      </w:pPr>
      <w:r>
        <w:rPr>
          <w:rFonts w:ascii="Calibri" w:hAnsi="Calibri" w:cs="Calibri"/>
          <w:sz w:val="24"/>
          <w:lang w:val="de-DE"/>
        </w:rPr>
        <w:t xml:space="preserve">Der industrielle Einsatz von Lösungsmitteln umfasst ein breites Spektrum von Branchen. Je nach Umfang der IED-Richtlinie gelten für diese Sektoren verschiedene Arten von Maßnahmen. </w:t>
      </w:r>
    </w:p>
    <w:p w:rsidR="000B433A" w:rsidRPr="007E62B3" w:rsidRDefault="000B433A" w:rsidP="004F06CE">
      <w:pPr>
        <w:pStyle w:val="Sansinterligne"/>
        <w:rPr>
          <w:rFonts w:ascii="Calibri" w:hAnsi="Calibri" w:cs="Calibri"/>
          <w:sz w:val="24"/>
          <w:szCs w:val="24"/>
          <w:lang w:val="de-DE"/>
        </w:rPr>
      </w:pPr>
      <w:r>
        <w:rPr>
          <w:rFonts w:ascii="Calibri" w:hAnsi="Calibri" w:cs="Calibri"/>
          <w:sz w:val="24"/>
          <w:lang w:val="de-DE"/>
        </w:rPr>
        <w:t>Einige Betriebe, die nicht unter die IED-Richtlinie fallen, unterliegen jedoch dem wallonischen Dekret vom 11. März 1999 über Umweltgenehmigungen.</w:t>
      </w:r>
    </w:p>
    <w:p w:rsidR="000B433A" w:rsidRPr="007E62B3" w:rsidRDefault="000B433A" w:rsidP="004F06CE">
      <w:pPr>
        <w:pStyle w:val="Sansinterligne"/>
        <w:rPr>
          <w:rFonts w:ascii="Calibri" w:hAnsi="Calibri" w:cs="Calibri"/>
          <w:sz w:val="24"/>
          <w:szCs w:val="24"/>
          <w:lang w:val="de-DE"/>
        </w:rPr>
      </w:pPr>
    </w:p>
    <w:p w:rsidR="000B433A" w:rsidRPr="007E62B3" w:rsidRDefault="000B433A" w:rsidP="004F06CE">
      <w:pPr>
        <w:pStyle w:val="Sansinterligne"/>
        <w:rPr>
          <w:rFonts w:ascii="Calibri" w:hAnsi="Calibri" w:cs="Calibri"/>
          <w:sz w:val="24"/>
          <w:szCs w:val="24"/>
          <w:lang w:val="de-DE"/>
        </w:rPr>
      </w:pPr>
      <w:r>
        <w:rPr>
          <w:rFonts w:ascii="Calibri" w:hAnsi="Calibri" w:cs="Calibri"/>
          <w:sz w:val="24"/>
          <w:lang w:val="de-DE"/>
        </w:rPr>
        <w:t>Es ist wichtig, im Laufe der Zeit die Vorteile technologischer Entwicklungen zur Verbesserung der Emissionskontrolle zu integrieren.</w:t>
      </w:r>
    </w:p>
    <w:p w:rsidR="000B433A" w:rsidRPr="007E62B3" w:rsidRDefault="000B433A" w:rsidP="004F06CE">
      <w:pPr>
        <w:pStyle w:val="Sansinterligne"/>
        <w:rPr>
          <w:rFonts w:ascii="Calibri" w:hAnsi="Calibri" w:cs="Calibri"/>
          <w:sz w:val="24"/>
          <w:szCs w:val="24"/>
          <w:lang w:val="de-DE"/>
        </w:rPr>
      </w:pPr>
    </w:p>
    <w:p w:rsidR="000B433A" w:rsidRDefault="000B433A">
      <w:pPr>
        <w:pStyle w:val="Sansinterligne"/>
        <w:numPr>
          <w:ilvl w:val="0"/>
          <w:numId w:val="16"/>
        </w:numPr>
        <w:ind w:left="284" w:hanging="284"/>
        <w:rPr>
          <w:rFonts w:ascii="Calibri" w:hAnsi="Calibri" w:cs="Calibri"/>
          <w:b/>
          <w:sz w:val="24"/>
          <w:szCs w:val="24"/>
          <w:lang w:val="de-DE"/>
        </w:rPr>
      </w:pPr>
      <w:r>
        <w:rPr>
          <w:rFonts w:ascii="Calibri" w:hAnsi="Calibri" w:cs="Calibri"/>
          <w:b/>
          <w:sz w:val="24"/>
          <w:lang w:val="de-DE"/>
        </w:rPr>
        <w:t>Anlagen, die Lösungsmittel verbrauchen und in Anhang I und Anhang VII der IED-Richtlinie aufgeführt sind und für die die besten verfügbaren Techniken (BVT) gelten.</w:t>
      </w:r>
    </w:p>
    <w:p w:rsidR="000B433A" w:rsidRPr="007E62B3" w:rsidRDefault="000B433A" w:rsidP="004F06CE">
      <w:pPr>
        <w:pStyle w:val="Sansinterligne"/>
        <w:rPr>
          <w:rFonts w:ascii="Calibri" w:hAnsi="Calibri" w:cs="Calibri"/>
          <w:sz w:val="24"/>
          <w:szCs w:val="24"/>
          <w:lang w:val="de-DE"/>
        </w:rPr>
      </w:pPr>
    </w:p>
    <w:p w:rsidR="000B433A" w:rsidRPr="007E62B3" w:rsidRDefault="000B433A" w:rsidP="00B54CA5">
      <w:pPr>
        <w:pStyle w:val="Sansinterligne"/>
        <w:ind w:left="426"/>
        <w:rPr>
          <w:rFonts w:ascii="Calibri" w:hAnsi="Calibri" w:cs="Calibri"/>
          <w:sz w:val="24"/>
          <w:szCs w:val="24"/>
          <w:lang w:val="de-DE"/>
        </w:rPr>
      </w:pPr>
      <w:r>
        <w:rPr>
          <w:rFonts w:ascii="Calibri" w:hAnsi="Calibri" w:cs="Calibri"/>
          <w:sz w:val="24"/>
          <w:lang w:val="de-DE"/>
        </w:rPr>
        <w:t xml:space="preserve">In einem Konsultationsprozess mit den Betreibern bestehender Anlagen wird die Wallonie in den nachstehend genannten Sektoren unter Berücksichtigung der technischen und wirtschaftlichen Machbarkeit bestrebt sein, niedrigere und effizientere AEW-BVT-Werte durch die Überprüfung der Genehmigungen festzulegen. </w:t>
      </w:r>
    </w:p>
    <w:p w:rsidR="000B433A" w:rsidRDefault="000B433A">
      <w:pPr>
        <w:pStyle w:val="Sansinterligne"/>
        <w:numPr>
          <w:ilvl w:val="1"/>
          <w:numId w:val="15"/>
        </w:numPr>
        <w:rPr>
          <w:rFonts w:ascii="Calibri" w:hAnsi="Calibri" w:cs="Calibri"/>
          <w:sz w:val="24"/>
          <w:szCs w:val="24"/>
          <w:lang w:val="de-DE"/>
        </w:rPr>
      </w:pPr>
      <w:r>
        <w:rPr>
          <w:rFonts w:ascii="Calibri" w:hAnsi="Calibri" w:cs="Calibri"/>
          <w:sz w:val="24"/>
          <w:lang w:val="de-DE"/>
        </w:rPr>
        <w:t>Lackauftrag (in Industriebereichen);</w:t>
      </w:r>
    </w:p>
    <w:p w:rsidR="000B433A" w:rsidRDefault="000B433A">
      <w:pPr>
        <w:pStyle w:val="Sansinterligne"/>
        <w:numPr>
          <w:ilvl w:val="1"/>
          <w:numId w:val="15"/>
        </w:numPr>
        <w:rPr>
          <w:rFonts w:ascii="Calibri" w:hAnsi="Calibri" w:cs="Calibri"/>
          <w:sz w:val="24"/>
          <w:szCs w:val="24"/>
          <w:lang w:val="de-DE"/>
        </w:rPr>
      </w:pPr>
      <w:r>
        <w:rPr>
          <w:rFonts w:ascii="Calibri" w:hAnsi="Calibri" w:cs="Calibri"/>
          <w:sz w:val="24"/>
          <w:lang w:val="de-DE"/>
        </w:rPr>
        <w:t>Druck;</w:t>
      </w:r>
    </w:p>
    <w:p w:rsidR="000B433A" w:rsidRDefault="000B433A">
      <w:pPr>
        <w:pStyle w:val="Sansinterligne"/>
        <w:numPr>
          <w:ilvl w:val="1"/>
          <w:numId w:val="15"/>
        </w:numPr>
        <w:rPr>
          <w:rFonts w:ascii="Calibri" w:hAnsi="Calibri" w:cs="Calibri"/>
          <w:sz w:val="24"/>
          <w:szCs w:val="24"/>
          <w:lang w:val="de-DE"/>
        </w:rPr>
      </w:pPr>
      <w:r>
        <w:rPr>
          <w:rFonts w:ascii="Calibri" w:hAnsi="Calibri" w:cs="Calibri"/>
          <w:sz w:val="24"/>
          <w:lang w:val="de-DE"/>
        </w:rPr>
        <w:t>Anwendung von Leimen und Klebstoffen und Herstellung von Klebstoffen, fotografischen Filmen und Magnetbändern;</w:t>
      </w:r>
    </w:p>
    <w:p w:rsidR="000B433A" w:rsidRDefault="000B433A">
      <w:pPr>
        <w:pStyle w:val="Sansinterligne"/>
        <w:numPr>
          <w:ilvl w:val="1"/>
          <w:numId w:val="15"/>
        </w:numPr>
        <w:rPr>
          <w:rFonts w:ascii="Calibri" w:hAnsi="Calibri" w:cs="Calibri"/>
          <w:sz w:val="24"/>
          <w:szCs w:val="24"/>
          <w:lang w:val="de-DE"/>
        </w:rPr>
      </w:pPr>
      <w:r>
        <w:rPr>
          <w:rFonts w:ascii="Calibri" w:hAnsi="Calibri" w:cs="Calibri"/>
          <w:sz w:val="24"/>
          <w:lang w:val="de-DE"/>
        </w:rPr>
        <w:t>Oberflächenreinigung / Entfettung;</w:t>
      </w:r>
    </w:p>
    <w:p w:rsidR="000B433A" w:rsidRDefault="000B433A">
      <w:pPr>
        <w:pStyle w:val="Sansinterligne"/>
        <w:numPr>
          <w:ilvl w:val="1"/>
          <w:numId w:val="15"/>
        </w:numPr>
        <w:rPr>
          <w:rFonts w:ascii="Calibri" w:hAnsi="Calibri" w:cs="Calibri"/>
          <w:sz w:val="24"/>
          <w:szCs w:val="24"/>
          <w:lang w:val="de-DE"/>
        </w:rPr>
      </w:pPr>
      <w:r>
        <w:rPr>
          <w:rFonts w:ascii="Calibri" w:hAnsi="Calibri" w:cs="Calibri"/>
          <w:sz w:val="24"/>
          <w:lang w:val="de-DE"/>
        </w:rPr>
        <w:t>Holzschutz.</w:t>
      </w:r>
    </w:p>
    <w:p w:rsidR="000B433A" w:rsidRPr="007E62B3" w:rsidRDefault="000B433A" w:rsidP="004F06CE">
      <w:pPr>
        <w:pStyle w:val="Sansinterligne"/>
        <w:ind w:left="426" w:hanging="426"/>
        <w:rPr>
          <w:rFonts w:ascii="Calibri" w:hAnsi="Calibri" w:cs="Calibri"/>
          <w:sz w:val="24"/>
          <w:szCs w:val="24"/>
          <w:lang w:val="de-DE"/>
        </w:rPr>
      </w:pPr>
    </w:p>
    <w:p w:rsidR="000B433A" w:rsidRDefault="000B433A">
      <w:pPr>
        <w:pStyle w:val="Sansinterligne"/>
        <w:numPr>
          <w:ilvl w:val="0"/>
          <w:numId w:val="16"/>
        </w:numPr>
        <w:ind w:left="284" w:hanging="284"/>
        <w:rPr>
          <w:rFonts w:ascii="Calibri" w:hAnsi="Calibri" w:cs="Calibri"/>
          <w:b/>
          <w:sz w:val="24"/>
          <w:szCs w:val="24"/>
          <w:lang w:val="de-DE"/>
        </w:rPr>
      </w:pPr>
      <w:r>
        <w:rPr>
          <w:rFonts w:ascii="Calibri" w:hAnsi="Calibri" w:cs="Calibri"/>
          <w:b/>
          <w:sz w:val="24"/>
          <w:lang w:val="de-DE"/>
        </w:rPr>
        <w:t xml:space="preserve"> Anlagen, die Lösungsmittel verbrauchen und in Anhang I und Anhang VII der IED-Richtlinie aufgeführt sind und für die keine besten verfügbaren Techniken (BVT) bestimmt wurden.</w:t>
      </w:r>
    </w:p>
    <w:p w:rsidR="000B433A" w:rsidRPr="007E62B3" w:rsidRDefault="000B433A" w:rsidP="004F06CE">
      <w:pPr>
        <w:pStyle w:val="Sansinterligne"/>
        <w:rPr>
          <w:rFonts w:ascii="Calibri" w:hAnsi="Calibri" w:cs="Calibri"/>
          <w:sz w:val="24"/>
          <w:szCs w:val="24"/>
          <w:lang w:val="de-DE"/>
        </w:rPr>
      </w:pPr>
    </w:p>
    <w:p w:rsidR="000B433A" w:rsidRDefault="000B433A">
      <w:pPr>
        <w:pStyle w:val="Sansinterligne"/>
        <w:numPr>
          <w:ilvl w:val="0"/>
          <w:numId w:val="17"/>
        </w:numPr>
        <w:ind w:left="709" w:hanging="283"/>
        <w:rPr>
          <w:rFonts w:ascii="Calibri" w:hAnsi="Calibri" w:cs="Calibri"/>
          <w:sz w:val="24"/>
          <w:szCs w:val="24"/>
          <w:lang w:val="de-DE"/>
        </w:rPr>
      </w:pPr>
      <w:r>
        <w:rPr>
          <w:rFonts w:ascii="Calibri" w:hAnsi="Calibri" w:cs="Calibri"/>
          <w:sz w:val="24"/>
          <w:lang w:val="de-DE"/>
        </w:rPr>
        <w:t>Für Anlagen, die in den Anhängen I und VII aufgeführt sind, für die aber noch keine Schlussfolgerungen in Bezug auf die BVT vorliegen, werden die Genehmigungen auf der Grundlage der bestehenden BVT-Merkblätter oder der in Anhang VII aufgeführten Emissionsgrenzwerte überprüft, mit dem gleichen Ziel, die Umweltverträglichkeit der Anlagen in Absprache mit den Betreibern und unter Berücksichtigung der technischen und wirtschaftlichen Machbarkeit zu verbessern.</w:t>
      </w:r>
    </w:p>
    <w:p w:rsidR="000B433A" w:rsidRPr="007E62B3" w:rsidRDefault="000B433A" w:rsidP="004F06CE">
      <w:pPr>
        <w:pStyle w:val="Sansinterligne"/>
        <w:ind w:left="709" w:hanging="283"/>
        <w:rPr>
          <w:rFonts w:ascii="Calibri" w:hAnsi="Calibri" w:cs="Calibri"/>
          <w:sz w:val="24"/>
          <w:szCs w:val="24"/>
          <w:lang w:val="de-DE"/>
        </w:rPr>
      </w:pPr>
    </w:p>
    <w:p w:rsidR="000B433A" w:rsidRDefault="000B433A">
      <w:pPr>
        <w:pStyle w:val="Sansinterligne"/>
        <w:numPr>
          <w:ilvl w:val="0"/>
          <w:numId w:val="17"/>
        </w:numPr>
        <w:ind w:left="709" w:hanging="283"/>
        <w:rPr>
          <w:rFonts w:ascii="Calibri" w:hAnsi="Calibri" w:cs="Calibri"/>
          <w:sz w:val="24"/>
          <w:szCs w:val="24"/>
          <w:lang w:val="de-DE"/>
        </w:rPr>
      </w:pPr>
      <w:r>
        <w:rPr>
          <w:rFonts w:ascii="Calibri" w:hAnsi="Calibri" w:cs="Calibri"/>
          <w:sz w:val="24"/>
          <w:lang w:val="de-DE"/>
        </w:rPr>
        <w:t>Für Anlagen, die nicht in Anhang I, jedoch in Anhang VII aufgeführt sind, werden die Genehmigungen auf der Grundlage der in Anhang VII aufgeführten Emissionsgrenzwerte überprüft, um in Absprache mit den Betreibern und unter Berücksichtigung der technischen und wirtschaftlichen Machbarkeit die Umweltverträglichkeit der Anlagen in Bezug auf die für neue Anlagen geltenden Werte zu verbessern.</w:t>
      </w:r>
    </w:p>
    <w:p w:rsidR="000B433A" w:rsidRPr="007E62B3" w:rsidRDefault="000B433A" w:rsidP="004F06CE">
      <w:pPr>
        <w:pStyle w:val="Sansinterligne"/>
        <w:rPr>
          <w:rFonts w:ascii="Calibri" w:hAnsi="Calibri" w:cs="Calibri"/>
          <w:sz w:val="24"/>
          <w:szCs w:val="24"/>
          <w:lang w:val="de-DE"/>
        </w:rPr>
      </w:pPr>
    </w:p>
    <w:p w:rsidR="000B433A" w:rsidRDefault="000B433A">
      <w:pPr>
        <w:pStyle w:val="Sansinterligne"/>
        <w:numPr>
          <w:ilvl w:val="0"/>
          <w:numId w:val="17"/>
        </w:numPr>
        <w:rPr>
          <w:rFonts w:ascii="Calibri" w:hAnsi="Calibri" w:cs="Calibri"/>
          <w:sz w:val="24"/>
          <w:szCs w:val="24"/>
          <w:lang w:val="de-DE"/>
        </w:rPr>
      </w:pPr>
      <w:r>
        <w:rPr>
          <w:rFonts w:ascii="Calibri" w:hAnsi="Calibri" w:cs="Calibri"/>
          <w:sz w:val="24"/>
          <w:lang w:val="de-DE"/>
        </w:rPr>
        <w:t>Die von den beiden Maßnahmen in Nummer 2 betroffenen Sektoren sind:</w:t>
      </w:r>
    </w:p>
    <w:p w:rsidR="000B433A" w:rsidRDefault="000B433A">
      <w:pPr>
        <w:pStyle w:val="Sansinterligne"/>
        <w:numPr>
          <w:ilvl w:val="0"/>
          <w:numId w:val="15"/>
        </w:numPr>
        <w:ind w:left="1134" w:hanging="425"/>
        <w:rPr>
          <w:rFonts w:ascii="Calibri" w:hAnsi="Calibri" w:cs="Calibri"/>
          <w:sz w:val="24"/>
          <w:szCs w:val="24"/>
          <w:lang w:val="de-DE"/>
        </w:rPr>
      </w:pPr>
      <w:r>
        <w:rPr>
          <w:rFonts w:ascii="Calibri" w:hAnsi="Calibri" w:cs="Calibri"/>
          <w:sz w:val="24"/>
          <w:lang w:val="de-DE"/>
        </w:rPr>
        <w:t>Gummiverarbeitung</w:t>
      </w:r>
    </w:p>
    <w:p w:rsidR="000B433A" w:rsidRDefault="000B433A">
      <w:pPr>
        <w:pStyle w:val="Sansinterligne"/>
        <w:numPr>
          <w:ilvl w:val="0"/>
          <w:numId w:val="15"/>
        </w:numPr>
        <w:ind w:left="1134" w:hanging="425"/>
        <w:rPr>
          <w:rFonts w:ascii="Calibri" w:hAnsi="Calibri" w:cs="Calibri"/>
          <w:sz w:val="24"/>
          <w:szCs w:val="24"/>
          <w:lang w:val="de-DE"/>
        </w:rPr>
      </w:pPr>
      <w:r>
        <w:rPr>
          <w:rFonts w:ascii="Calibri" w:hAnsi="Calibri" w:cs="Calibri"/>
          <w:sz w:val="24"/>
          <w:lang w:val="de-DE"/>
        </w:rPr>
        <w:t>Herstellung von pharmazeutischen Produkten;</w:t>
      </w:r>
    </w:p>
    <w:p w:rsidR="000B433A" w:rsidRDefault="000B433A">
      <w:pPr>
        <w:pStyle w:val="Sansinterligne"/>
        <w:numPr>
          <w:ilvl w:val="0"/>
          <w:numId w:val="15"/>
        </w:numPr>
        <w:ind w:left="1134" w:hanging="425"/>
        <w:rPr>
          <w:rFonts w:ascii="Calibri" w:hAnsi="Calibri" w:cs="Calibri"/>
          <w:sz w:val="24"/>
          <w:szCs w:val="24"/>
          <w:lang w:val="de-DE"/>
        </w:rPr>
      </w:pPr>
      <w:r>
        <w:rPr>
          <w:rFonts w:ascii="Calibri" w:hAnsi="Calibri" w:cs="Calibri"/>
          <w:sz w:val="24"/>
          <w:lang w:val="de-DE"/>
        </w:rPr>
        <w:t>Herstellung von Farbe;</w:t>
      </w:r>
    </w:p>
    <w:p w:rsidR="000B433A" w:rsidRDefault="000B433A">
      <w:pPr>
        <w:pStyle w:val="Sansinterligne"/>
        <w:numPr>
          <w:ilvl w:val="0"/>
          <w:numId w:val="15"/>
        </w:numPr>
        <w:ind w:left="1134" w:hanging="425"/>
        <w:rPr>
          <w:rFonts w:ascii="Calibri" w:hAnsi="Calibri" w:cs="Calibri"/>
          <w:sz w:val="24"/>
          <w:szCs w:val="24"/>
          <w:lang w:val="de-DE"/>
        </w:rPr>
      </w:pPr>
      <w:r>
        <w:rPr>
          <w:rFonts w:ascii="Calibri" w:hAnsi="Calibri" w:cs="Calibri"/>
          <w:sz w:val="24"/>
          <w:lang w:val="de-DE"/>
        </w:rPr>
        <w:t>Herstellung von Tinte;</w:t>
      </w:r>
    </w:p>
    <w:p w:rsidR="000B433A" w:rsidRDefault="000B433A">
      <w:pPr>
        <w:pStyle w:val="Sansinterligne"/>
        <w:numPr>
          <w:ilvl w:val="0"/>
          <w:numId w:val="15"/>
        </w:numPr>
        <w:ind w:left="1134" w:hanging="425"/>
        <w:rPr>
          <w:rFonts w:ascii="Calibri" w:hAnsi="Calibri" w:cs="Calibri"/>
          <w:sz w:val="24"/>
          <w:szCs w:val="24"/>
          <w:lang w:val="de-DE"/>
        </w:rPr>
      </w:pPr>
      <w:r>
        <w:rPr>
          <w:rFonts w:ascii="Calibri" w:hAnsi="Calibri" w:cs="Calibri"/>
          <w:sz w:val="24"/>
          <w:lang w:val="de-DE"/>
        </w:rPr>
        <w:t>Herstellung von Klebstoffen.</w:t>
      </w:r>
    </w:p>
    <w:p w:rsidR="000B433A" w:rsidRPr="007E62B3" w:rsidRDefault="000B433A" w:rsidP="004F06CE">
      <w:pPr>
        <w:pStyle w:val="Sansinterligne"/>
        <w:ind w:left="720"/>
        <w:rPr>
          <w:rFonts w:ascii="Calibri" w:hAnsi="Calibri" w:cs="Calibri"/>
          <w:sz w:val="24"/>
          <w:szCs w:val="24"/>
          <w:lang w:val="de-DE"/>
        </w:rPr>
      </w:pPr>
    </w:p>
    <w:p w:rsidR="000B433A" w:rsidRDefault="000B433A">
      <w:pPr>
        <w:pStyle w:val="Sansinterligne"/>
        <w:numPr>
          <w:ilvl w:val="0"/>
          <w:numId w:val="16"/>
        </w:numPr>
        <w:ind w:left="284" w:hanging="284"/>
        <w:rPr>
          <w:rFonts w:ascii="Calibri" w:hAnsi="Calibri" w:cs="Calibri"/>
          <w:b/>
          <w:sz w:val="24"/>
          <w:szCs w:val="24"/>
          <w:lang w:val="de-DE"/>
        </w:rPr>
      </w:pPr>
      <w:r>
        <w:rPr>
          <w:rFonts w:ascii="Calibri" w:hAnsi="Calibri" w:cs="Calibri"/>
          <w:b/>
          <w:sz w:val="24"/>
          <w:lang w:val="de-DE"/>
        </w:rPr>
        <w:t>Alle Anlagen, die Lösungsmittel verwenden und der Umweltgenehmigung unterliegen.</w:t>
      </w:r>
    </w:p>
    <w:p w:rsidR="000B433A" w:rsidRPr="007E62B3" w:rsidRDefault="000B433A" w:rsidP="00835463">
      <w:pPr>
        <w:pStyle w:val="Sansinterligne"/>
        <w:ind w:left="284"/>
        <w:rPr>
          <w:rFonts w:ascii="Calibri" w:hAnsi="Calibri" w:cs="Calibri"/>
          <w:b/>
          <w:sz w:val="24"/>
          <w:szCs w:val="24"/>
          <w:lang w:val="de-DE"/>
        </w:rPr>
      </w:pPr>
    </w:p>
    <w:p w:rsidR="000B433A" w:rsidRDefault="000B433A">
      <w:pPr>
        <w:pStyle w:val="Sansinterligne"/>
        <w:numPr>
          <w:ilvl w:val="0"/>
          <w:numId w:val="19"/>
        </w:numPr>
        <w:rPr>
          <w:rFonts w:ascii="Calibri" w:hAnsi="Calibri" w:cs="Calibri"/>
          <w:sz w:val="24"/>
          <w:szCs w:val="24"/>
          <w:lang w:val="de-DE"/>
        </w:rPr>
      </w:pPr>
      <w:r>
        <w:rPr>
          <w:rFonts w:ascii="Calibri" w:hAnsi="Calibri" w:cs="Calibri"/>
          <w:sz w:val="24"/>
          <w:lang w:val="de-DE"/>
        </w:rPr>
        <w:t>Jede neue Anlage in allen Sektoren, die Lösungsmittel verwendet, die der Anwendung der IED-Richtlinie und/oder den Umweltgenehmigungen nach wallonischem Recht unterliegen, unterliegt nach Erteilung der Umweltgenehmigung automatisch den niedrigen Werten der AEW-BVT oder den Emissionsgrenzwerten der neuen Anlagen.</w:t>
      </w:r>
    </w:p>
    <w:p w:rsidR="000B433A" w:rsidRDefault="000B433A">
      <w:pPr>
        <w:pStyle w:val="Sansinterligne"/>
        <w:numPr>
          <w:ilvl w:val="0"/>
          <w:numId w:val="19"/>
        </w:numPr>
        <w:rPr>
          <w:rFonts w:ascii="Calibri" w:hAnsi="Calibri"/>
          <w:sz w:val="24"/>
          <w:szCs w:val="24"/>
          <w:lang w:val="de-DE"/>
        </w:rPr>
      </w:pPr>
      <w:r>
        <w:rPr>
          <w:rFonts w:ascii="Calibri" w:hAnsi="Calibri" w:cs="Calibri"/>
          <w:sz w:val="24"/>
          <w:lang w:val="de-DE"/>
        </w:rPr>
        <w:t>Für bestehende Anlagen werden die in den Genehmigungen festgelegten spezifischen Bedingungen gegebenenfalls für Anlagen, die erhebliche Mengen an Lösungsmittel verbrauchen, überprüft.</w:t>
      </w:r>
    </w:p>
    <w:p w:rsidR="000B433A" w:rsidRPr="005F5D9D" w:rsidRDefault="000B433A" w:rsidP="004F06CE">
      <w:pPr>
        <w:pStyle w:val="Sansinterligne"/>
        <w:ind w:left="786"/>
        <w:rPr>
          <w:rFonts w:ascii="Calibri" w:hAnsi="Calibri" w:cs="Calibri"/>
          <w:sz w:val="24"/>
          <w:szCs w:val="24"/>
          <w:lang w:val="de-DE"/>
        </w:rPr>
      </w:pPr>
    </w:p>
    <w:p w:rsidR="000B433A" w:rsidRPr="002B570A" w:rsidRDefault="000B433A" w:rsidP="00D5118D">
      <w:pPr>
        <w:pStyle w:val="Titre2"/>
        <w:numPr>
          <w:ilvl w:val="1"/>
          <w:numId w:val="1"/>
        </w:numPr>
        <w:ind w:left="851" w:hanging="851"/>
        <w:rPr>
          <w:rFonts w:ascii="Calibri" w:hAnsi="Calibri" w:cs="Calibri"/>
          <w:color w:val="1F497D"/>
          <w:sz w:val="28"/>
          <w:szCs w:val="28"/>
          <w:lang w:val="de-DE"/>
        </w:rPr>
      </w:pPr>
      <w:bookmarkStart w:id="37" w:name="_Toc7802451"/>
      <w:r>
        <w:rPr>
          <w:rFonts w:ascii="Calibri" w:hAnsi="Calibri" w:cs="Calibri"/>
          <w:color w:val="1F497D"/>
          <w:sz w:val="28"/>
          <w:lang w:val="de-DE"/>
        </w:rPr>
        <w:t>Wohn- und Dienstleistungssektor</w:t>
      </w:r>
      <w:bookmarkEnd w:id="37"/>
    </w:p>
    <w:p w:rsidR="000B433A" w:rsidRPr="002B570A" w:rsidRDefault="000B433A" w:rsidP="00CE1A98">
      <w:pPr>
        <w:pStyle w:val="Titre3"/>
        <w:rPr>
          <w:rFonts w:ascii="Calibri" w:hAnsi="Calibri" w:cs="Calibri"/>
          <w:i/>
          <w:lang w:val="de-DE"/>
        </w:rPr>
      </w:pPr>
      <w:r>
        <w:rPr>
          <w:rFonts w:ascii="Calibri" w:hAnsi="Calibri" w:cs="Calibri"/>
          <w:i/>
          <w:lang w:val="de-DE"/>
        </w:rPr>
        <w:t>Langfristige Gebäudesanierungsstrategie (öffentlich und privat / Wohnen und Gewerbe)</w:t>
      </w:r>
    </w:p>
    <w:p w:rsidR="000B433A" w:rsidRDefault="000B433A" w:rsidP="00692614">
      <w:pPr>
        <w:rPr>
          <w:rFonts w:cs="Calibri"/>
          <w:lang w:val="de-DE"/>
        </w:rPr>
      </w:pPr>
      <w:r>
        <w:rPr>
          <w:rFonts w:cs="Calibri"/>
          <w:lang w:val="de-DE"/>
        </w:rPr>
        <w:t>Die Renovierungsstrategie legt langfristige Ziele fest:</w:t>
      </w:r>
    </w:p>
    <w:p w:rsidR="000B433A" w:rsidRDefault="000B433A">
      <w:pPr>
        <w:pStyle w:val="Paragraphedeliste"/>
        <w:numPr>
          <w:ilvl w:val="0"/>
          <w:numId w:val="51"/>
        </w:numPr>
        <w:rPr>
          <w:rFonts w:cs="Calibri"/>
          <w:lang w:val="de-DE"/>
        </w:rPr>
      </w:pPr>
      <w:r>
        <w:rPr>
          <w:rFonts w:cs="Calibri"/>
          <w:lang w:val="de-DE"/>
        </w:rPr>
        <w:t xml:space="preserve">Für den Wohnsektor: bis 2050 das GEE A-Label (Espec ≤ 85 kWh / m² Jahr) im Durchschnitt für den gesamten Wohnungsbestand anstreben. </w:t>
      </w:r>
    </w:p>
    <w:p w:rsidR="000B433A" w:rsidRDefault="000B433A">
      <w:pPr>
        <w:pStyle w:val="Paragraphedeliste"/>
        <w:numPr>
          <w:ilvl w:val="0"/>
          <w:numId w:val="51"/>
        </w:numPr>
        <w:rPr>
          <w:rFonts w:cs="Calibri"/>
          <w:lang w:val="de-DE"/>
        </w:rPr>
      </w:pPr>
      <w:r>
        <w:rPr>
          <w:rFonts w:cs="Calibri"/>
          <w:lang w:val="de-DE"/>
        </w:rPr>
        <w:t xml:space="preserve">Für den Dienstleistungssektor: Bis 2050 soll ein energieneutraler (null Energie) Dienstleistungsgebäudepark für Heizung, Warmwasserbereitung, Kühlung und Beleuchtung geschaffen werden. </w:t>
      </w:r>
    </w:p>
    <w:p w:rsidR="000B433A" w:rsidRDefault="000B433A" w:rsidP="00621ABA">
      <w:pPr>
        <w:rPr>
          <w:rFonts w:cs="Calibri"/>
          <w:lang w:val="de-DE"/>
        </w:rPr>
      </w:pPr>
      <w:r>
        <w:rPr>
          <w:rFonts w:cs="Calibri"/>
          <w:lang w:val="de-DE"/>
        </w:rPr>
        <w:t xml:space="preserve">Das Erreichen dieser Ziele bedeutet eine 70%ige Reduzierung des Energieverbrauchs im Jahr 2050 im Vergleich zu 2005. </w:t>
      </w:r>
    </w:p>
    <w:p w:rsidR="000B433A" w:rsidRPr="00621ABA" w:rsidRDefault="000B433A" w:rsidP="00621ABA">
      <w:pPr>
        <w:rPr>
          <w:rFonts w:cs="Calibri"/>
          <w:lang w:val="de-DE"/>
        </w:rPr>
      </w:pPr>
      <w:r>
        <w:rPr>
          <w:rFonts w:cs="Calibri"/>
          <w:lang w:val="de-DE"/>
        </w:rPr>
        <w:t>Vorrang haben Maßnahmen mit den größten potenziellen Auswirkungen (die am wenigsten effizienten Gebäude und Dachisolierungen), wobei gleichzeitig sichergestellt wird, dass jedes Renovierungsprojekt unterstützt wird, so dass es Teil einer globalen und kohärenten Reflexion ist (Phasenwechsel der Arbeiten über einen Fahrplan).</w:t>
      </w:r>
    </w:p>
    <w:p w:rsidR="000B433A" w:rsidRPr="005F5D9D" w:rsidRDefault="000B433A" w:rsidP="00FB0933">
      <w:pPr>
        <w:rPr>
          <w:rFonts w:cs="Calibri"/>
          <w:b/>
          <w:lang w:val="de-DE"/>
        </w:rPr>
      </w:pPr>
      <w:r>
        <w:rPr>
          <w:rFonts w:cs="Calibri"/>
          <w:b/>
          <w:lang w:val="de-DE"/>
        </w:rPr>
        <w:t>Maßnahmen</w:t>
      </w:r>
    </w:p>
    <w:p w:rsidR="000B433A" w:rsidRPr="005F5D9D" w:rsidRDefault="000B433A" w:rsidP="00FB0933">
      <w:pPr>
        <w:rPr>
          <w:rFonts w:cs="Calibri"/>
          <w:lang w:val="de-DE"/>
        </w:rPr>
      </w:pPr>
      <w:r>
        <w:rPr>
          <w:rFonts w:cs="Calibri"/>
          <w:lang w:val="de-DE"/>
        </w:rPr>
        <w:t>Um eine deutliche Erhöhung der Renovierungsrate (&gt; 3 % / Jahr) zu erreichen, schlägt die wallonische Strategie zur langfristigen energetischen Gebäudesanierung eine Reihe von Aktionen und Maßnahmen sowohl für den Wohn-</w:t>
      </w:r>
      <w:r>
        <w:rPr>
          <w:rStyle w:val="Appelnotedebasdep"/>
          <w:rFonts w:cs="Calibri"/>
          <w:lang w:val="de-DE"/>
        </w:rPr>
        <w:footnoteReference w:id="19"/>
      </w:r>
      <w:r>
        <w:rPr>
          <w:rFonts w:cs="Calibri"/>
          <w:lang w:val="de-DE"/>
        </w:rPr>
        <w:t xml:space="preserve"> als auch für den Dienstleistungssektor vor, die auf drei Achsen basieren:</w:t>
      </w:r>
    </w:p>
    <w:p w:rsidR="000B433A" w:rsidRPr="005F5D9D" w:rsidRDefault="000B433A" w:rsidP="00E15C2C">
      <w:pPr>
        <w:pStyle w:val="Paragraphedeliste"/>
        <w:numPr>
          <w:ilvl w:val="0"/>
          <w:numId w:val="10"/>
        </w:numPr>
        <w:rPr>
          <w:rFonts w:cs="Calibri"/>
          <w:lang w:val="de-DE"/>
        </w:rPr>
      </w:pPr>
      <w:r>
        <w:rPr>
          <w:rFonts w:cs="Calibri"/>
          <w:lang w:val="de-DE"/>
        </w:rPr>
        <w:t>Schwerpunkt 1 zielt darauf ab, den transparenten Rahmen für energieeffiziente Investitionen zu schaffen,</w:t>
      </w:r>
    </w:p>
    <w:p w:rsidR="000B433A" w:rsidRPr="005F5D9D" w:rsidRDefault="000B433A" w:rsidP="00E15C2C">
      <w:pPr>
        <w:pStyle w:val="Paragraphedeliste"/>
        <w:numPr>
          <w:ilvl w:val="0"/>
          <w:numId w:val="10"/>
        </w:numPr>
        <w:rPr>
          <w:rFonts w:cs="Calibri"/>
          <w:lang w:val="de-DE"/>
        </w:rPr>
      </w:pPr>
      <w:r>
        <w:rPr>
          <w:rFonts w:cs="Calibri"/>
          <w:lang w:val="de-DE"/>
        </w:rPr>
        <w:t>Schwerpunkt 2 zielt auf die Strukturierung und Stärkung des Marktes für das Angebot von Lieferungen und Dienstleistungen im Zusammenhang mit Renovierungen ab,</w:t>
      </w:r>
    </w:p>
    <w:p w:rsidR="000B433A" w:rsidRPr="005F5D9D" w:rsidRDefault="000B433A" w:rsidP="00E15C2C">
      <w:pPr>
        <w:pStyle w:val="Paragraphedeliste"/>
        <w:numPr>
          <w:ilvl w:val="0"/>
          <w:numId w:val="10"/>
        </w:numPr>
        <w:rPr>
          <w:rFonts w:cs="Calibri"/>
          <w:lang w:val="de-DE"/>
        </w:rPr>
      </w:pPr>
      <w:r>
        <w:rPr>
          <w:rFonts w:cs="Calibri"/>
          <w:lang w:val="de-DE"/>
        </w:rPr>
        <w:t>Schwerpunkt 3 zielt darauf ab, die Nachfrage nach energieeffizienten Gebäuden zu steigern.</w:t>
      </w:r>
    </w:p>
    <w:p w:rsidR="000B433A" w:rsidRPr="005F5D9D" w:rsidRDefault="000B433A" w:rsidP="00FB0933">
      <w:pPr>
        <w:rPr>
          <w:rFonts w:cs="Calibri"/>
          <w:lang w:val="de-DE"/>
        </w:rPr>
      </w:pPr>
      <w:r>
        <w:rPr>
          <w:rFonts w:cs="Calibri"/>
          <w:lang w:val="de-DE"/>
        </w:rPr>
        <w:t>Diese drei Achsen sind in Ziele unterteilt, die wiederum in Maßnahmen und Aktionen unterteilt sind, von denen mehr als die Hälfte bereits kurzfristig geplant ist (insbesondere in der Allianz Beschäftigung-Umwelt). Die wichtigsten Maßnahmen sind:</w:t>
      </w:r>
    </w:p>
    <w:p w:rsidR="000B433A" w:rsidRPr="005F5D9D" w:rsidRDefault="000B433A" w:rsidP="00E15C2C">
      <w:pPr>
        <w:pStyle w:val="Paragraphedeliste"/>
        <w:numPr>
          <w:ilvl w:val="0"/>
          <w:numId w:val="10"/>
        </w:numPr>
        <w:rPr>
          <w:rFonts w:cs="Calibri"/>
          <w:szCs w:val="24"/>
          <w:lang w:val="de-DE"/>
        </w:rPr>
      </w:pPr>
      <w:r w:rsidRPr="00D0465E">
        <w:rPr>
          <w:rFonts w:cs="Calibri"/>
          <w:lang w:val="de-DE"/>
        </w:rPr>
        <w:t>Die Implementierung</w:t>
      </w:r>
      <w:r>
        <w:rPr>
          <w:rFonts w:cs="Calibri"/>
          <w:lang w:val="de-DE"/>
        </w:rPr>
        <w:t xml:space="preserve"> von Instrumenten für den Sanierungsfahrplan (Audit des Agrarökologischen Aktionsplans (AA) und GEE-Zertifikat mit Kosteninformationen), den Gebäudepass und die zentrale Anlaufstelle;</w:t>
      </w:r>
    </w:p>
    <w:p w:rsidR="000B433A" w:rsidRPr="005F5D9D" w:rsidRDefault="000B433A" w:rsidP="00E15C2C">
      <w:pPr>
        <w:pStyle w:val="Paragraphedeliste"/>
        <w:numPr>
          <w:ilvl w:val="0"/>
          <w:numId w:val="10"/>
        </w:numPr>
        <w:rPr>
          <w:rFonts w:cs="Calibri"/>
          <w:szCs w:val="24"/>
          <w:lang w:val="de-DE"/>
        </w:rPr>
      </w:pPr>
      <w:r>
        <w:rPr>
          <w:rFonts w:cs="Calibri"/>
          <w:lang w:val="de-DE"/>
        </w:rPr>
        <w:t>Aufrechterhaltung und Verbesserung des Prämienprogramms, insbesondere mit der Anforderung, ein Audit durchzuführen, um Prämien zu erhalten:</w:t>
      </w:r>
    </w:p>
    <w:p w:rsidR="000B433A" w:rsidRPr="005F5D9D" w:rsidRDefault="000B433A" w:rsidP="00E15C2C">
      <w:pPr>
        <w:pStyle w:val="Paragraphedeliste"/>
        <w:numPr>
          <w:ilvl w:val="1"/>
          <w:numId w:val="10"/>
        </w:numPr>
        <w:rPr>
          <w:rFonts w:cs="Calibri"/>
          <w:szCs w:val="24"/>
          <w:lang w:val="de-DE"/>
        </w:rPr>
      </w:pPr>
      <w:r>
        <w:rPr>
          <w:rFonts w:cs="Calibri"/>
          <w:lang w:val="de-DE"/>
        </w:rPr>
        <w:t>Verstärkung des Bonusprogramms, das sich bis 2025 auf die Dächer der Wohnhäuser F und G konzentriert;</w:t>
      </w:r>
    </w:p>
    <w:p w:rsidR="000B433A" w:rsidRPr="005F5D9D" w:rsidRDefault="000B433A" w:rsidP="00E15C2C">
      <w:pPr>
        <w:pStyle w:val="Paragraphedeliste"/>
        <w:numPr>
          <w:ilvl w:val="1"/>
          <w:numId w:val="10"/>
        </w:numPr>
        <w:rPr>
          <w:rFonts w:cs="Calibri"/>
          <w:szCs w:val="24"/>
          <w:lang w:val="de-DE"/>
        </w:rPr>
      </w:pPr>
      <w:r>
        <w:rPr>
          <w:rFonts w:cs="Calibri"/>
          <w:lang w:val="de-DE"/>
        </w:rPr>
        <w:t>Für prekarisierte Personengruppen muss eine Erhöhung in Betracht gezogen werden;</w:t>
      </w:r>
    </w:p>
    <w:p w:rsidR="000B433A" w:rsidRPr="005F5D9D" w:rsidRDefault="000B433A" w:rsidP="00E15C2C">
      <w:pPr>
        <w:pStyle w:val="Paragraphedeliste"/>
        <w:numPr>
          <w:ilvl w:val="0"/>
          <w:numId w:val="10"/>
        </w:numPr>
        <w:rPr>
          <w:rFonts w:cs="Calibri"/>
          <w:szCs w:val="24"/>
          <w:lang w:val="de-DE"/>
        </w:rPr>
      </w:pPr>
      <w:r>
        <w:rPr>
          <w:rFonts w:cs="Calibri"/>
          <w:lang w:val="de-DE"/>
        </w:rPr>
        <w:t>Ab 2025 werden Mietobjekte mit einem Energieleistungsniveau von F oder G innerhalb eines bestimmten Zeitraums renoviert (gemäß dem Fahrplan), die in der Zwischenzeit und nach den später festzulegenden Modalitäten weiter vermietet werden können;</w:t>
      </w:r>
    </w:p>
    <w:p w:rsidR="000B433A" w:rsidRPr="005F5D9D" w:rsidRDefault="000B433A" w:rsidP="00E15C2C">
      <w:pPr>
        <w:pStyle w:val="Paragraphedeliste"/>
        <w:numPr>
          <w:ilvl w:val="0"/>
          <w:numId w:val="10"/>
        </w:numPr>
        <w:rPr>
          <w:rFonts w:cs="Calibri"/>
          <w:szCs w:val="24"/>
          <w:lang w:val="de-DE"/>
        </w:rPr>
      </w:pPr>
      <w:r>
        <w:rPr>
          <w:rFonts w:cs="Calibri"/>
          <w:lang w:val="de-DE"/>
        </w:rPr>
        <w:t>Ab 2025 Anreiz, ein Haus zum Zeitpunkt des Verkaufs gemäß dem Fahrplan zu renovieren (Abschreibungszeit weniger als 10 Jahre).</w:t>
      </w:r>
    </w:p>
    <w:p w:rsidR="000B433A" w:rsidRPr="002B570A" w:rsidRDefault="000B433A" w:rsidP="00CE1A98">
      <w:pPr>
        <w:pStyle w:val="Titre3"/>
        <w:rPr>
          <w:rFonts w:ascii="Calibri" w:hAnsi="Calibri" w:cs="Calibri"/>
          <w:i/>
          <w:lang w:val="de-DE"/>
        </w:rPr>
      </w:pPr>
      <w:r>
        <w:rPr>
          <w:rFonts w:ascii="Calibri" w:hAnsi="Calibri" w:cs="Calibri"/>
          <w:i/>
          <w:lang w:val="de-DE"/>
        </w:rPr>
        <w:t>Entwicklung des rechtlichen und regulatorischen Rahmens für ESCOs und ELV in der Wallonie</w:t>
      </w:r>
    </w:p>
    <w:p w:rsidR="000B433A" w:rsidRPr="005F5D9D" w:rsidRDefault="000B433A" w:rsidP="002F48E6">
      <w:pPr>
        <w:spacing w:line="264" w:lineRule="auto"/>
        <w:rPr>
          <w:rFonts w:cs="Calibri"/>
          <w:szCs w:val="24"/>
          <w:lang w:val="de-DE"/>
        </w:rPr>
      </w:pPr>
      <w:r>
        <w:rPr>
          <w:rFonts w:cs="Calibri"/>
          <w:lang w:val="de-DE"/>
        </w:rPr>
        <w:t>Die Aufsicht über die Energiedienstleistungsunternehmen (die derzeit für die öffentlichen Dienste tätig sind) wird verstärkt und ihr Interventionsbereich erweitert. Diese Unternehmen (Energy Service Companies oder ESCOs) stellen Fähigkeiten, Humanressourcen und bestimmte Garantien (Energieleistungsverträge oder sogar Drittinvestoren) zur Verfügung, um die notwendigen Investitionen zur Senkung des Energieverbrauchs zu tätigen.</w:t>
      </w:r>
    </w:p>
    <w:p w:rsidR="000B433A" w:rsidRPr="005F5D9D" w:rsidRDefault="000B433A" w:rsidP="002F48E6">
      <w:pPr>
        <w:rPr>
          <w:rFonts w:cs="Calibri"/>
          <w:szCs w:val="24"/>
          <w:lang w:val="de-DE"/>
        </w:rPr>
      </w:pPr>
      <w:r>
        <w:rPr>
          <w:rFonts w:cs="Calibri"/>
          <w:lang w:val="de-DE"/>
        </w:rPr>
        <w:t>Die Zielgruppe:</w:t>
      </w:r>
    </w:p>
    <w:p w:rsidR="000B433A" w:rsidRPr="005F5D9D" w:rsidRDefault="000B433A" w:rsidP="00E15C2C">
      <w:pPr>
        <w:pStyle w:val="Paragraphedeliste"/>
        <w:numPr>
          <w:ilvl w:val="0"/>
          <w:numId w:val="6"/>
        </w:numPr>
        <w:spacing w:line="264" w:lineRule="auto"/>
        <w:contextualSpacing w:val="0"/>
        <w:rPr>
          <w:rFonts w:cs="Calibri"/>
          <w:szCs w:val="24"/>
          <w:lang w:val="de-DE"/>
        </w:rPr>
      </w:pPr>
      <w:r>
        <w:rPr>
          <w:rFonts w:cs="Calibri"/>
          <w:lang w:val="de-DE"/>
        </w:rPr>
        <w:t>Öffentliche Gebäude (aktuelle Situation) einschließlich öffentlicher Wohnungen;</w:t>
      </w:r>
    </w:p>
    <w:p w:rsidR="000B433A" w:rsidRPr="005F5D9D" w:rsidRDefault="000B433A" w:rsidP="00E15C2C">
      <w:pPr>
        <w:pStyle w:val="Paragraphedeliste"/>
        <w:numPr>
          <w:ilvl w:val="0"/>
          <w:numId w:val="6"/>
        </w:numPr>
        <w:spacing w:line="264" w:lineRule="auto"/>
        <w:contextualSpacing w:val="0"/>
        <w:rPr>
          <w:rFonts w:cs="Calibri"/>
          <w:szCs w:val="24"/>
          <w:lang w:val="de-DE"/>
        </w:rPr>
      </w:pPr>
      <w:r>
        <w:rPr>
          <w:rFonts w:cs="Calibri"/>
          <w:lang w:val="de-DE"/>
        </w:rPr>
        <w:t>Unternehmen für ihre Gebäude und industriellen Aktivitäten;</w:t>
      </w:r>
    </w:p>
    <w:p w:rsidR="000B433A" w:rsidRPr="005F5D9D" w:rsidRDefault="000B433A" w:rsidP="00E15C2C">
      <w:pPr>
        <w:pStyle w:val="Paragraphedeliste"/>
        <w:numPr>
          <w:ilvl w:val="0"/>
          <w:numId w:val="6"/>
        </w:numPr>
        <w:spacing w:line="264" w:lineRule="auto"/>
        <w:contextualSpacing w:val="0"/>
        <w:rPr>
          <w:rFonts w:cs="Calibri"/>
          <w:szCs w:val="24"/>
          <w:lang w:val="de-DE"/>
        </w:rPr>
      </w:pPr>
      <w:r>
        <w:rPr>
          <w:rFonts w:cs="Calibri"/>
          <w:lang w:val="de-DE"/>
        </w:rPr>
        <w:t>Eigentumswohnungen</w:t>
      </w:r>
    </w:p>
    <w:p w:rsidR="000B433A" w:rsidRPr="005F5D9D" w:rsidRDefault="000B433A" w:rsidP="002F48E6">
      <w:pPr>
        <w:spacing w:line="264" w:lineRule="auto"/>
        <w:rPr>
          <w:rFonts w:cs="Calibri"/>
          <w:szCs w:val="24"/>
          <w:lang w:val="de-DE"/>
        </w:rPr>
      </w:pPr>
      <w:r>
        <w:rPr>
          <w:rFonts w:cs="Calibri"/>
          <w:lang w:val="de-DE"/>
        </w:rPr>
        <w:t>Individuelles Wohnen kann zu einem späteren Zeitpunkt in Betracht gezogen werden.</w:t>
      </w:r>
    </w:p>
    <w:p w:rsidR="000B433A" w:rsidRPr="005F5D9D" w:rsidRDefault="000B433A" w:rsidP="002F48E6">
      <w:pPr>
        <w:spacing w:line="264" w:lineRule="auto"/>
        <w:rPr>
          <w:rFonts w:cs="Calibri"/>
          <w:szCs w:val="24"/>
          <w:lang w:val="de-DE"/>
        </w:rPr>
      </w:pPr>
      <w:r>
        <w:rPr>
          <w:rFonts w:cs="Calibri"/>
          <w:lang w:val="de-DE"/>
        </w:rPr>
        <w:t>Eine Agentur der ESCO entwickelt die notwendigen Instrumente (Standardverträge, Leistungsüberwachung, technische Kontrolle, Gebäude-Pooling) und institutionalisiert Praktiken für mehr Effizienz.</w:t>
      </w:r>
    </w:p>
    <w:p w:rsidR="000B433A" w:rsidRPr="005F5D9D" w:rsidRDefault="000B433A" w:rsidP="002F48E6">
      <w:pPr>
        <w:spacing w:line="264" w:lineRule="auto"/>
        <w:rPr>
          <w:rFonts w:cs="Calibri"/>
          <w:szCs w:val="24"/>
          <w:lang w:val="de-DE"/>
        </w:rPr>
      </w:pPr>
      <w:r>
        <w:rPr>
          <w:rFonts w:cs="Calibri"/>
          <w:lang w:val="de-DE"/>
        </w:rPr>
        <w:t>Ziel ist es, den Energieverbrauch der Verbraucher zu kontrollieren und zu reduzieren.</w:t>
      </w:r>
    </w:p>
    <w:p w:rsidR="000B433A" w:rsidRPr="005F5D9D" w:rsidRDefault="000B433A" w:rsidP="008206A7">
      <w:pPr>
        <w:spacing w:line="264" w:lineRule="auto"/>
        <w:rPr>
          <w:rFonts w:cs="Calibri"/>
          <w:szCs w:val="24"/>
          <w:lang w:val="de-DE"/>
        </w:rPr>
      </w:pPr>
      <w:r>
        <w:rPr>
          <w:rFonts w:cs="Calibri"/>
          <w:lang w:val="de-DE"/>
        </w:rPr>
        <w:t>Bei einem Dienstleistungsgebäude oder einem Gemeinschaftshaus ist das Verhältnis zwischen dem Eigentümer (derjenige, der die Investitionen tätigen und damit die Kosten tragen wird) und dem Mieter (derjenige, der von einem effizienteren Gebäude profitieren wird) entscheidend. Es müssen Maßnahmen ergriffen werden, um eine gerechte Verteilung von Kosten und Nutzen zu gewährleisten. Für den Verwalter eines Gebäudeparks.</w:t>
      </w:r>
    </w:p>
    <w:p w:rsidR="000B433A" w:rsidRPr="005F5D9D" w:rsidRDefault="000B433A" w:rsidP="002F48E6">
      <w:pPr>
        <w:rPr>
          <w:rFonts w:cs="Calibri"/>
          <w:szCs w:val="24"/>
          <w:lang w:val="de-DE"/>
        </w:rPr>
      </w:pPr>
      <w:r>
        <w:rPr>
          <w:rFonts w:cs="Calibri"/>
          <w:lang w:val="de-DE"/>
        </w:rPr>
        <w:t>Das System der ESCO ermöglicht es dem Dienstleister, Risiken zu reduzieren (Portfolio mit mehreren Gebäuden) und befreit den Kunden von Energiesorgen, sodass er sich auf sein „Kerngeschäft“ konzentrieren kann. Diese Maßnahme ermöglicht es auch, das Handeln im Zusammenhang mit der Vorbildfunktion öffentlicher Gebäude zu stärken.</w:t>
      </w:r>
    </w:p>
    <w:p w:rsidR="000B433A" w:rsidRPr="005F5D9D" w:rsidRDefault="000B433A" w:rsidP="002F48E6">
      <w:pPr>
        <w:rPr>
          <w:rFonts w:cs="Calibri"/>
          <w:szCs w:val="24"/>
          <w:lang w:val="de-DE"/>
        </w:rPr>
      </w:pPr>
      <w:r>
        <w:rPr>
          <w:rFonts w:cs="Calibri"/>
          <w:lang w:val="de-DE"/>
        </w:rPr>
        <w:t>Die durchgeführte Analyse ermöglichte es, mehr als 30 Aktionen zu ermitteln, die in 8 Hauptaufgaben unterteilt sind, um ESCO in der wallonischen Region zu entwickeln, und eine gemeinsame Priorität mit der Renovierungsstrategie hervorzuheben, nämlich die Entwicklung des rechtlichen und regulatorischen Rahmens für ESCO und ELV.</w:t>
      </w:r>
    </w:p>
    <w:p w:rsidR="000B433A" w:rsidRPr="002B570A" w:rsidRDefault="000B433A" w:rsidP="00CE1A98">
      <w:pPr>
        <w:pStyle w:val="Titre3"/>
        <w:rPr>
          <w:rFonts w:ascii="Calibri" w:hAnsi="Calibri" w:cs="Calibri"/>
          <w:i/>
          <w:lang w:val="de-DE"/>
        </w:rPr>
      </w:pPr>
      <w:r>
        <w:rPr>
          <w:rFonts w:ascii="Calibri" w:hAnsi="Calibri" w:cs="Calibri"/>
          <w:i/>
          <w:lang w:val="de-DE"/>
        </w:rPr>
        <w:t>Die Verhaltensweisen aktivieren, um den Energieverbrauch im Wohnbereich zu reduzieren.</w:t>
      </w:r>
    </w:p>
    <w:p w:rsidR="000B433A" w:rsidRPr="002B570A" w:rsidRDefault="000B433A" w:rsidP="00CE1A98">
      <w:pPr>
        <w:rPr>
          <w:rFonts w:cs="Calibri"/>
          <w:szCs w:val="24"/>
          <w:lang w:val="de-DE"/>
        </w:rPr>
      </w:pPr>
      <w:r>
        <w:rPr>
          <w:rFonts w:cs="Calibri"/>
          <w:lang w:val="de-DE"/>
        </w:rPr>
        <w:t>Laut einer in der Wallonie durchgeführten Analyse gelten individuelle Verhaltensänderungen als entscheidender Hebel zur Moderation des Energieverbrauchs in den Bereichen Wohnen, Transport, Freizeit und anderen Konsumbereichen.</w:t>
      </w:r>
    </w:p>
    <w:p w:rsidR="000B433A" w:rsidRPr="002B570A" w:rsidRDefault="000B433A" w:rsidP="00CE1A98">
      <w:pPr>
        <w:rPr>
          <w:rFonts w:cs="Calibri"/>
          <w:szCs w:val="24"/>
          <w:lang w:val="de-DE"/>
        </w:rPr>
      </w:pPr>
      <w:r>
        <w:rPr>
          <w:rFonts w:cs="Calibri"/>
          <w:lang w:val="de-DE"/>
        </w:rPr>
        <w:t xml:space="preserve">Das Potenzial zur Reduzierung der Treibhausgasemissionen aus Verhaltensänderungen ist hoch: Studien in anderen Ländern schätzen, dass es zwischen 10 % </w:t>
      </w:r>
      <w:r w:rsidRPr="002B570A">
        <w:rPr>
          <w:rStyle w:val="Appelnotedebasdep"/>
          <w:rFonts w:cs="Calibri"/>
          <w:szCs w:val="24"/>
          <w:lang w:val="de-DE"/>
        </w:rPr>
        <w:footnoteReference w:id="20"/>
      </w:r>
      <w:r>
        <w:rPr>
          <w:rFonts w:cs="Calibri"/>
          <w:lang w:val="de-DE"/>
        </w:rPr>
        <w:t xml:space="preserve"> und 27 % </w:t>
      </w:r>
      <w:r w:rsidRPr="002B570A">
        <w:rPr>
          <w:rStyle w:val="Appelnotedebasdep"/>
          <w:rFonts w:cs="Calibri"/>
          <w:szCs w:val="24"/>
          <w:lang w:val="de-DE"/>
        </w:rPr>
        <w:footnoteReference w:id="21"/>
      </w:r>
      <w:r>
        <w:rPr>
          <w:rFonts w:cs="Calibri"/>
          <w:lang w:val="de-DE"/>
        </w:rPr>
        <w:t xml:space="preserve"> liegen kann. Dennoch ist die Akzeptanz von Verhaltensänderungen derzeit gering und wird auf nur 5 % geschätzt.</w:t>
      </w:r>
      <w:r w:rsidRPr="002B570A">
        <w:rPr>
          <w:rStyle w:val="Appelnotedebasdep"/>
          <w:rFonts w:cs="Calibri"/>
          <w:szCs w:val="24"/>
          <w:lang w:val="de-DE"/>
        </w:rPr>
        <w:footnoteReference w:id="22"/>
      </w:r>
      <w:r>
        <w:rPr>
          <w:rFonts w:cs="Calibri"/>
          <w:lang w:val="de-DE"/>
        </w:rPr>
        <w:t xml:space="preserve"> Daher ist es notwendig, langfristig kohärente Programme aufzustellen, um diese Akzeptanzrate zu erhöhen und so das verfügbare Reduktionspotenzial optimal zu nutzen. Diese Programme müssen auf eine klare und leicht zu integrierende Botschaft ausgerichtet sein.</w:t>
      </w:r>
    </w:p>
    <w:p w:rsidR="000B433A" w:rsidRPr="002B570A" w:rsidRDefault="000B433A" w:rsidP="00CE1A98">
      <w:pPr>
        <w:rPr>
          <w:rFonts w:cs="Calibri"/>
          <w:szCs w:val="24"/>
          <w:lang w:val="de-DE"/>
        </w:rPr>
      </w:pPr>
      <w:r>
        <w:rPr>
          <w:rFonts w:cs="Calibri"/>
          <w:lang w:val="de-DE"/>
        </w:rPr>
        <w:t xml:space="preserve">Die Wallonie fördert seit vielen Jahren die rationelle Nutzung von Energie. Es wurden zahlreiche Rechtsinstrumente (GEE) und Anreize (Prämien und Zuschüsse) geschaffen, die von Kommunikationskampagnen in vielfältiger Form und über viele Kanäle begleitet werden. </w:t>
      </w:r>
    </w:p>
    <w:p w:rsidR="000B433A" w:rsidRPr="002B570A" w:rsidRDefault="000B433A" w:rsidP="00CE1A98">
      <w:pPr>
        <w:rPr>
          <w:rFonts w:cs="Calibri"/>
          <w:szCs w:val="24"/>
          <w:lang w:val="de-DE"/>
        </w:rPr>
      </w:pPr>
      <w:r>
        <w:rPr>
          <w:rFonts w:cs="Calibri"/>
          <w:lang w:val="de-DE"/>
        </w:rPr>
        <w:t xml:space="preserve">Das Potenzial, das in der Wallonie a priori aktiviert werden könnte, liegt in der Größenordnung von 2 - 3 TWh. Es ist jedoch fast unmöglich festzustellen, wie viel von diesem Potenzial ohne einen präzisen Aktionsplan und eine Rückmeldung des erzielten Ergebnisses tatsächlich aktiviert wird. Darüber hinaus wird die erzielte Wirkung niemals allein durch die Wirkung der Kommunikation erreicht werden, sondern durch die Konvergenz einer ganzen Reihe kohärenter Maßnahmen (Kommunikation, Ausbildung, Anreize, legislative oder technische Normen usw.). </w:t>
      </w:r>
    </w:p>
    <w:p w:rsidR="000B433A" w:rsidRPr="002B570A" w:rsidRDefault="000B433A" w:rsidP="00CE1A98">
      <w:pPr>
        <w:rPr>
          <w:rFonts w:cs="Calibri"/>
          <w:szCs w:val="24"/>
          <w:lang w:val="de-DE"/>
        </w:rPr>
      </w:pPr>
      <w:r>
        <w:rPr>
          <w:rFonts w:cs="Calibri"/>
          <w:lang w:val="de-DE"/>
        </w:rPr>
        <w:t xml:space="preserve">In diesem Zusammenhang kann die Wallonie eine zentrale Rolle spielen, die auf Folgendes ausgerichtet ist: </w:t>
      </w:r>
    </w:p>
    <w:p w:rsidR="000B433A" w:rsidRPr="002B570A" w:rsidRDefault="000B433A" w:rsidP="00CE1A98">
      <w:pPr>
        <w:pStyle w:val="Sous-titre"/>
        <w:autoSpaceDE w:val="0"/>
        <w:autoSpaceDN w:val="0"/>
        <w:adjustRightInd w:val="0"/>
        <w:spacing w:line="276" w:lineRule="auto"/>
        <w:rPr>
          <w:rStyle w:val="lev"/>
          <w:rFonts w:cs="Calibri"/>
          <w:sz w:val="24"/>
          <w:lang w:val="de-DE"/>
        </w:rPr>
      </w:pPr>
      <w:r>
        <w:rPr>
          <w:rStyle w:val="lev"/>
          <w:rFonts w:cs="Calibri"/>
          <w:sz w:val="24"/>
          <w:lang w:val="de-DE"/>
        </w:rPr>
        <w:t>Konsistente Kommunikation auf der Grundlage der verfolgten Ziele:</w:t>
      </w:r>
    </w:p>
    <w:p w:rsidR="000B433A" w:rsidRPr="002B570A" w:rsidRDefault="000B433A" w:rsidP="00CE1A98">
      <w:pPr>
        <w:rPr>
          <w:rFonts w:cs="Calibri"/>
          <w:szCs w:val="24"/>
          <w:lang w:val="de-DE"/>
        </w:rPr>
      </w:pPr>
      <w:r>
        <w:rPr>
          <w:rFonts w:cs="Calibri"/>
          <w:lang w:val="de-DE"/>
        </w:rPr>
        <w:t>Die grundlegende Botschaft im Laufe der Zeit muss dann durch gezielte thematische Kampagnen um einige jährliche Prioritäten (Themen und Ziele) ergänzt werden. Für diese Botschaften gelten die Grundregeln einer effektiven Kommunikation.</w:t>
      </w:r>
    </w:p>
    <w:p w:rsidR="000B433A" w:rsidRPr="002B570A" w:rsidRDefault="000B433A" w:rsidP="00CE1A98">
      <w:pPr>
        <w:pStyle w:val="Sous-titre"/>
        <w:autoSpaceDE w:val="0"/>
        <w:autoSpaceDN w:val="0"/>
        <w:adjustRightInd w:val="0"/>
        <w:spacing w:line="276" w:lineRule="auto"/>
        <w:rPr>
          <w:rStyle w:val="lev"/>
          <w:rFonts w:cs="Calibri"/>
          <w:sz w:val="24"/>
          <w:lang w:val="de-DE"/>
        </w:rPr>
      </w:pPr>
      <w:r>
        <w:rPr>
          <w:rStyle w:val="lev"/>
          <w:rFonts w:cs="Calibri"/>
          <w:sz w:val="24"/>
          <w:lang w:val="de-DE"/>
        </w:rPr>
        <w:t>Barrieren beseitigen:</w:t>
      </w:r>
    </w:p>
    <w:p w:rsidR="000B433A" w:rsidRPr="002B570A" w:rsidRDefault="000B433A" w:rsidP="00CE1A98">
      <w:pPr>
        <w:rPr>
          <w:rFonts w:cs="Calibri"/>
          <w:szCs w:val="24"/>
          <w:lang w:val="de-DE"/>
        </w:rPr>
      </w:pPr>
      <w:r>
        <w:rPr>
          <w:rFonts w:cs="Calibri"/>
          <w:lang w:val="de-DE"/>
        </w:rPr>
        <w:t>Die zweite Aufgabe der Behörden besteht darin, die Hindernisse für diese Verhaltensänderung abzubauen.</w:t>
      </w:r>
    </w:p>
    <w:p w:rsidR="000B433A" w:rsidRPr="002B570A" w:rsidRDefault="000B433A" w:rsidP="00CE1A98">
      <w:pPr>
        <w:rPr>
          <w:rFonts w:cs="Calibri"/>
          <w:szCs w:val="24"/>
          <w:lang w:val="de-DE"/>
        </w:rPr>
      </w:pPr>
      <w:r>
        <w:rPr>
          <w:rFonts w:cs="Calibri"/>
          <w:lang w:val="de-DE"/>
        </w:rPr>
        <w:t>Die dafür identifizierten Aktionen sind:</w:t>
      </w:r>
    </w:p>
    <w:p w:rsidR="000B433A" w:rsidRDefault="000B433A">
      <w:pPr>
        <w:pStyle w:val="Paragraphedeliste"/>
        <w:numPr>
          <w:ilvl w:val="0"/>
          <w:numId w:val="35"/>
        </w:numPr>
        <w:spacing w:after="200"/>
        <w:rPr>
          <w:rFonts w:cs="Calibri"/>
          <w:szCs w:val="24"/>
          <w:lang w:val="de-DE"/>
        </w:rPr>
      </w:pPr>
      <w:r>
        <w:rPr>
          <w:rFonts w:cs="Calibri"/>
          <w:lang w:val="de-DE"/>
        </w:rPr>
        <w:t>Das Aufkommen von Dienstleistungen/Produkten/Technologien auf dem Markt zur Unterstützung eines verantwortungsvollen Energieverhaltens und zur Vermeidung von „Lock-ins“ unterstützen und fördern;</w:t>
      </w:r>
    </w:p>
    <w:p w:rsidR="000B433A" w:rsidRDefault="000B433A">
      <w:pPr>
        <w:pStyle w:val="Paragraphedeliste"/>
        <w:numPr>
          <w:ilvl w:val="0"/>
          <w:numId w:val="35"/>
        </w:numPr>
        <w:spacing w:after="200"/>
        <w:rPr>
          <w:rFonts w:cs="Calibri"/>
          <w:szCs w:val="24"/>
          <w:lang w:val="de-DE"/>
        </w:rPr>
      </w:pPr>
      <w:r>
        <w:rPr>
          <w:rFonts w:cs="Calibri"/>
          <w:lang w:val="de-DE"/>
        </w:rPr>
        <w:t>Einen einfachen und schnellen Zugriff auf Informationen über eine zentrale Plattform ermöglichen;</w:t>
      </w:r>
    </w:p>
    <w:p w:rsidR="000B433A" w:rsidRDefault="000B433A">
      <w:pPr>
        <w:pStyle w:val="Paragraphedeliste"/>
        <w:numPr>
          <w:ilvl w:val="0"/>
          <w:numId w:val="35"/>
        </w:numPr>
        <w:spacing w:after="200"/>
        <w:rPr>
          <w:rFonts w:cs="Calibri"/>
          <w:szCs w:val="24"/>
          <w:lang w:val="de-DE"/>
        </w:rPr>
      </w:pPr>
      <w:r>
        <w:rPr>
          <w:rFonts w:cs="Calibri"/>
          <w:lang w:val="de-DE"/>
        </w:rPr>
        <w:t>Das bürgernahe lokale Unterstützungsnetz strukturieren, das einen Teil der Kommunikation, der praktischen Beratung und der Anreize übernimmt</w:t>
      </w:r>
    </w:p>
    <w:p w:rsidR="000B433A" w:rsidRDefault="000B433A">
      <w:pPr>
        <w:pStyle w:val="Paragraphedeliste"/>
        <w:numPr>
          <w:ilvl w:val="0"/>
          <w:numId w:val="35"/>
        </w:numPr>
        <w:spacing w:after="200"/>
        <w:rPr>
          <w:rFonts w:cs="Calibri"/>
          <w:szCs w:val="24"/>
          <w:lang w:val="de-DE"/>
        </w:rPr>
      </w:pPr>
      <w:r>
        <w:rPr>
          <w:rFonts w:cs="Calibri"/>
          <w:lang w:val="de-DE"/>
        </w:rPr>
        <w:t>Die öffentlichen Infrastrukturen entwickeln, falls erforderlich;</w:t>
      </w:r>
    </w:p>
    <w:p w:rsidR="000B433A" w:rsidRDefault="000B433A">
      <w:pPr>
        <w:pStyle w:val="Paragraphedeliste"/>
        <w:numPr>
          <w:ilvl w:val="0"/>
          <w:numId w:val="35"/>
        </w:numPr>
        <w:spacing w:after="200"/>
        <w:rPr>
          <w:rFonts w:cs="Calibri"/>
          <w:szCs w:val="24"/>
          <w:lang w:val="de-DE"/>
        </w:rPr>
      </w:pPr>
      <w:r>
        <w:rPr>
          <w:rFonts w:cs="Calibri"/>
          <w:lang w:val="de-DE"/>
        </w:rPr>
        <w:t xml:space="preserve">Die Förderung bewährter Praktiken und das qualitative Management von Dienstleistungen und Produkten organisieren; </w:t>
      </w:r>
    </w:p>
    <w:p w:rsidR="000B433A" w:rsidRDefault="000B433A">
      <w:pPr>
        <w:pStyle w:val="Paragraphedeliste"/>
        <w:numPr>
          <w:ilvl w:val="0"/>
          <w:numId w:val="35"/>
        </w:numPr>
        <w:spacing w:after="200"/>
        <w:rPr>
          <w:rFonts w:cs="Calibri"/>
          <w:szCs w:val="24"/>
          <w:lang w:val="de-DE"/>
        </w:rPr>
      </w:pPr>
      <w:r>
        <w:rPr>
          <w:rFonts w:cs="Calibri"/>
          <w:lang w:val="de-DE"/>
        </w:rPr>
        <w:t>Den anreizenden und repressiven Finanz- und Rechtsrahmen schaffen;</w:t>
      </w:r>
    </w:p>
    <w:p w:rsidR="000B433A" w:rsidRDefault="000B433A">
      <w:pPr>
        <w:pStyle w:val="Paragraphedeliste"/>
        <w:numPr>
          <w:ilvl w:val="0"/>
          <w:numId w:val="35"/>
        </w:numPr>
        <w:spacing w:after="200"/>
        <w:rPr>
          <w:rFonts w:cs="Calibri"/>
          <w:szCs w:val="24"/>
          <w:lang w:val="de-DE"/>
        </w:rPr>
      </w:pPr>
      <w:r>
        <w:rPr>
          <w:rFonts w:cs="Calibri"/>
          <w:lang w:val="de-DE"/>
        </w:rPr>
        <w:t>Die „sozialen Normen“, die einen derartigen Einfluss auf das Verhalten haben, positiv verändern, indem die Auswirkungen kontraproduktiver externer Kommunikation begrenzt werden.</w:t>
      </w:r>
    </w:p>
    <w:p w:rsidR="000B433A" w:rsidRPr="002B570A" w:rsidRDefault="000B433A" w:rsidP="00CE1A98">
      <w:pPr>
        <w:pStyle w:val="Sous-titre"/>
        <w:autoSpaceDE w:val="0"/>
        <w:autoSpaceDN w:val="0"/>
        <w:adjustRightInd w:val="0"/>
        <w:spacing w:line="276" w:lineRule="auto"/>
        <w:rPr>
          <w:rStyle w:val="lev"/>
          <w:rFonts w:cs="Calibri"/>
          <w:sz w:val="24"/>
          <w:lang w:val="de-DE"/>
        </w:rPr>
      </w:pPr>
      <w:r>
        <w:rPr>
          <w:rStyle w:val="lev"/>
          <w:rFonts w:cs="Calibri"/>
          <w:sz w:val="24"/>
          <w:lang w:val="de-DE"/>
        </w:rPr>
        <w:t>Sicherstellung der Governance:</w:t>
      </w:r>
    </w:p>
    <w:p w:rsidR="000B433A" w:rsidRPr="002B570A" w:rsidRDefault="000B433A" w:rsidP="00CE1A98">
      <w:pPr>
        <w:rPr>
          <w:rFonts w:cs="Calibri"/>
          <w:szCs w:val="24"/>
          <w:lang w:val="de-DE"/>
        </w:rPr>
      </w:pPr>
      <w:r>
        <w:rPr>
          <w:rFonts w:cs="Calibri"/>
          <w:lang w:val="de-DE"/>
        </w:rPr>
        <w:t>Eine letzte wichtige Rolle der Behörden besteht darin, regelmäßig sicherzustellen, dass die durchgeführten Maßnahmen für das angestrebte Ziel relevant sind. Die Wirkung von Kommunikationskampagnen muss regelmäßig evaluiert werden, um sie ständig durch Korrekturen zu optimieren, und die Entstehung neuer Ideen muss schnell integriert werden.</w:t>
      </w:r>
    </w:p>
    <w:p w:rsidR="000B433A" w:rsidRPr="002B570A" w:rsidRDefault="000B433A" w:rsidP="00CE1A98">
      <w:pPr>
        <w:rPr>
          <w:rFonts w:cs="Calibri"/>
          <w:szCs w:val="24"/>
          <w:lang w:val="de-DE"/>
        </w:rPr>
      </w:pPr>
      <w:r>
        <w:rPr>
          <w:rFonts w:cs="Calibri"/>
          <w:lang w:val="de-DE"/>
        </w:rPr>
        <w:t>Ebenso müssen die Auswirkungen der zur Verfügung gestellten Instrumente systematisch überwacht und das Ausmaß der finanziellen Unterstützung oder Hürden an die beobachteten Veränderungen angepasst werden können.</w:t>
      </w:r>
    </w:p>
    <w:p w:rsidR="000B433A" w:rsidRPr="002B570A" w:rsidRDefault="000B433A" w:rsidP="00CE1A98">
      <w:pPr>
        <w:rPr>
          <w:rFonts w:cs="Calibri"/>
          <w:szCs w:val="24"/>
          <w:lang w:val="de-DE"/>
        </w:rPr>
      </w:pPr>
      <w:r>
        <w:rPr>
          <w:rFonts w:cs="Calibri"/>
          <w:lang w:val="de-DE"/>
        </w:rPr>
        <w:t>Es sollte eine Expertengruppe eingerichtet werden, die diese Folgemaßnahmen gewährleistet, ihre Schlussfolgerungen kommuniziert und die Umsetzung ihrer Empfehlungen gewährleistet.</w:t>
      </w:r>
    </w:p>
    <w:p w:rsidR="000B433A" w:rsidRPr="002B570A" w:rsidRDefault="000B433A" w:rsidP="00CE1A98">
      <w:pPr>
        <w:pStyle w:val="Titre3"/>
        <w:rPr>
          <w:rFonts w:ascii="Calibri" w:hAnsi="Calibri" w:cs="Calibri"/>
          <w:i/>
          <w:lang w:val="de-DE"/>
        </w:rPr>
      </w:pPr>
      <w:r>
        <w:rPr>
          <w:rFonts w:ascii="Calibri" w:hAnsi="Calibri" w:cs="Calibri"/>
          <w:i/>
          <w:lang w:val="de-DE"/>
        </w:rPr>
        <w:t xml:space="preserve">Neue Gebäude: Die Energieautonomie fördern </w:t>
      </w:r>
    </w:p>
    <w:p w:rsidR="000B433A" w:rsidRPr="002B570A" w:rsidRDefault="000B433A" w:rsidP="00CE1A98">
      <w:pPr>
        <w:rPr>
          <w:rFonts w:cs="Calibri"/>
          <w:szCs w:val="24"/>
          <w:lang w:val="de-DE"/>
        </w:rPr>
      </w:pPr>
      <w:r>
        <w:rPr>
          <w:rFonts w:cs="Calibri"/>
          <w:lang w:val="de-DE"/>
        </w:rPr>
        <w:t xml:space="preserve">Um die Energieautonomie neuer Gebäude ab 2025 zu fördern, plant die Wallonie, Maßnahmen in zwei Phasen durchzuführen: </w:t>
      </w:r>
    </w:p>
    <w:p w:rsidR="000B433A" w:rsidRPr="002B570A" w:rsidRDefault="000B433A" w:rsidP="00CE1A98">
      <w:pPr>
        <w:rPr>
          <w:rFonts w:cs="Calibri"/>
          <w:szCs w:val="24"/>
          <w:lang w:val="de-DE"/>
        </w:rPr>
      </w:pPr>
      <w:r>
        <w:rPr>
          <w:rFonts w:cs="Calibri"/>
          <w:lang w:val="de-DE"/>
        </w:rPr>
        <w:t>-</w:t>
      </w:r>
      <w:r w:rsidRPr="002B570A">
        <w:rPr>
          <w:rFonts w:cs="Calibri"/>
          <w:szCs w:val="24"/>
          <w:lang w:val="de-DE"/>
        </w:rPr>
        <w:tab/>
      </w:r>
      <w:r>
        <w:rPr>
          <w:rFonts w:cs="Calibri"/>
          <w:lang w:val="de-DE"/>
        </w:rPr>
        <w:t>Eine erste Phase der Vorbereitung zielt darauf ab, den Rahmen zu setzen und freiwillige Maßnahmen zu fördern, indem die Nachfrage stimuliert (Kommunikation, finanzielle Unterstützung, Zugang zu Finanzmitteln) und ein qualitativ hochwertiges Angebot entwickelt wird (Ausbildung von Fachkräften, Entwicklung technischer Instrumente).</w:t>
      </w:r>
    </w:p>
    <w:p w:rsidR="000B433A" w:rsidRPr="002B570A" w:rsidRDefault="000B433A" w:rsidP="00CE1A98">
      <w:pPr>
        <w:rPr>
          <w:rFonts w:cs="Calibri"/>
          <w:szCs w:val="24"/>
          <w:lang w:val="de-DE"/>
        </w:rPr>
      </w:pPr>
      <w:r>
        <w:rPr>
          <w:rFonts w:cs="Calibri"/>
          <w:lang w:val="de-DE"/>
        </w:rPr>
        <w:t>-</w:t>
      </w:r>
      <w:r w:rsidRPr="002B570A">
        <w:rPr>
          <w:rFonts w:cs="Calibri"/>
          <w:szCs w:val="24"/>
          <w:lang w:val="de-DE"/>
        </w:rPr>
        <w:tab/>
      </w:r>
      <w:r>
        <w:rPr>
          <w:rFonts w:cs="Calibri"/>
          <w:lang w:val="de-DE"/>
        </w:rPr>
        <w:t>Eine zweite Phase, die aus einer schrittweisen und kohärenten Verstärkung der regulatorischen Anforderungen besteht. Das Anforderungsniveau ist kurzfristig das Q-</w:t>
      </w:r>
      <w:proofErr w:type="gramStart"/>
      <w:r>
        <w:rPr>
          <w:rFonts w:cs="Calibri"/>
          <w:lang w:val="de-DE"/>
        </w:rPr>
        <w:t xml:space="preserve">ZEN </w:t>
      </w:r>
      <w:proofErr w:type="gramEnd"/>
      <w:r>
        <w:rPr>
          <w:rStyle w:val="Appelnotedebasdep"/>
          <w:rFonts w:cs="Calibri"/>
          <w:szCs w:val="24"/>
          <w:lang w:val="de-DE"/>
        </w:rPr>
        <w:footnoteReference w:id="23"/>
      </w:r>
      <w:r>
        <w:rPr>
          <w:rFonts w:cs="Calibri"/>
          <w:lang w:val="de-DE"/>
        </w:rPr>
        <w:t>. Die Anforderung wird im Lichte der Aktualisierungen der Studie „Cost optimum“ überprüft, deren letzte Überarbeitung (Juni 2018) zeigt, dass das Optimum über dem Niveau von Q-ZEN liegt. Das Update 2023 wird bestimmen, ob der ZEN-Level ab 2025 zur neuen Norm werden kann.</w:t>
      </w:r>
    </w:p>
    <w:p w:rsidR="000B433A" w:rsidRPr="002B570A" w:rsidRDefault="000B433A" w:rsidP="00CE1A98">
      <w:pPr>
        <w:rPr>
          <w:rFonts w:cs="Calibri"/>
          <w:szCs w:val="24"/>
          <w:lang w:val="de-DE"/>
        </w:rPr>
      </w:pPr>
      <w:r>
        <w:rPr>
          <w:rFonts w:cs="Calibri"/>
          <w:lang w:val="de-DE"/>
        </w:rPr>
        <w:t xml:space="preserve">Es wurden 7 Arbeitsachsen definiert: </w:t>
      </w:r>
    </w:p>
    <w:p w:rsidR="000B433A" w:rsidRDefault="000B433A">
      <w:pPr>
        <w:pStyle w:val="Paragraphedeliste"/>
        <w:numPr>
          <w:ilvl w:val="0"/>
          <w:numId w:val="36"/>
        </w:numPr>
        <w:spacing w:before="120"/>
        <w:rPr>
          <w:rStyle w:val="Emphaseintense"/>
          <w:rFonts w:cs="Calibri"/>
          <w:b w:val="0"/>
          <w:i w:val="0"/>
          <w:color w:val="auto"/>
          <w:szCs w:val="24"/>
          <w:lang w:val="de-DE"/>
        </w:rPr>
      </w:pPr>
      <w:r>
        <w:rPr>
          <w:rStyle w:val="Emphaseintense"/>
          <w:rFonts w:cs="Calibri"/>
          <w:b w:val="0"/>
          <w:color w:val="auto"/>
          <w:lang w:val="de-DE"/>
        </w:rPr>
        <w:t>Den Rahmen festlegen und die Kohärenz der Strategien sicherstellen</w:t>
      </w:r>
    </w:p>
    <w:p w:rsidR="000B433A" w:rsidRDefault="000B433A">
      <w:pPr>
        <w:pStyle w:val="Paragraphedeliste"/>
        <w:numPr>
          <w:ilvl w:val="0"/>
          <w:numId w:val="36"/>
        </w:numPr>
        <w:spacing w:before="120"/>
        <w:rPr>
          <w:rStyle w:val="Emphaseintense"/>
          <w:rFonts w:cs="Calibri"/>
          <w:b w:val="0"/>
          <w:i w:val="0"/>
          <w:color w:val="auto"/>
          <w:szCs w:val="24"/>
          <w:lang w:val="de-DE"/>
        </w:rPr>
      </w:pPr>
      <w:r>
        <w:rPr>
          <w:rStyle w:val="Emphaseintense"/>
          <w:rFonts w:cs="Calibri"/>
          <w:b w:val="0"/>
          <w:color w:val="auto"/>
          <w:lang w:val="de-DE"/>
        </w:rPr>
        <w:t>Die Nachfrage durch Information und Sensibilisierung entwickeln</w:t>
      </w:r>
    </w:p>
    <w:p w:rsidR="000B433A" w:rsidRDefault="000B433A">
      <w:pPr>
        <w:pStyle w:val="Paragraphedeliste"/>
        <w:numPr>
          <w:ilvl w:val="0"/>
          <w:numId w:val="36"/>
        </w:numPr>
        <w:spacing w:before="120"/>
        <w:rPr>
          <w:rStyle w:val="Emphaseintense"/>
          <w:rFonts w:cs="Calibri"/>
          <w:b w:val="0"/>
          <w:i w:val="0"/>
          <w:color w:val="auto"/>
          <w:szCs w:val="24"/>
          <w:lang w:val="de-DE"/>
        </w:rPr>
      </w:pPr>
      <w:r>
        <w:rPr>
          <w:rStyle w:val="Emphaseintense"/>
          <w:rFonts w:cs="Calibri"/>
          <w:b w:val="0"/>
          <w:color w:val="auto"/>
          <w:lang w:val="de-DE"/>
        </w:rPr>
        <w:t>Die Qualität der Ausbildung verbessern</w:t>
      </w:r>
    </w:p>
    <w:p w:rsidR="000B433A" w:rsidRDefault="000B433A">
      <w:pPr>
        <w:pStyle w:val="Paragraphedeliste"/>
        <w:numPr>
          <w:ilvl w:val="0"/>
          <w:numId w:val="36"/>
        </w:numPr>
        <w:spacing w:before="120"/>
        <w:rPr>
          <w:rStyle w:val="Emphaseintense"/>
          <w:rFonts w:cs="Calibri"/>
          <w:b w:val="0"/>
          <w:color w:val="auto"/>
          <w:szCs w:val="24"/>
          <w:lang w:val="de-DE"/>
        </w:rPr>
      </w:pPr>
      <w:r>
        <w:rPr>
          <w:rStyle w:val="Emphaseintense"/>
          <w:rFonts w:cs="Calibri"/>
          <w:b w:val="0"/>
          <w:color w:val="auto"/>
          <w:lang w:val="de-DE"/>
        </w:rPr>
        <w:t>Die Verfügbarkeit und Effektivität von Instrumenten sicherstellen</w:t>
      </w:r>
    </w:p>
    <w:p w:rsidR="000B433A" w:rsidRDefault="000B433A">
      <w:pPr>
        <w:pStyle w:val="Paragraphedeliste"/>
        <w:numPr>
          <w:ilvl w:val="0"/>
          <w:numId w:val="36"/>
        </w:numPr>
        <w:spacing w:before="120"/>
        <w:rPr>
          <w:rStyle w:val="Emphaseintense"/>
          <w:rFonts w:cs="Calibri"/>
          <w:b w:val="0"/>
          <w:i w:val="0"/>
          <w:color w:val="auto"/>
          <w:szCs w:val="24"/>
          <w:lang w:val="de-DE"/>
        </w:rPr>
      </w:pPr>
      <w:r>
        <w:rPr>
          <w:rStyle w:val="Emphaseintense"/>
          <w:rFonts w:cs="Calibri"/>
          <w:b w:val="0"/>
          <w:color w:val="auto"/>
          <w:lang w:val="de-DE"/>
        </w:rPr>
        <w:t>Die Energieeffizienz im Immobilienwert steigern</w:t>
      </w:r>
    </w:p>
    <w:p w:rsidR="000B433A" w:rsidRDefault="000B433A">
      <w:pPr>
        <w:pStyle w:val="Paragraphedeliste"/>
        <w:numPr>
          <w:ilvl w:val="0"/>
          <w:numId w:val="36"/>
        </w:numPr>
        <w:spacing w:before="120"/>
        <w:rPr>
          <w:rFonts w:cs="Calibri"/>
          <w:b/>
          <w:szCs w:val="24"/>
          <w:lang w:val="de-DE"/>
        </w:rPr>
      </w:pPr>
      <w:r>
        <w:rPr>
          <w:rStyle w:val="Emphaseintense"/>
          <w:rFonts w:cs="Calibri"/>
          <w:b w:val="0"/>
          <w:color w:val="auto"/>
          <w:lang w:val="de-DE"/>
        </w:rPr>
        <w:t>Den ZEN finanziell unterstützen und sämtlichen Zielgruppen den Zugang garantieren</w:t>
      </w:r>
    </w:p>
    <w:p w:rsidR="000B433A" w:rsidRDefault="000B433A">
      <w:pPr>
        <w:pStyle w:val="Paragraphedeliste"/>
        <w:numPr>
          <w:ilvl w:val="0"/>
          <w:numId w:val="36"/>
        </w:numPr>
        <w:spacing w:before="120"/>
        <w:rPr>
          <w:rStyle w:val="Emphaseintense"/>
          <w:rFonts w:cs="Calibri"/>
          <w:b w:val="0"/>
          <w:color w:val="auto"/>
          <w:szCs w:val="24"/>
          <w:lang w:val="de-DE"/>
        </w:rPr>
      </w:pPr>
      <w:r>
        <w:rPr>
          <w:rStyle w:val="Emphaseintense"/>
          <w:rFonts w:cs="Calibri"/>
          <w:b w:val="0"/>
          <w:color w:val="auto"/>
          <w:lang w:val="de-DE"/>
        </w:rPr>
        <w:t>Die Verbesserung der Infrastruktur und des Managements des Elektrizitätsnetzes sicherstellen</w:t>
      </w:r>
    </w:p>
    <w:p w:rsidR="000B433A" w:rsidRPr="002B570A" w:rsidRDefault="000B433A" w:rsidP="00CE1A98">
      <w:pPr>
        <w:pStyle w:val="Titre3"/>
        <w:rPr>
          <w:rFonts w:ascii="Calibri" w:hAnsi="Calibri" w:cs="Calibri"/>
          <w:i/>
          <w:lang w:val="de-DE"/>
        </w:rPr>
      </w:pPr>
      <w:r>
        <w:rPr>
          <w:rFonts w:ascii="Calibri" w:hAnsi="Calibri" w:cs="Calibri"/>
          <w:i/>
          <w:lang w:val="de-DE"/>
        </w:rPr>
        <w:t>Öffentliche Gebäude: Vorbildfunktion (Art 5 EED)</w:t>
      </w:r>
    </w:p>
    <w:p w:rsidR="000B433A" w:rsidRPr="002B570A" w:rsidRDefault="000B433A" w:rsidP="00CE1A98">
      <w:pPr>
        <w:spacing w:line="264" w:lineRule="auto"/>
        <w:rPr>
          <w:rFonts w:cs="Calibri"/>
          <w:bCs/>
          <w:szCs w:val="24"/>
          <w:lang w:val="de-DE"/>
        </w:rPr>
      </w:pPr>
      <w:r>
        <w:rPr>
          <w:rFonts w:cs="Calibri"/>
          <w:lang w:val="de-DE"/>
        </w:rPr>
        <w:t xml:space="preserve">Neben der Vorbildfunktion der zentralen Staatsgebäude (Umsetzung von Artikel 5) sind alle anderen Verwalter öffentlicher Gebäude (insbesondere die Kommunen) zu Folgendem verpflichtet: </w:t>
      </w:r>
    </w:p>
    <w:p w:rsidR="000B433A" w:rsidRPr="002B570A" w:rsidRDefault="000B433A" w:rsidP="00E15C2C">
      <w:pPr>
        <w:pStyle w:val="Paragraphedeliste"/>
        <w:numPr>
          <w:ilvl w:val="0"/>
          <w:numId w:val="11"/>
        </w:numPr>
        <w:spacing w:line="264" w:lineRule="auto"/>
        <w:rPr>
          <w:rFonts w:cs="Calibri"/>
          <w:szCs w:val="24"/>
          <w:lang w:val="de-DE"/>
        </w:rPr>
      </w:pPr>
      <w:r>
        <w:rPr>
          <w:rFonts w:cs="Calibri"/>
          <w:lang w:val="de-DE"/>
        </w:rPr>
        <w:t>Bis 2025 einen genauen Kataster der öffentlichen Gebäude zu erstellen;</w:t>
      </w:r>
    </w:p>
    <w:p w:rsidR="000B433A" w:rsidRPr="002B570A" w:rsidRDefault="000B433A" w:rsidP="00E15C2C">
      <w:pPr>
        <w:pStyle w:val="Paragraphedeliste"/>
        <w:numPr>
          <w:ilvl w:val="0"/>
          <w:numId w:val="11"/>
        </w:numPr>
        <w:spacing w:line="264" w:lineRule="auto"/>
        <w:rPr>
          <w:rFonts w:cs="Calibri"/>
          <w:szCs w:val="24"/>
          <w:lang w:val="de-DE"/>
        </w:rPr>
      </w:pPr>
      <w:r>
        <w:rPr>
          <w:rFonts w:cs="Calibri"/>
          <w:lang w:val="de-DE"/>
        </w:rPr>
        <w:t>Einen Fahrplan zur Verbesserung der Energieeffizienz ihrer Gebäude auszuarbeiten;</w:t>
      </w:r>
    </w:p>
    <w:p w:rsidR="000B433A" w:rsidRPr="002B570A" w:rsidRDefault="000B433A" w:rsidP="00E15C2C">
      <w:pPr>
        <w:pStyle w:val="Paragraphedeliste"/>
        <w:numPr>
          <w:ilvl w:val="0"/>
          <w:numId w:val="11"/>
        </w:numPr>
        <w:spacing w:line="264" w:lineRule="auto"/>
        <w:rPr>
          <w:rFonts w:cs="Calibri"/>
          <w:szCs w:val="24"/>
          <w:lang w:val="de-DE"/>
        </w:rPr>
      </w:pPr>
      <w:r>
        <w:rPr>
          <w:rFonts w:cs="Calibri"/>
          <w:lang w:val="de-DE"/>
        </w:rPr>
        <w:t>Eine gezielte Renovierungsstrategie auf Grundlage des Fahrplans festlegen, um den Gesamtenergieverbrauch zu senken;</w:t>
      </w:r>
    </w:p>
    <w:p w:rsidR="000B433A" w:rsidRPr="002B570A" w:rsidRDefault="000B433A" w:rsidP="00E15C2C">
      <w:pPr>
        <w:pStyle w:val="Paragraphedeliste"/>
        <w:numPr>
          <w:ilvl w:val="0"/>
          <w:numId w:val="11"/>
        </w:numPr>
        <w:spacing w:line="264" w:lineRule="auto"/>
        <w:rPr>
          <w:rFonts w:cs="Calibri"/>
          <w:szCs w:val="24"/>
          <w:lang w:val="de-DE"/>
        </w:rPr>
      </w:pPr>
      <w:r>
        <w:rPr>
          <w:rFonts w:cs="Calibri"/>
          <w:lang w:val="de-DE"/>
        </w:rPr>
        <w:t>Bei der Durchführung von Arbeiten an einem Gebäude sollten Sie alle Maßnahmen im Zusammenhang mit den Arbeiten zur Steigerung der Energieeffizienz des Gebäudes prüfen. Es wird daher darum gehen, zumindest die Maßnahmen des Fahrplans umzusetzen, die mit den geplanten Arbeiten vereinbar sind.</w:t>
      </w:r>
    </w:p>
    <w:p w:rsidR="000B433A" w:rsidRPr="002B570A" w:rsidRDefault="000B433A" w:rsidP="00CE1A98">
      <w:pPr>
        <w:pStyle w:val="Titre3"/>
        <w:rPr>
          <w:rFonts w:ascii="Calibri" w:hAnsi="Calibri" w:cs="Calibri"/>
          <w:i/>
          <w:lang w:val="de-DE"/>
        </w:rPr>
      </w:pPr>
      <w:r>
        <w:rPr>
          <w:rFonts w:ascii="Calibri" w:hAnsi="Calibri" w:cs="Calibri"/>
          <w:i/>
          <w:lang w:val="de-DE"/>
        </w:rPr>
        <w:t>Luftqualität: Hausheizung: Charakterisierung, Sensibilisierung und Kontrolle der Schadstoffemissionen</w:t>
      </w:r>
    </w:p>
    <w:p w:rsidR="000B433A" w:rsidRPr="002B570A" w:rsidRDefault="000B433A" w:rsidP="00D5118D">
      <w:pPr>
        <w:pStyle w:val="Sansinterligne"/>
        <w:rPr>
          <w:rFonts w:ascii="Calibri" w:hAnsi="Calibri" w:cs="Calibri"/>
          <w:sz w:val="24"/>
          <w:szCs w:val="24"/>
          <w:lang w:val="de-DE"/>
        </w:rPr>
      </w:pPr>
      <w:r>
        <w:rPr>
          <w:rFonts w:ascii="Calibri" w:hAnsi="Calibri" w:cs="Calibri"/>
          <w:sz w:val="24"/>
          <w:lang w:val="de-DE"/>
        </w:rPr>
        <w:t>Die Wohnraumheizung, alle Brennstoffe zusammengenommen, ist für 63 % der PM</w:t>
      </w:r>
      <w:r w:rsidRPr="002B570A">
        <w:rPr>
          <w:rFonts w:ascii="Calibri" w:hAnsi="Calibri" w:cs="Calibri"/>
          <w:sz w:val="24"/>
          <w:szCs w:val="24"/>
          <w:vertAlign w:val="subscript"/>
          <w:lang w:val="de-DE"/>
        </w:rPr>
        <w:t>2</w:t>
      </w:r>
      <w:proofErr w:type="gramStart"/>
      <w:r w:rsidRPr="002B570A">
        <w:rPr>
          <w:rFonts w:ascii="Calibri" w:hAnsi="Calibri" w:cs="Calibri"/>
          <w:sz w:val="24"/>
          <w:szCs w:val="24"/>
          <w:vertAlign w:val="subscript"/>
          <w:lang w:val="de-DE"/>
        </w:rPr>
        <w:t>,5</w:t>
      </w:r>
      <w:proofErr w:type="gramEnd"/>
      <w:r>
        <w:rPr>
          <w:rFonts w:ascii="Calibri" w:hAnsi="Calibri" w:cs="Calibri"/>
          <w:sz w:val="24"/>
          <w:lang w:val="de-DE"/>
        </w:rPr>
        <w:t xml:space="preserve">-Emissionen verantwortlich. Den größten Anteil an diesen Emissionen hat die heimische Holzheizung, ebenso wie flüchtige organische Verbindungen (VOC) und polyzyklische aromatische Kohlenwasserstoffe (PAK). Darüber hinaus ist das zunehmende Potenzial für die Nutzung von Biomasse als erneuerbare Energiequelle eine Herausforderung, insbesondere im Hinblick auf die Feinstaubemissionen. Es gibt viele und vielfältige Anlagen und Emissionen sind schwer zu kontrollieren, da sie von der ordnungsgemäßen oder unsachgemäßen Verwendung der Geräte unter realen Bedingungen abhängen. </w:t>
      </w:r>
    </w:p>
    <w:p w:rsidR="000B433A" w:rsidRPr="002B570A" w:rsidRDefault="000B433A" w:rsidP="00D91141">
      <w:pPr>
        <w:pStyle w:val="Sansinterligne"/>
        <w:rPr>
          <w:rFonts w:ascii="Calibri" w:hAnsi="Calibri" w:cs="Calibri"/>
          <w:sz w:val="24"/>
          <w:szCs w:val="24"/>
          <w:lang w:val="de-DE"/>
        </w:rPr>
      </w:pPr>
      <w:r>
        <w:rPr>
          <w:rFonts w:ascii="Calibri" w:hAnsi="Calibri" w:cs="Calibri"/>
          <w:sz w:val="24"/>
          <w:lang w:val="de-DE"/>
        </w:rPr>
        <w:t>Nur wenige Anwender wissen, dass ihre Holzheizung, insbesondere Holzstämme, eine wichtige Quelle der Luftverschmutzung ist. Es erscheint unerlässlich, das Bewusstsein zu schärfen, die Akteure des Sektors, vom Hersteller bis zum Verbraucher, zu schulen und sogar zu zertifizieren.</w:t>
      </w:r>
    </w:p>
    <w:p w:rsidR="000B433A" w:rsidRPr="002B570A" w:rsidRDefault="000B433A" w:rsidP="00D91141">
      <w:pPr>
        <w:pStyle w:val="Sansinterligne"/>
        <w:rPr>
          <w:rFonts w:ascii="Calibri" w:hAnsi="Calibri" w:cs="Calibri"/>
          <w:sz w:val="24"/>
          <w:szCs w:val="24"/>
          <w:lang w:val="de-DE"/>
        </w:rPr>
      </w:pPr>
    </w:p>
    <w:p w:rsidR="000B433A" w:rsidRPr="002B570A" w:rsidRDefault="000B433A" w:rsidP="00D91141">
      <w:pPr>
        <w:pStyle w:val="Sansinterligne"/>
        <w:rPr>
          <w:rFonts w:ascii="Calibri" w:hAnsi="Calibri" w:cs="Calibri"/>
          <w:sz w:val="24"/>
          <w:szCs w:val="24"/>
          <w:lang w:val="de-DE"/>
        </w:rPr>
      </w:pPr>
      <w:r>
        <w:rPr>
          <w:rFonts w:ascii="Calibri" w:hAnsi="Calibri" w:cs="Calibri"/>
          <w:sz w:val="24"/>
          <w:lang w:val="de-DE"/>
        </w:rPr>
        <w:t>Maßnahmenvorschlag:</w:t>
      </w:r>
    </w:p>
    <w:p w:rsidR="000B433A" w:rsidRPr="002B570A" w:rsidRDefault="000B433A" w:rsidP="00D91141">
      <w:pPr>
        <w:pStyle w:val="Sansinterligne"/>
        <w:rPr>
          <w:rFonts w:ascii="Calibri" w:hAnsi="Calibri" w:cs="Calibri"/>
          <w:sz w:val="24"/>
          <w:szCs w:val="24"/>
          <w:lang w:val="de-DE"/>
        </w:rPr>
      </w:pPr>
    </w:p>
    <w:p w:rsidR="000B433A" w:rsidRDefault="000B433A">
      <w:pPr>
        <w:pStyle w:val="Sansinterligne"/>
        <w:numPr>
          <w:ilvl w:val="0"/>
          <w:numId w:val="21"/>
        </w:numPr>
        <w:ind w:left="426" w:hanging="426"/>
        <w:rPr>
          <w:rFonts w:ascii="Calibri" w:hAnsi="Calibri" w:cs="Calibri"/>
          <w:sz w:val="24"/>
          <w:szCs w:val="24"/>
          <w:lang w:val="de-DE"/>
        </w:rPr>
      </w:pPr>
      <w:r>
        <w:rPr>
          <w:rFonts w:ascii="Calibri" w:hAnsi="Calibri" w:cs="Calibri"/>
          <w:sz w:val="24"/>
          <w:lang w:val="de-DE"/>
        </w:rPr>
        <w:t xml:space="preserve">Die Sensibilisierung der Nutzer in Bezug auf Risiken und bewährte Verfahren (trockenes Holz, Deckenbeleuchtung, regelmäßige Wartung von Geräten und Kaminen usw.) steigern, durch eine verstärkte Verbreitung des Leitfadens „Die Beherrschung von Feuer“ für bewährte Verfahren durch die Mobilisierung verschiedener und zahlreicher Vermittler (Installateure, Verkäufer von Material in Supermärkten und Fachgeschäften, Holzverkäufer, Verbände, Energieversorger usw.). öffentliche Konferenzen auf Messen, Ausstellungen oder Kommunen durch Moderatoren oder die Energieschalter), und dieses Bewusstsein langfristig aufrechterhalten, sodass Informationen über die Auswirkungen der Holzheizung im Haushalt auf die Luftverschmutzung und die Gesundheit von Menschen von der Mehrheit der Nutzer integriert werden; </w:t>
      </w:r>
    </w:p>
    <w:p w:rsidR="000B433A" w:rsidRDefault="000B433A">
      <w:pPr>
        <w:pStyle w:val="Sansinterligne"/>
        <w:numPr>
          <w:ilvl w:val="0"/>
          <w:numId w:val="21"/>
        </w:numPr>
        <w:ind w:left="426" w:hanging="426"/>
        <w:rPr>
          <w:rFonts w:ascii="Calibri" w:hAnsi="Calibri" w:cs="Calibri"/>
          <w:sz w:val="24"/>
          <w:szCs w:val="24"/>
          <w:lang w:val="de-DE"/>
        </w:rPr>
      </w:pPr>
      <w:r>
        <w:rPr>
          <w:rFonts w:ascii="Calibri" w:hAnsi="Calibri" w:cs="Calibri"/>
          <w:sz w:val="24"/>
          <w:lang w:val="de-DE"/>
        </w:rPr>
        <w:t xml:space="preserve">Die Erneuerung des Parks (hauptsächlich alte Holzfeueröfen, die vor der Verabschiedung des Königlichen Erlasses von 2010 über die Vermarktung von Heizanlagen für feste Brennstoffe installiert wurden) begünstigen und den Einsatz emissionsarmer Technologien (Kessel oder Boiler) durch wirtschaftliche oder steuerliche Anreize wie Prämien oder zinsschwache Kredite fördern. Einen speziellen Fonds zur Gewährung von Prämien einrichten, der die Erneuerung des Parks begünstigt. Auch wenn die Schaffung spezifischer Anreize in Betracht gezogen werden kann, kann auch die Modulation bestimmter bestehender Mechanismen berücksichtigt werden, wie beispielsweise die Aufnahme der Installation oder den Austausch individueller Holzfeueröfen in die Liste der förderfähigen Arbeiten für die Programme ECOPACK und RENOPACK. </w:t>
      </w:r>
    </w:p>
    <w:p w:rsidR="000B433A" w:rsidRDefault="000B433A">
      <w:pPr>
        <w:pStyle w:val="Sansinterligne"/>
        <w:numPr>
          <w:ilvl w:val="0"/>
          <w:numId w:val="22"/>
        </w:numPr>
        <w:ind w:left="426" w:hanging="426"/>
        <w:rPr>
          <w:rFonts w:ascii="Calibri" w:hAnsi="Calibri" w:cs="Calibri"/>
          <w:sz w:val="24"/>
          <w:szCs w:val="24"/>
          <w:lang w:val="de-DE"/>
        </w:rPr>
      </w:pPr>
      <w:r>
        <w:rPr>
          <w:rFonts w:ascii="Calibri" w:hAnsi="Calibri" w:cs="Calibri"/>
          <w:sz w:val="24"/>
          <w:lang w:val="de-DE"/>
        </w:rPr>
        <w:t>Prekarisierte Nutzer unterstützen, die wahrscheinlich veraltete Geräte oder minderwertige Brennstoffe verwenden (oder die sogar verboten sind), ihre Heizungsanlagen dank speziell erhöhter Zuschüsse für Haushalte mit niedrigem Einkommen zu erneuern;</w:t>
      </w:r>
    </w:p>
    <w:p w:rsidR="000B433A" w:rsidRDefault="000B433A">
      <w:pPr>
        <w:pStyle w:val="Sansinterligne"/>
        <w:numPr>
          <w:ilvl w:val="0"/>
          <w:numId w:val="23"/>
        </w:numPr>
        <w:ind w:left="426" w:hanging="426"/>
        <w:rPr>
          <w:rFonts w:ascii="Calibri" w:hAnsi="Calibri" w:cs="Calibri"/>
          <w:sz w:val="24"/>
          <w:szCs w:val="24"/>
          <w:lang w:val="de-DE"/>
        </w:rPr>
      </w:pPr>
      <w:r>
        <w:rPr>
          <w:rFonts w:ascii="Calibri" w:hAnsi="Calibri" w:cs="Calibri"/>
          <w:sz w:val="24"/>
          <w:lang w:val="de-DE"/>
        </w:rPr>
        <w:t xml:space="preserve">Die Entwicklung von Qualitätsheiznetzen fördern, die mit Biomassekesseln betrieben werden, um individuelle Holzheizungen zu ersetzen, deren Emissionskontrolle weniger effizient und kostspieliger ist, oder um die Heizung neuer Wohnsiedlungen zu garantieren. </w:t>
      </w:r>
    </w:p>
    <w:p w:rsidR="000B433A" w:rsidRDefault="000B433A">
      <w:pPr>
        <w:pStyle w:val="Sansinterligne"/>
        <w:numPr>
          <w:ilvl w:val="0"/>
          <w:numId w:val="23"/>
        </w:numPr>
        <w:ind w:left="426" w:hanging="426"/>
        <w:rPr>
          <w:rFonts w:ascii="Calibri" w:hAnsi="Calibri" w:cs="Calibri"/>
          <w:sz w:val="24"/>
          <w:szCs w:val="24"/>
          <w:lang w:val="de-DE"/>
        </w:rPr>
      </w:pPr>
      <w:r>
        <w:rPr>
          <w:rFonts w:ascii="Calibri" w:hAnsi="Calibri" w:cs="Calibri"/>
          <w:sz w:val="24"/>
          <w:lang w:val="de-DE"/>
        </w:rPr>
        <w:t>Einen Green Deal für Biomasse einrichten, um private Interessenvertreter, Behörden und Bürger über Ziele zur Verringerung der Luftverschmutzung durch Holzheizungen zusammenzubringen. Ziel des Green Deals wird es insbesondere sein:</w:t>
      </w:r>
    </w:p>
    <w:p w:rsidR="000B433A" w:rsidRPr="00D5118D" w:rsidRDefault="000B433A" w:rsidP="00D5118D">
      <w:pPr>
        <w:pStyle w:val="Sansinterligne"/>
        <w:ind w:left="426"/>
        <w:rPr>
          <w:rFonts w:ascii="Calibri" w:hAnsi="Calibri" w:cs="Calibri"/>
          <w:sz w:val="24"/>
          <w:szCs w:val="24"/>
          <w:lang w:val="de-DE"/>
        </w:rPr>
      </w:pPr>
    </w:p>
    <w:p w:rsidR="000B433A" w:rsidRDefault="000B433A">
      <w:pPr>
        <w:pStyle w:val="Sansinterligne"/>
        <w:numPr>
          <w:ilvl w:val="0"/>
          <w:numId w:val="24"/>
        </w:numPr>
        <w:rPr>
          <w:rFonts w:ascii="Calibri" w:hAnsi="Calibri" w:cs="Calibri"/>
          <w:sz w:val="24"/>
          <w:szCs w:val="24"/>
          <w:lang w:val="de-DE"/>
        </w:rPr>
      </w:pPr>
      <w:r>
        <w:rPr>
          <w:rFonts w:ascii="Calibri" w:hAnsi="Calibri" w:cs="Calibri"/>
          <w:sz w:val="24"/>
          <w:lang w:val="de-DE"/>
        </w:rPr>
        <w:t>Eine bessere Kenntnis des bestehenden Parks zu entwickeln;</w:t>
      </w:r>
    </w:p>
    <w:p w:rsidR="000B433A" w:rsidRDefault="000B433A">
      <w:pPr>
        <w:pStyle w:val="Sansinterligne"/>
        <w:numPr>
          <w:ilvl w:val="0"/>
          <w:numId w:val="24"/>
        </w:numPr>
        <w:rPr>
          <w:rFonts w:ascii="Calibri" w:hAnsi="Calibri" w:cs="Calibri"/>
          <w:sz w:val="24"/>
          <w:szCs w:val="24"/>
          <w:lang w:val="de-DE"/>
        </w:rPr>
      </w:pPr>
      <w:r>
        <w:rPr>
          <w:rFonts w:ascii="Calibri" w:hAnsi="Calibri" w:cs="Calibri"/>
          <w:sz w:val="24"/>
          <w:lang w:val="de-DE"/>
        </w:rPr>
        <w:t>Die Einführung von Geräten mit besserer Umwelt- und Wirtschaftsleistung zu fördern;</w:t>
      </w:r>
    </w:p>
    <w:p w:rsidR="000B433A" w:rsidRDefault="000B433A">
      <w:pPr>
        <w:pStyle w:val="Sansinterligne"/>
        <w:numPr>
          <w:ilvl w:val="0"/>
          <w:numId w:val="24"/>
        </w:numPr>
        <w:rPr>
          <w:rFonts w:ascii="Calibri" w:hAnsi="Calibri" w:cs="Calibri"/>
          <w:sz w:val="24"/>
          <w:szCs w:val="24"/>
          <w:lang w:val="de-DE"/>
        </w:rPr>
      </w:pPr>
      <w:r>
        <w:rPr>
          <w:rFonts w:ascii="Calibri" w:hAnsi="Calibri" w:cs="Calibri"/>
          <w:sz w:val="24"/>
          <w:lang w:val="de-DE"/>
        </w:rPr>
        <w:t>Ein Zertifizierungssystem für Installateure im Einklang mit bestehenden Zertifizierungen und Zulassungen einzurichten, um die Zuverlässigkeit der Anlagen (ausreichende Leistung und Installation etc.) zu erhöhen;</w:t>
      </w:r>
    </w:p>
    <w:p w:rsidR="000B433A" w:rsidRDefault="000B433A">
      <w:pPr>
        <w:pStyle w:val="Sansinterligne"/>
        <w:numPr>
          <w:ilvl w:val="0"/>
          <w:numId w:val="24"/>
        </w:numPr>
        <w:rPr>
          <w:rFonts w:ascii="Calibri" w:hAnsi="Calibri" w:cs="Calibri"/>
          <w:sz w:val="24"/>
          <w:szCs w:val="24"/>
          <w:lang w:val="de-DE"/>
        </w:rPr>
      </w:pPr>
      <w:r>
        <w:rPr>
          <w:rFonts w:ascii="Calibri" w:hAnsi="Calibri" w:cs="Calibri"/>
          <w:sz w:val="24"/>
          <w:lang w:val="de-DE"/>
        </w:rPr>
        <w:t>Die Professionalisierung der kommerziellen Holzlieferketten zu verbessern, um Mindestqualitätskriterien für die verkauften Brennstoffe festzulegen;</w:t>
      </w:r>
    </w:p>
    <w:p w:rsidR="000B433A" w:rsidRDefault="000B433A">
      <w:pPr>
        <w:pStyle w:val="Sansinterligne"/>
        <w:numPr>
          <w:ilvl w:val="0"/>
          <w:numId w:val="24"/>
        </w:numPr>
        <w:rPr>
          <w:rFonts w:ascii="Calibri" w:hAnsi="Calibri" w:cs="Calibri"/>
          <w:sz w:val="24"/>
          <w:szCs w:val="24"/>
          <w:lang w:val="de-DE"/>
        </w:rPr>
      </w:pPr>
      <w:r>
        <w:rPr>
          <w:rFonts w:ascii="Calibri" w:hAnsi="Calibri" w:cs="Calibri"/>
          <w:sz w:val="24"/>
          <w:lang w:val="de-DE"/>
        </w:rPr>
        <w:t>Die Leistung des Parks zu verbessern, indem alte mit Scheitholz befeuerte Kaminöfen durch Pellets-Öfen ersetzt werden.</w:t>
      </w:r>
    </w:p>
    <w:p w:rsidR="000B433A" w:rsidRDefault="000B433A">
      <w:pPr>
        <w:pStyle w:val="Sansinterligne"/>
        <w:numPr>
          <w:ilvl w:val="0"/>
          <w:numId w:val="24"/>
        </w:numPr>
        <w:rPr>
          <w:rFonts w:ascii="Calibri" w:hAnsi="Calibri" w:cs="Calibri"/>
          <w:sz w:val="24"/>
          <w:szCs w:val="24"/>
          <w:lang w:val="de-DE"/>
        </w:rPr>
      </w:pPr>
      <w:r>
        <w:rPr>
          <w:rFonts w:ascii="Calibri" w:hAnsi="Calibri" w:cs="Calibri"/>
          <w:sz w:val="24"/>
          <w:lang w:val="de-DE"/>
        </w:rPr>
        <w:t>Die optimale Nutzung von Verbrennungsanlagen (Kraftstoff, Wartung etc.) zu garantieren und zu verbessern</w:t>
      </w:r>
    </w:p>
    <w:p w:rsidR="000B433A" w:rsidRPr="002B570A" w:rsidRDefault="000B433A" w:rsidP="00D5118D">
      <w:pPr>
        <w:pStyle w:val="Titre2"/>
        <w:numPr>
          <w:ilvl w:val="1"/>
          <w:numId w:val="1"/>
        </w:numPr>
        <w:ind w:left="851" w:hanging="851"/>
        <w:rPr>
          <w:rFonts w:ascii="Calibri" w:hAnsi="Calibri" w:cs="Calibri"/>
          <w:color w:val="1F497D"/>
          <w:sz w:val="28"/>
          <w:szCs w:val="28"/>
          <w:lang w:val="de-DE"/>
        </w:rPr>
      </w:pPr>
      <w:bookmarkStart w:id="38" w:name="_Toc7802452"/>
      <w:r>
        <w:rPr>
          <w:rFonts w:ascii="Calibri" w:hAnsi="Calibri" w:cs="Calibri"/>
          <w:color w:val="1F497D"/>
          <w:sz w:val="28"/>
          <w:lang w:val="de-DE"/>
        </w:rPr>
        <w:t>Transportsektor</w:t>
      </w:r>
      <w:bookmarkEnd w:id="38"/>
    </w:p>
    <w:p w:rsidR="000B433A" w:rsidRPr="009B312D" w:rsidRDefault="000B433A" w:rsidP="009B312D">
      <w:pPr>
        <w:pStyle w:val="Default"/>
        <w:jc w:val="both"/>
        <w:rPr>
          <w:b/>
          <w:bCs/>
          <w:lang w:val="de-DE"/>
        </w:rPr>
      </w:pPr>
      <w:r>
        <w:rPr>
          <w:b/>
          <w:lang w:val="de-DE"/>
        </w:rPr>
        <w:t xml:space="preserve">Mobilität - FAST </w:t>
      </w:r>
    </w:p>
    <w:p w:rsidR="000B433A" w:rsidRPr="009B312D" w:rsidRDefault="000B433A" w:rsidP="009B312D">
      <w:pPr>
        <w:pStyle w:val="Default"/>
        <w:jc w:val="both"/>
        <w:rPr>
          <w:lang w:val="de-DE"/>
        </w:rPr>
      </w:pPr>
    </w:p>
    <w:p w:rsidR="000B433A" w:rsidRPr="009B312D" w:rsidRDefault="000B433A" w:rsidP="009B312D">
      <w:pPr>
        <w:pStyle w:val="Default"/>
        <w:jc w:val="both"/>
        <w:rPr>
          <w:lang w:val="de-DE"/>
        </w:rPr>
      </w:pPr>
      <w:r>
        <w:rPr>
          <w:lang w:val="de-DE"/>
        </w:rPr>
        <w:t xml:space="preserve">Die Vision FAST zielt darauf ab, die Ziele der Verkehrsflüssigkeit, Zugänglichkeit, Sicherheit und Gesundheit durch Verkehrsverlagerung zu fördern. </w:t>
      </w:r>
    </w:p>
    <w:p w:rsidR="000B433A" w:rsidRPr="009B312D" w:rsidRDefault="000B433A" w:rsidP="009B312D">
      <w:pPr>
        <w:pStyle w:val="Default"/>
        <w:jc w:val="both"/>
        <w:rPr>
          <w:lang w:val="de-DE"/>
        </w:rPr>
      </w:pPr>
    </w:p>
    <w:p w:rsidR="000B433A" w:rsidRPr="009B312D" w:rsidRDefault="000B433A" w:rsidP="009B312D">
      <w:pPr>
        <w:pStyle w:val="Default"/>
        <w:jc w:val="both"/>
        <w:rPr>
          <w:lang w:val="de-DE"/>
        </w:rPr>
      </w:pPr>
      <w:r>
        <w:rPr>
          <w:lang w:val="de-DE"/>
        </w:rPr>
        <w:t xml:space="preserve">Um diese Vision zu erreichen, muss das multimodale Modell entwickelt werden. Angesichts der aktuellen Probleme und Herausforderungen ist das Modell, das die verschiedenen Verkehrsträger effektiv kombiniert, das einzige, das eine maximale Zugänglichkeit ermöglicht, indem es gleichzeitig die direkten Symptome von Unfällen und Staus und die indirekten Symptome von Umweltverschmutzung und wirtschaftlicher Lähmung behandelt. </w:t>
      </w:r>
    </w:p>
    <w:p w:rsidR="000B433A" w:rsidRPr="009B312D" w:rsidRDefault="000B433A" w:rsidP="009B312D">
      <w:pPr>
        <w:pStyle w:val="Default"/>
        <w:jc w:val="both"/>
        <w:rPr>
          <w:lang w:val="de-DE"/>
        </w:rPr>
      </w:pPr>
    </w:p>
    <w:p w:rsidR="000B433A" w:rsidRPr="009B312D" w:rsidRDefault="000B433A" w:rsidP="009B312D">
      <w:pPr>
        <w:pStyle w:val="Default"/>
        <w:jc w:val="both"/>
        <w:rPr>
          <w:lang w:val="de-DE"/>
        </w:rPr>
      </w:pPr>
      <w:r>
        <w:rPr>
          <w:lang w:val="de-DE"/>
        </w:rPr>
        <w:t xml:space="preserve">Diese Entscheidung spiegelt sich in dem Wunsch wider, die Modal Splits der verschiedenen Verkehrsträger sowohl für Personen als auch für Güter signifikant und strukturell zu verändern, d. h. die Verkehrsverlagerung einzuleiten. </w:t>
      </w:r>
    </w:p>
    <w:p w:rsidR="000B433A" w:rsidRPr="009B312D" w:rsidRDefault="000B433A" w:rsidP="009B312D">
      <w:pPr>
        <w:pStyle w:val="Default"/>
        <w:jc w:val="both"/>
        <w:rPr>
          <w:lang w:val="de-DE"/>
        </w:rPr>
      </w:pPr>
    </w:p>
    <w:p w:rsidR="000B433A" w:rsidRPr="009B312D" w:rsidRDefault="000B433A" w:rsidP="009B312D">
      <w:pPr>
        <w:pStyle w:val="Default"/>
        <w:jc w:val="both"/>
        <w:rPr>
          <w:color w:val="auto"/>
          <w:lang w:val="de-DE"/>
        </w:rPr>
      </w:pPr>
      <w:r>
        <w:rPr>
          <w:lang w:val="de-DE"/>
        </w:rPr>
        <w:t xml:space="preserve">Diese Vision basiert auf der nahezu gleichzeitigen Umsetzung von 8 Projekten, die untrennbar miteinander verbunden sind. Wie in der Vision FAST angekündigt, gliedern sich diese 8 Projekte in drei Bereiche: Mobilitätsmanagement, Mobilitätsangebot und Mobilitätsnachfrage. </w:t>
      </w:r>
    </w:p>
    <w:p w:rsidR="000B433A" w:rsidRPr="009B312D" w:rsidRDefault="000B433A" w:rsidP="009B312D">
      <w:pPr>
        <w:pStyle w:val="Default"/>
        <w:jc w:val="both"/>
        <w:rPr>
          <w:color w:val="auto"/>
          <w:lang w:val="de-DE"/>
        </w:rPr>
      </w:pPr>
    </w:p>
    <w:p w:rsidR="000B433A" w:rsidRPr="009B312D" w:rsidRDefault="000B433A" w:rsidP="009B312D">
      <w:pPr>
        <w:pStyle w:val="Default"/>
        <w:jc w:val="both"/>
        <w:rPr>
          <w:color w:val="auto"/>
          <w:lang w:val="de-DE"/>
        </w:rPr>
      </w:pPr>
      <w:r>
        <w:rPr>
          <w:color w:val="auto"/>
          <w:lang w:val="de-DE"/>
        </w:rPr>
        <w:t xml:space="preserve">Diese 8 Projekte sind Folgende: </w:t>
      </w:r>
    </w:p>
    <w:p w:rsidR="000B433A" w:rsidRPr="009B312D" w:rsidRDefault="000B433A" w:rsidP="009B312D">
      <w:pPr>
        <w:pStyle w:val="Default"/>
        <w:jc w:val="both"/>
        <w:rPr>
          <w:color w:val="auto"/>
          <w:lang w:val="de-DE"/>
        </w:rPr>
      </w:pPr>
    </w:p>
    <w:p w:rsidR="000B433A" w:rsidRPr="009B312D" w:rsidRDefault="000B433A" w:rsidP="009B312D">
      <w:pPr>
        <w:pStyle w:val="Default"/>
        <w:spacing w:after="182"/>
        <w:ind w:left="426"/>
        <w:jc w:val="both"/>
        <w:rPr>
          <w:color w:val="auto"/>
          <w:lang w:val="de-DE"/>
        </w:rPr>
      </w:pPr>
      <w:r>
        <w:rPr>
          <w:color w:val="auto"/>
          <w:lang w:val="de-DE"/>
        </w:rPr>
        <w:t xml:space="preserve">1. Eine einheitliche und kohärente Governance schaffen und die Mobilität auf regionaler Ebene steuern; </w:t>
      </w:r>
    </w:p>
    <w:p w:rsidR="000B433A" w:rsidRPr="009B312D" w:rsidRDefault="000B433A" w:rsidP="009B312D">
      <w:pPr>
        <w:pStyle w:val="Default"/>
        <w:spacing w:after="182"/>
        <w:ind w:left="426"/>
        <w:jc w:val="both"/>
        <w:rPr>
          <w:color w:val="auto"/>
          <w:lang w:val="de-DE"/>
        </w:rPr>
      </w:pPr>
      <w:r>
        <w:rPr>
          <w:color w:val="auto"/>
          <w:lang w:val="de-DE"/>
        </w:rPr>
        <w:t xml:space="preserve">2. Die gesellschaftlichen Auswirkungen von technologischen und nutzungsbedingten Umbrüchen antizipieren und managen; </w:t>
      </w:r>
    </w:p>
    <w:p w:rsidR="000B433A" w:rsidRPr="009B312D" w:rsidRDefault="000B433A" w:rsidP="009B312D">
      <w:pPr>
        <w:pStyle w:val="Default"/>
        <w:spacing w:after="182"/>
        <w:ind w:left="426"/>
        <w:jc w:val="both"/>
        <w:rPr>
          <w:color w:val="auto"/>
          <w:lang w:val="de-DE"/>
        </w:rPr>
      </w:pPr>
      <w:r>
        <w:rPr>
          <w:color w:val="auto"/>
          <w:lang w:val="de-DE"/>
        </w:rPr>
        <w:t xml:space="preserve">3. Das gemeinsame Transportangebot erhöhen und jeden Modus auf seine Relevanzzone konzentrieren; </w:t>
      </w:r>
    </w:p>
    <w:p w:rsidR="000B433A" w:rsidRPr="009B312D" w:rsidRDefault="000B433A" w:rsidP="009B312D">
      <w:pPr>
        <w:pStyle w:val="Default"/>
        <w:spacing w:after="182"/>
        <w:ind w:left="426"/>
        <w:jc w:val="both"/>
        <w:rPr>
          <w:color w:val="auto"/>
          <w:lang w:val="de-DE"/>
        </w:rPr>
      </w:pPr>
      <w:r>
        <w:rPr>
          <w:color w:val="auto"/>
          <w:lang w:val="de-DE"/>
        </w:rPr>
        <w:t xml:space="preserve">4. Voraussetzungen für die Attraktivität der Ko-Modalität von Menschen und Gütern schaffen; </w:t>
      </w:r>
    </w:p>
    <w:p w:rsidR="000B433A" w:rsidRPr="009B312D" w:rsidRDefault="000B433A" w:rsidP="009B312D">
      <w:pPr>
        <w:pStyle w:val="Default"/>
        <w:spacing w:after="182"/>
        <w:ind w:left="426"/>
        <w:jc w:val="both"/>
        <w:rPr>
          <w:color w:val="auto"/>
          <w:lang w:val="de-DE"/>
        </w:rPr>
      </w:pPr>
      <w:r>
        <w:rPr>
          <w:color w:val="auto"/>
          <w:lang w:val="de-DE"/>
        </w:rPr>
        <w:t xml:space="preserve">5. Die Effizienz und Sicherheit der Verkehrssysteme durch technologische Entwicklungen erhöhen; </w:t>
      </w:r>
    </w:p>
    <w:p w:rsidR="000B433A" w:rsidRPr="009B312D" w:rsidRDefault="000B433A" w:rsidP="009B312D">
      <w:pPr>
        <w:pStyle w:val="Default"/>
        <w:spacing w:after="182"/>
        <w:ind w:left="426"/>
        <w:jc w:val="both"/>
        <w:rPr>
          <w:color w:val="auto"/>
          <w:lang w:val="de-DE"/>
        </w:rPr>
      </w:pPr>
      <w:r>
        <w:rPr>
          <w:color w:val="auto"/>
          <w:lang w:val="de-DE"/>
        </w:rPr>
        <w:t xml:space="preserve">6. Das Gebiet organisieren, um das Transportvolumen zu reduzieren; </w:t>
      </w:r>
    </w:p>
    <w:p w:rsidR="000B433A" w:rsidRPr="009B312D" w:rsidRDefault="000B433A" w:rsidP="009B312D">
      <w:pPr>
        <w:pStyle w:val="Default"/>
        <w:spacing w:after="182"/>
        <w:ind w:left="426"/>
        <w:jc w:val="both"/>
        <w:rPr>
          <w:color w:val="auto"/>
          <w:lang w:val="de-DE"/>
        </w:rPr>
      </w:pPr>
      <w:r>
        <w:rPr>
          <w:color w:val="auto"/>
          <w:lang w:val="de-DE"/>
        </w:rPr>
        <w:t xml:space="preserve">7. Die Praktiken auf eine nachhaltige Mobilität durch intelligente und gezielte Besteuerung ausrichten; </w:t>
      </w:r>
    </w:p>
    <w:p w:rsidR="000B433A" w:rsidRPr="009B312D" w:rsidRDefault="000B433A" w:rsidP="009B312D">
      <w:pPr>
        <w:pStyle w:val="Default"/>
        <w:ind w:left="426"/>
        <w:jc w:val="both"/>
        <w:rPr>
          <w:color w:val="auto"/>
          <w:lang w:val="de-DE"/>
        </w:rPr>
      </w:pPr>
      <w:r>
        <w:rPr>
          <w:color w:val="auto"/>
          <w:lang w:val="de-DE"/>
        </w:rPr>
        <w:t xml:space="preserve">8. Bürger und Interessengruppen im Bereich der nachhaltigen Mobilität informieren, schulen und begleiten. </w:t>
      </w:r>
    </w:p>
    <w:p w:rsidR="000B433A" w:rsidRPr="009B312D" w:rsidRDefault="000B433A" w:rsidP="009B312D">
      <w:pPr>
        <w:pStyle w:val="Default"/>
        <w:jc w:val="both"/>
        <w:rPr>
          <w:color w:val="auto"/>
          <w:lang w:val="de-DE"/>
        </w:rPr>
      </w:pPr>
    </w:p>
    <w:p w:rsidR="000B433A" w:rsidRPr="009B312D" w:rsidRDefault="000B433A" w:rsidP="009B312D">
      <w:pPr>
        <w:pStyle w:val="Default"/>
        <w:jc w:val="both"/>
        <w:rPr>
          <w:color w:val="auto"/>
          <w:lang w:val="de-DE"/>
        </w:rPr>
      </w:pPr>
      <w:r>
        <w:rPr>
          <w:color w:val="auto"/>
          <w:lang w:val="de-DE"/>
        </w:rPr>
        <w:t>Um zur Erreichung der sehr ehrgeizigen Ziele der Vision „FAST 2030“ beizutragen, ist ein bedeutender Teil des wallonischen Investitionsplans der Verbesserung der Mobilität in der Wallonie gewidmet. FAST 2030 ist auch Gegenstand eines Aktionsplans: die Regionale Mobilitätsstrategie (RMS).</w:t>
      </w:r>
    </w:p>
    <w:p w:rsidR="000B433A" w:rsidRPr="009B312D" w:rsidRDefault="000B433A" w:rsidP="009B312D">
      <w:pPr>
        <w:pStyle w:val="Default"/>
        <w:jc w:val="both"/>
        <w:rPr>
          <w:color w:val="auto"/>
          <w:lang w:val="de-DE"/>
        </w:rPr>
      </w:pPr>
    </w:p>
    <w:p w:rsidR="000B433A" w:rsidRPr="009B312D" w:rsidRDefault="000B433A" w:rsidP="009B312D">
      <w:pPr>
        <w:pStyle w:val="Default"/>
        <w:jc w:val="both"/>
        <w:rPr>
          <w:color w:val="auto"/>
          <w:lang w:val="de-DE"/>
        </w:rPr>
      </w:pPr>
      <w:r>
        <w:rPr>
          <w:b/>
          <w:color w:val="auto"/>
          <w:lang w:val="de-DE"/>
        </w:rPr>
        <w:t xml:space="preserve">Die Multimodalität im Dienste der wirtschaftlichen Entwicklung </w:t>
      </w:r>
    </w:p>
    <w:p w:rsidR="000B433A" w:rsidRPr="009B312D" w:rsidRDefault="000B433A" w:rsidP="009B312D">
      <w:pPr>
        <w:pStyle w:val="Default"/>
        <w:jc w:val="both"/>
        <w:rPr>
          <w:color w:val="auto"/>
          <w:lang w:val="de-DE"/>
        </w:rPr>
      </w:pPr>
    </w:p>
    <w:p w:rsidR="000B433A" w:rsidRPr="009B312D" w:rsidRDefault="000B433A" w:rsidP="009B312D">
      <w:pPr>
        <w:pStyle w:val="Default"/>
        <w:jc w:val="both"/>
        <w:rPr>
          <w:color w:val="auto"/>
          <w:lang w:val="de-DE"/>
        </w:rPr>
      </w:pPr>
      <w:r>
        <w:rPr>
          <w:color w:val="auto"/>
          <w:lang w:val="de-DE"/>
        </w:rPr>
        <w:t xml:space="preserve">Im Rahmen der Operationalisierung der Vision FAST werden die als „Mobipole“ bezeichneten Plattformen verschiedene Dienste anbieten und den modalen Austausch für die Menschen ermöglichen, je nach Fall mit Parkplätzen, sicheren Fahrradunterständen und Bus- und Trambahnhaltestellen oder Bahnhofszugängen, aber auch mit verschiedenen Dienstleistungen wie neuen Schnellbuslinien vom Typ BHNS (Bus à Haut Niveau de Service / Bus mit hohem Serviceniveau), perfekt angebundenen Co-working-Bereichen, Fahrradverleih, Ladestationen in Verbindung mit der „Post-Diesel“-Strategie (Strom, Gas etc.), Gemeinschaftsfahrzeuge etc. Das Hauptziel der Mobipole ist die Förderung der „Smart Mobility“, d. h. eines Systems, das nachhaltige, effiziente und innovative Mobilitätslösungen und -verhaltensweisen beinhaltet. </w:t>
      </w:r>
    </w:p>
    <w:p w:rsidR="000B433A" w:rsidRPr="009B312D" w:rsidRDefault="000B433A" w:rsidP="009B312D">
      <w:pPr>
        <w:pStyle w:val="Default"/>
        <w:jc w:val="both"/>
        <w:rPr>
          <w:b/>
          <w:bCs/>
          <w:lang w:val="de-DE"/>
        </w:rPr>
      </w:pPr>
    </w:p>
    <w:p w:rsidR="000B433A" w:rsidRPr="009B312D" w:rsidRDefault="000B433A" w:rsidP="009B312D">
      <w:pPr>
        <w:pStyle w:val="Default"/>
        <w:jc w:val="both"/>
        <w:rPr>
          <w:color w:val="auto"/>
          <w:lang w:val="de-DE"/>
        </w:rPr>
      </w:pPr>
      <w:r>
        <w:rPr>
          <w:b/>
          <w:color w:val="auto"/>
          <w:lang w:val="de-DE"/>
        </w:rPr>
        <w:t xml:space="preserve">Mobilitätsplan 2019 - 2024: Modaler Transport - Vision FAST 2030: TEC, BHNS, Fahrräder, gemeinsame Fahrzeuge, Ökologisierung der Flotte </w:t>
      </w:r>
    </w:p>
    <w:p w:rsidR="000B433A" w:rsidRPr="009B312D" w:rsidRDefault="000B433A" w:rsidP="009B312D">
      <w:pPr>
        <w:pStyle w:val="Default"/>
        <w:jc w:val="both"/>
        <w:rPr>
          <w:color w:val="auto"/>
          <w:lang w:val="de-DE"/>
        </w:rPr>
      </w:pPr>
    </w:p>
    <w:p w:rsidR="000B433A" w:rsidRPr="009B312D" w:rsidRDefault="000B433A" w:rsidP="009B312D">
      <w:pPr>
        <w:pStyle w:val="Default"/>
        <w:jc w:val="both"/>
        <w:rPr>
          <w:color w:val="auto"/>
          <w:lang w:val="de-DE"/>
        </w:rPr>
      </w:pPr>
      <w:r>
        <w:rPr>
          <w:color w:val="auto"/>
          <w:lang w:val="de-DE"/>
        </w:rPr>
        <w:t xml:space="preserve">Im Rahmen von FAST sieht der Wallonische Investitionsplan (WIP) Interventionen vor, die in 5 Hauptkomponenten unterteilt sind:  </w:t>
      </w:r>
    </w:p>
    <w:p w:rsidR="000B433A" w:rsidRPr="009B312D" w:rsidRDefault="000B433A" w:rsidP="009B312D">
      <w:pPr>
        <w:pStyle w:val="Default"/>
        <w:jc w:val="both"/>
        <w:rPr>
          <w:color w:val="auto"/>
          <w:lang w:val="de-DE"/>
        </w:rPr>
      </w:pPr>
    </w:p>
    <w:p w:rsidR="000B433A" w:rsidRPr="009B312D" w:rsidRDefault="000B433A" w:rsidP="009B312D">
      <w:pPr>
        <w:pStyle w:val="Default"/>
        <w:ind w:left="426"/>
        <w:jc w:val="both"/>
        <w:rPr>
          <w:color w:val="auto"/>
          <w:lang w:val="de-DE"/>
        </w:rPr>
      </w:pPr>
      <w:r>
        <w:rPr>
          <w:b/>
          <w:color w:val="auto"/>
          <w:lang w:val="de-DE"/>
        </w:rPr>
        <w:t>1. Fahrgemeinschaften</w:t>
      </w:r>
      <w:r w:rsidRPr="009B312D">
        <w:rPr>
          <w:color w:val="auto"/>
          <w:lang w:val="de-DE"/>
        </w:rPr>
        <w:t>: Einrichtung von Fahrgemeinschaftsparkplätzen an Autobahnkreuzen aber auch an anderen potenziellen Standorten und Einrichtung spezieller Fahrspuren für Fahrgemeinschaften.</w:t>
      </w:r>
    </w:p>
    <w:p w:rsidR="000B433A" w:rsidRPr="009B312D" w:rsidRDefault="000B433A" w:rsidP="009B312D">
      <w:pPr>
        <w:pStyle w:val="Default"/>
        <w:jc w:val="both"/>
        <w:rPr>
          <w:color w:val="auto"/>
          <w:lang w:val="de-DE"/>
        </w:rPr>
      </w:pPr>
    </w:p>
    <w:p w:rsidR="000B433A" w:rsidRPr="009B312D" w:rsidRDefault="000B433A" w:rsidP="009B312D">
      <w:pPr>
        <w:pStyle w:val="Default"/>
        <w:ind w:left="426"/>
        <w:jc w:val="both"/>
        <w:rPr>
          <w:color w:val="auto"/>
          <w:lang w:val="de-DE"/>
        </w:rPr>
      </w:pPr>
      <w:r>
        <w:rPr>
          <w:color w:val="auto"/>
          <w:lang w:val="de-DE"/>
        </w:rPr>
        <w:t xml:space="preserve">Was die speziellen Fahrspuren für Fahrgemeinschaften betrifft, so sind zwei Pilotprojekte auf der A4/E411 zwischen Wavre und Brüssel sowie zwischen Arlon und Sterpenich geplant. </w:t>
      </w:r>
    </w:p>
    <w:p w:rsidR="000B433A" w:rsidRPr="009B312D" w:rsidRDefault="000B433A" w:rsidP="009B312D">
      <w:pPr>
        <w:pStyle w:val="Default"/>
        <w:ind w:left="426"/>
        <w:jc w:val="both"/>
        <w:rPr>
          <w:color w:val="auto"/>
          <w:lang w:val="de-DE"/>
        </w:rPr>
      </w:pPr>
    </w:p>
    <w:p w:rsidR="000B433A" w:rsidRPr="009B312D" w:rsidRDefault="000B433A" w:rsidP="009B312D">
      <w:pPr>
        <w:pStyle w:val="Default"/>
        <w:ind w:left="426"/>
        <w:jc w:val="both"/>
        <w:rPr>
          <w:color w:val="auto"/>
          <w:lang w:val="de-DE"/>
        </w:rPr>
      </w:pPr>
      <w:r>
        <w:rPr>
          <w:b/>
          <w:color w:val="auto"/>
          <w:lang w:val="de-DE"/>
        </w:rPr>
        <w:t>2. Buslinien</w:t>
      </w:r>
      <w:r w:rsidRPr="009B312D">
        <w:rPr>
          <w:color w:val="auto"/>
          <w:lang w:val="de-DE"/>
        </w:rPr>
        <w:t>: Verstärkung bestehender Linien, Schaffung neuer Linien, vor allem schnelle Linien mit Bussen mit hohem Serviceniveau (BHNS), die entwickelt wurden, um Attraktivitätszentren oder Orte des modalen Austauschs schnell zu bedienen.</w:t>
      </w:r>
    </w:p>
    <w:p w:rsidR="000B433A" w:rsidRPr="009B312D" w:rsidRDefault="000B433A" w:rsidP="009B312D">
      <w:pPr>
        <w:pStyle w:val="Default"/>
        <w:ind w:left="426"/>
        <w:jc w:val="both"/>
        <w:rPr>
          <w:color w:val="auto"/>
          <w:lang w:val="de-DE"/>
        </w:rPr>
      </w:pPr>
    </w:p>
    <w:p w:rsidR="000B433A" w:rsidRPr="009B312D" w:rsidRDefault="000B433A" w:rsidP="009B312D">
      <w:pPr>
        <w:pStyle w:val="Default"/>
        <w:ind w:left="426"/>
        <w:jc w:val="both"/>
        <w:rPr>
          <w:color w:val="auto"/>
          <w:lang w:val="de-DE"/>
        </w:rPr>
      </w:pPr>
      <w:r>
        <w:rPr>
          <w:b/>
          <w:color w:val="auto"/>
          <w:lang w:val="de-DE"/>
        </w:rPr>
        <w:t xml:space="preserve">3. Busspuren und spezielle Standorte, neue Park&amp;Ride-Parkplätze, um die Attraktivität und die Reisegeschwindigkeit von Bussen zu erhöhen. </w:t>
      </w:r>
    </w:p>
    <w:p w:rsidR="000B433A" w:rsidRPr="009B312D" w:rsidRDefault="000B433A" w:rsidP="009B312D">
      <w:pPr>
        <w:pStyle w:val="Default"/>
        <w:jc w:val="both"/>
        <w:rPr>
          <w:color w:val="auto"/>
          <w:lang w:val="de-DE"/>
        </w:rPr>
      </w:pPr>
    </w:p>
    <w:p w:rsidR="000B433A" w:rsidRPr="009B312D" w:rsidRDefault="000B433A" w:rsidP="009B312D">
      <w:pPr>
        <w:pStyle w:val="Default"/>
        <w:ind w:left="426"/>
        <w:jc w:val="both"/>
        <w:rPr>
          <w:color w:val="auto"/>
          <w:lang w:val="de-DE"/>
        </w:rPr>
      </w:pPr>
      <w:r>
        <w:rPr>
          <w:b/>
          <w:color w:val="auto"/>
          <w:lang w:val="de-DE"/>
        </w:rPr>
        <w:t>4. ITS (Intelligent Transport System)</w:t>
      </w:r>
      <w:r w:rsidRPr="009B312D">
        <w:rPr>
          <w:color w:val="auto"/>
          <w:lang w:val="de-DE"/>
        </w:rPr>
        <w:t xml:space="preserve">: die laufende PEREX 4.0-Akte vervollständigen, um die Straßen- und Flussinfrastrukturen auf die beste und modernste Weise zu verwalten. Innovative Dienstleistungen im Zusammenhang mit den verschiedenen Verkehrsträgern und dem Verkehrsmanagement auf Straßen und Binnenwasserstraßen bereitstellen, um eine sicherere, besser koordinierte und „intelligentere“ Nutzung der Verkehrsnetze zu ermöglichen. Dieser „ITS“-Teil betrifft insbesondere den Empfang zukünftiger autonomer Fahrzeuge und die Datenverwaltung (Big Data, Open Data etc.). </w:t>
      </w:r>
    </w:p>
    <w:p w:rsidR="000B433A" w:rsidRPr="009B312D" w:rsidRDefault="000B433A" w:rsidP="009B312D">
      <w:pPr>
        <w:pStyle w:val="Default"/>
        <w:ind w:left="426"/>
        <w:jc w:val="both"/>
        <w:rPr>
          <w:color w:val="auto"/>
          <w:lang w:val="de-DE"/>
        </w:rPr>
      </w:pPr>
    </w:p>
    <w:p w:rsidR="000B433A" w:rsidRPr="009B312D" w:rsidRDefault="000B433A" w:rsidP="009B312D">
      <w:pPr>
        <w:pStyle w:val="Default"/>
        <w:ind w:left="426"/>
        <w:jc w:val="both"/>
        <w:rPr>
          <w:color w:val="auto"/>
          <w:lang w:val="de-DE"/>
        </w:rPr>
      </w:pPr>
      <w:r>
        <w:rPr>
          <w:b/>
          <w:color w:val="auto"/>
          <w:lang w:val="de-DE"/>
        </w:rPr>
        <w:t>5. Radfahren und Wandern:</w:t>
      </w:r>
      <w:r>
        <w:rPr>
          <w:color w:val="auto"/>
          <w:lang w:val="de-DE"/>
        </w:rPr>
        <w:t xml:space="preserve"> die Wallonie mit der notwendigen zusätzlichen Infrastruktur ausstatten und die bestehenden Infrastrukturen anpassen. Für den Radsport muss die Infrastruktur um den RAVeL herum aufgebaut werden, der das wallonische Expressnetz für den sanften Verkehr bilden soll und das sich weiterentwickeln wird. Seine Zugänglichkeit wird verbessert, damit er eine größere Menge täglicher Fahrten zu Schulen und Unternehmen, aber auch zu multimodalen Plattformen ermöglichen kann. Die Koordination zwischen multimodalen Plattformen (Mobipole) und sanfter Mobilität wird durch eine spezielle Arbeitsgruppe sichergestellt. </w:t>
      </w:r>
    </w:p>
    <w:p w:rsidR="000B433A" w:rsidRPr="009B312D" w:rsidRDefault="000B433A" w:rsidP="009B312D">
      <w:pPr>
        <w:pStyle w:val="Default"/>
        <w:ind w:left="426"/>
        <w:jc w:val="both"/>
        <w:rPr>
          <w:color w:val="auto"/>
          <w:lang w:val="de-DE"/>
        </w:rPr>
      </w:pPr>
    </w:p>
    <w:p w:rsidR="000B433A" w:rsidRPr="009B312D" w:rsidRDefault="000B433A" w:rsidP="009B312D">
      <w:pPr>
        <w:pStyle w:val="Default"/>
        <w:jc w:val="both"/>
        <w:rPr>
          <w:color w:val="auto"/>
          <w:lang w:val="de-DE"/>
        </w:rPr>
      </w:pPr>
      <w:r>
        <w:rPr>
          <w:b/>
          <w:color w:val="auto"/>
          <w:lang w:val="de-DE"/>
        </w:rPr>
        <w:t xml:space="preserve">Anpassung der Breite von Binnenwasserstraßen durch Ausbaggerung </w:t>
      </w:r>
    </w:p>
    <w:p w:rsidR="000B433A" w:rsidRPr="009B312D" w:rsidRDefault="000B433A" w:rsidP="009B312D">
      <w:pPr>
        <w:pStyle w:val="Default"/>
        <w:jc w:val="both"/>
        <w:rPr>
          <w:color w:val="auto"/>
          <w:lang w:val="de-DE"/>
        </w:rPr>
      </w:pPr>
    </w:p>
    <w:p w:rsidR="000B433A" w:rsidRPr="009B312D" w:rsidRDefault="000B433A" w:rsidP="009B312D">
      <w:pPr>
        <w:pStyle w:val="Default"/>
        <w:jc w:val="both"/>
        <w:rPr>
          <w:color w:val="auto"/>
          <w:lang w:val="de-DE"/>
        </w:rPr>
      </w:pPr>
      <w:r>
        <w:rPr>
          <w:color w:val="auto"/>
          <w:lang w:val="de-DE"/>
        </w:rPr>
        <w:t xml:space="preserve">Um die Verkehrsverlagerung von der Straße auf das Wasser weiter zu fördern und zu optimieren, ist es notwendig, die Baggerarbeiten auf den Binnenwasserstraßen zu intensivieren und deren Breite anzupassen. Zu diesem Zweck ist ein Finanzierungsmechanismus im Rahmen einer öffentlich-privaten Partnerschaft vorgesehen. </w:t>
      </w:r>
    </w:p>
    <w:p w:rsidR="000B433A" w:rsidRPr="009B312D" w:rsidRDefault="000B433A" w:rsidP="009B312D">
      <w:pPr>
        <w:pStyle w:val="Default"/>
        <w:jc w:val="both"/>
        <w:rPr>
          <w:color w:val="auto"/>
          <w:lang w:val="de-DE"/>
        </w:rPr>
      </w:pPr>
    </w:p>
    <w:p w:rsidR="000B433A" w:rsidRDefault="000B433A" w:rsidP="009B312D">
      <w:pPr>
        <w:pStyle w:val="Default"/>
        <w:jc w:val="both"/>
        <w:rPr>
          <w:color w:val="auto"/>
          <w:lang w:val="de-DE"/>
        </w:rPr>
      </w:pPr>
      <w:r>
        <w:rPr>
          <w:color w:val="auto"/>
          <w:lang w:val="de-DE"/>
        </w:rPr>
        <w:t xml:space="preserve">Als erster Ansatz sollte diese Partnerschaft im Jahr 2024 das Baggern bis auf die natürliche Tiefe und die natürliche Breite der 450 km wallonischen Wasserstraßen sowie die Organisation und Sedimententsorgung ermöglichen. Die Sedimententsorgung umfasst gegebenenfalls Baggerarbeiten, Transport, Dehydrierung, Behandlung, Verwertung und Entsorgung auf Deponien. Darüber hinaus sieht die Partnerschaft ein System zur Förderung der Rückgewinnung von Sedimenten vor, insbesondere im Bereich Forschung und Entwicklung. Es wird ein Zielprozentsatz für die Verwertung von Sedimenten festgelegt. </w:t>
      </w:r>
    </w:p>
    <w:p w:rsidR="000B433A" w:rsidRDefault="000B433A" w:rsidP="009B312D">
      <w:pPr>
        <w:pStyle w:val="Default"/>
        <w:jc w:val="both"/>
        <w:rPr>
          <w:color w:val="auto"/>
          <w:lang w:val="de-DE"/>
        </w:rPr>
      </w:pPr>
    </w:p>
    <w:p w:rsidR="000B433A" w:rsidRPr="0097741B" w:rsidRDefault="000B433A" w:rsidP="0097741B">
      <w:pPr>
        <w:pStyle w:val="Default"/>
        <w:rPr>
          <w:b/>
          <w:bCs/>
          <w:lang w:val="de-DE"/>
        </w:rPr>
      </w:pPr>
      <w:r>
        <w:rPr>
          <w:b/>
          <w:color w:val="auto"/>
          <w:lang w:val="de-DE"/>
        </w:rPr>
        <w:t xml:space="preserve">Verbesserung der Mobilität, um das langfristige Geschäftswachstums </w:t>
      </w:r>
      <w:r w:rsidRPr="0097741B">
        <w:rPr>
          <w:b/>
          <w:bCs/>
          <w:lang w:val="de-DE"/>
        </w:rPr>
        <w:t>in der Nähe von Flughäfen zu unterstützen</w:t>
      </w:r>
    </w:p>
    <w:p w:rsidR="000B433A" w:rsidRPr="0097741B" w:rsidRDefault="000B433A" w:rsidP="0097741B">
      <w:pPr>
        <w:pStyle w:val="Default"/>
        <w:rPr>
          <w:lang w:val="de-DE"/>
        </w:rPr>
      </w:pPr>
    </w:p>
    <w:p w:rsidR="000B433A" w:rsidRPr="0097741B" w:rsidRDefault="000B433A" w:rsidP="0097741B">
      <w:pPr>
        <w:pStyle w:val="Default"/>
        <w:jc w:val="both"/>
        <w:rPr>
          <w:lang w:val="de-DE"/>
        </w:rPr>
      </w:pPr>
      <w:r>
        <w:rPr>
          <w:lang w:val="de-DE"/>
        </w:rPr>
        <w:t xml:space="preserve">Die beiden wallonischen Flughafenzentren (Charleroi und Lüttich) sind für die sozioökonomische Entwicklung der Wallonie von großer Bedeutung. Daher ist es wichtig, ihre Erreichbarkeit verbessern zu können. </w:t>
      </w:r>
    </w:p>
    <w:p w:rsidR="000B433A" w:rsidRPr="0097741B" w:rsidRDefault="000B433A" w:rsidP="0097741B">
      <w:pPr>
        <w:pStyle w:val="Default"/>
        <w:jc w:val="both"/>
        <w:rPr>
          <w:lang w:val="de-DE"/>
        </w:rPr>
      </w:pPr>
    </w:p>
    <w:p w:rsidR="000B433A" w:rsidRPr="0097741B" w:rsidRDefault="000B433A" w:rsidP="0097741B">
      <w:pPr>
        <w:pStyle w:val="Default"/>
        <w:jc w:val="both"/>
        <w:rPr>
          <w:lang w:val="de-DE"/>
        </w:rPr>
      </w:pPr>
      <w:r>
        <w:rPr>
          <w:lang w:val="de-DE"/>
        </w:rPr>
        <w:t xml:space="preserve">Zu diesem Zweck müssen die betroffenen Dienste dank der bereitgestellten Budgets daran arbeiten: </w:t>
      </w:r>
    </w:p>
    <w:p w:rsidR="000B433A" w:rsidRPr="0097741B" w:rsidRDefault="000B433A" w:rsidP="0097741B">
      <w:pPr>
        <w:pStyle w:val="Default"/>
        <w:jc w:val="both"/>
        <w:rPr>
          <w:lang w:val="de-DE"/>
        </w:rPr>
      </w:pPr>
    </w:p>
    <w:p w:rsidR="000B433A" w:rsidRDefault="000B433A">
      <w:pPr>
        <w:pStyle w:val="Default"/>
        <w:numPr>
          <w:ilvl w:val="0"/>
          <w:numId w:val="65"/>
        </w:numPr>
        <w:jc w:val="both"/>
        <w:rPr>
          <w:lang w:val="de-DE"/>
        </w:rPr>
      </w:pPr>
      <w:r>
        <w:rPr>
          <w:lang w:val="de-DE"/>
        </w:rPr>
        <w:t xml:space="preserve">Ermittlung des Infrastrukturbedarfs (Verbesserung und Einrichtung) in Bezug auf die Gewerbegebiete rund um die Flughäfen </w:t>
      </w:r>
    </w:p>
    <w:p w:rsidR="000B433A" w:rsidRDefault="000B433A">
      <w:pPr>
        <w:pStyle w:val="Default"/>
        <w:numPr>
          <w:ilvl w:val="0"/>
          <w:numId w:val="65"/>
        </w:numPr>
        <w:jc w:val="both"/>
        <w:rPr>
          <w:lang w:val="de-DE"/>
        </w:rPr>
      </w:pPr>
      <w:r>
        <w:rPr>
          <w:lang w:val="de-DE"/>
        </w:rPr>
        <w:t xml:space="preserve">Die Suche nach einer alternativen Mobilität zum Auto (Bus, Fahrrad und Bahn). In diesem Zusammenhang wird das Konzept auch die Möglichkeit in Betracht ziehen, langfristig einen autonomen Shuttleservice zu Flughäfen einzurichten. </w:t>
      </w:r>
    </w:p>
    <w:p w:rsidR="000B433A" w:rsidRDefault="000B433A">
      <w:pPr>
        <w:pStyle w:val="Default"/>
        <w:numPr>
          <w:ilvl w:val="0"/>
          <w:numId w:val="65"/>
        </w:numPr>
        <w:jc w:val="both"/>
        <w:rPr>
          <w:lang w:val="de-DE"/>
        </w:rPr>
      </w:pPr>
      <w:r>
        <w:rPr>
          <w:lang w:val="de-DE"/>
        </w:rPr>
        <w:t xml:space="preserve">Im besonderen Fall von Charleroi wird dieses Projekt Teil der Dynamik „Catch“ der wirtschaftlichen Umstellung sein, und andererseits der Einrichtung einer Bus- oder Shuttlebusverbindung von den Bahnhöfen Fleurus und Pont-à-Celles (die saniert werden) zum und vom Flughafen und Aéropole. Um die Sache richtig zu stellen, geht es nicht mehr um die Einrichtung einer Eisenbahnverbindung, sondern um eine bessere Nutzung der potentiellen Erreichbarkeit der Bahnhöfe Fleurus und Pont à Celles. </w:t>
      </w:r>
    </w:p>
    <w:p w:rsidR="000B433A" w:rsidRDefault="000B433A">
      <w:pPr>
        <w:pStyle w:val="Default"/>
        <w:numPr>
          <w:ilvl w:val="0"/>
          <w:numId w:val="65"/>
        </w:numPr>
        <w:jc w:val="both"/>
        <w:rPr>
          <w:lang w:val="de-DE"/>
        </w:rPr>
      </w:pPr>
      <w:r>
        <w:rPr>
          <w:lang w:val="de-DE"/>
        </w:rPr>
        <w:t xml:space="preserve">Im besonderen Fall von Lüttich wird diese Akte den möglichen Ansatz des Hochgeschwindigkeitsgüterverkehrs (Carex) beinhalten. </w:t>
      </w:r>
    </w:p>
    <w:p w:rsidR="000B433A" w:rsidRDefault="000B433A">
      <w:pPr>
        <w:pStyle w:val="Default"/>
        <w:numPr>
          <w:ilvl w:val="0"/>
          <w:numId w:val="65"/>
        </w:numPr>
        <w:jc w:val="both"/>
        <w:rPr>
          <w:lang w:val="de-DE"/>
        </w:rPr>
      </w:pPr>
      <w:r>
        <w:rPr>
          <w:lang w:val="de-DE"/>
        </w:rPr>
        <w:t xml:space="preserve">Priorisierung, Planung und Durchführung von Projekten. </w:t>
      </w:r>
    </w:p>
    <w:p w:rsidR="000B433A" w:rsidRPr="0097741B" w:rsidRDefault="000B433A" w:rsidP="0097741B">
      <w:pPr>
        <w:pStyle w:val="Default"/>
        <w:jc w:val="both"/>
        <w:rPr>
          <w:lang w:val="de-DE"/>
        </w:rPr>
      </w:pPr>
    </w:p>
    <w:p w:rsidR="000B433A" w:rsidRPr="0097741B" w:rsidRDefault="000B433A" w:rsidP="0097741B">
      <w:pPr>
        <w:pStyle w:val="Default"/>
        <w:jc w:val="both"/>
        <w:rPr>
          <w:lang w:val="de-DE"/>
        </w:rPr>
      </w:pPr>
      <w:r>
        <w:rPr>
          <w:lang w:val="de-DE"/>
        </w:rPr>
        <w:t xml:space="preserve">Die derzeit ausgewählten Projekte, die Gegenstand spezifischerer Studien sind, stellen sich wie folgt dar: </w:t>
      </w:r>
    </w:p>
    <w:p w:rsidR="000B433A" w:rsidRPr="0097741B" w:rsidRDefault="000B433A" w:rsidP="0097741B">
      <w:pPr>
        <w:pStyle w:val="Default"/>
        <w:jc w:val="both"/>
        <w:rPr>
          <w:lang w:val="de-DE"/>
        </w:rPr>
      </w:pPr>
    </w:p>
    <w:p w:rsidR="000B433A" w:rsidRPr="0097741B" w:rsidRDefault="000B433A" w:rsidP="0097741B">
      <w:pPr>
        <w:pStyle w:val="Default"/>
        <w:jc w:val="both"/>
        <w:rPr>
          <w:lang w:val="de-DE"/>
        </w:rPr>
      </w:pPr>
      <w:r>
        <w:rPr>
          <w:lang w:val="de-DE"/>
        </w:rPr>
        <w:t xml:space="preserve">Für das Gelände des Flughafens Lüttich </w:t>
      </w:r>
    </w:p>
    <w:p w:rsidR="000B433A" w:rsidRPr="0097741B" w:rsidRDefault="000B433A" w:rsidP="0097741B">
      <w:pPr>
        <w:pStyle w:val="Default"/>
        <w:jc w:val="both"/>
        <w:rPr>
          <w:lang w:val="de-DE"/>
        </w:rPr>
      </w:pPr>
    </w:p>
    <w:p w:rsidR="000B433A" w:rsidRDefault="000B433A">
      <w:pPr>
        <w:pStyle w:val="Default"/>
        <w:numPr>
          <w:ilvl w:val="0"/>
          <w:numId w:val="63"/>
        </w:numPr>
        <w:jc w:val="both"/>
        <w:rPr>
          <w:lang w:val="de-DE"/>
        </w:rPr>
      </w:pPr>
      <w:r>
        <w:rPr>
          <w:lang w:val="de-DE"/>
        </w:rPr>
        <w:t xml:space="preserve">Verbindungsstraße an der E 42 auf Höhe von Crisnée </w:t>
      </w:r>
    </w:p>
    <w:p w:rsidR="000B433A" w:rsidRDefault="000B433A">
      <w:pPr>
        <w:pStyle w:val="Default"/>
        <w:numPr>
          <w:ilvl w:val="0"/>
          <w:numId w:val="63"/>
        </w:numPr>
        <w:jc w:val="both"/>
        <w:rPr>
          <w:lang w:val="de-DE"/>
        </w:rPr>
      </w:pPr>
      <w:r>
        <w:rPr>
          <w:lang w:val="de-DE"/>
        </w:rPr>
        <w:t xml:space="preserve">Zusätzliche Zufahrt zum Autobahnkreuz Grâce-Hollogne (von der A604 zur E42 - Richtung Osten) </w:t>
      </w:r>
    </w:p>
    <w:p w:rsidR="000B433A" w:rsidRDefault="000B433A">
      <w:pPr>
        <w:pStyle w:val="Default"/>
        <w:numPr>
          <w:ilvl w:val="0"/>
          <w:numId w:val="63"/>
        </w:numPr>
        <w:jc w:val="both"/>
        <w:rPr>
          <w:lang w:val="de-DE"/>
        </w:rPr>
      </w:pPr>
      <w:r>
        <w:rPr>
          <w:lang w:val="de-DE"/>
        </w:rPr>
        <w:t xml:space="preserve">Entlastungsparkplatz auf dem Flughafengelände, direkt an der Autobahn, ausgestattet mit Ladestationen für Elektrofahrzeuge (im Zusammenhang mit der Verbindung zum und vom Guillemins-Bahnhof). </w:t>
      </w:r>
    </w:p>
    <w:p w:rsidR="000B433A" w:rsidRDefault="000B433A">
      <w:pPr>
        <w:pStyle w:val="Default"/>
        <w:numPr>
          <w:ilvl w:val="0"/>
          <w:numId w:val="63"/>
        </w:numPr>
        <w:jc w:val="both"/>
        <w:rPr>
          <w:lang w:val="de-DE"/>
        </w:rPr>
      </w:pPr>
      <w:r>
        <w:rPr>
          <w:lang w:val="de-DE"/>
        </w:rPr>
        <w:t xml:space="preserve">Öffentliche Verkehrsverbindung zwischen dem Flughafengelände und der Stadt Lüttich (Guillemins-Bahnhof) </w:t>
      </w:r>
    </w:p>
    <w:p w:rsidR="000B433A" w:rsidRDefault="000B433A">
      <w:pPr>
        <w:pStyle w:val="Default"/>
        <w:numPr>
          <w:ilvl w:val="0"/>
          <w:numId w:val="63"/>
        </w:numPr>
        <w:jc w:val="both"/>
        <w:rPr>
          <w:lang w:val="de-DE"/>
        </w:rPr>
      </w:pPr>
      <w:r>
        <w:rPr>
          <w:lang w:val="de-DE"/>
        </w:rPr>
        <w:t xml:space="preserve">Intra-Site-Shuttleservice </w:t>
      </w:r>
    </w:p>
    <w:p w:rsidR="000B433A" w:rsidRDefault="000B433A">
      <w:pPr>
        <w:pStyle w:val="Default"/>
        <w:numPr>
          <w:ilvl w:val="0"/>
          <w:numId w:val="63"/>
        </w:numPr>
        <w:jc w:val="both"/>
        <w:rPr>
          <w:lang w:val="de-DE"/>
        </w:rPr>
      </w:pPr>
      <w:r>
        <w:rPr>
          <w:lang w:val="de-DE"/>
        </w:rPr>
        <w:t xml:space="preserve">LKW-Parkplatz mit Bereitstellung von Grundstücken für den Betrieb einer CNG-/LNG-Tankstelle im Zusammenhang mit dem PWI23-Blatt von Minister Curcke (Power-to-Gas / Power-to-Hydrogen) </w:t>
      </w:r>
    </w:p>
    <w:p w:rsidR="000B433A" w:rsidRDefault="000B433A">
      <w:pPr>
        <w:pStyle w:val="Default"/>
        <w:numPr>
          <w:ilvl w:val="0"/>
          <w:numId w:val="63"/>
        </w:numPr>
        <w:jc w:val="both"/>
        <w:rPr>
          <w:lang w:val="de-DE"/>
        </w:rPr>
      </w:pPr>
      <w:r>
        <w:rPr>
          <w:lang w:val="de-DE"/>
        </w:rPr>
        <w:t xml:space="preserve">Aufbau von Infrastrukturen für sanfte Fortbewegungsarten </w:t>
      </w:r>
    </w:p>
    <w:p w:rsidR="000B433A" w:rsidRDefault="000B433A">
      <w:pPr>
        <w:pStyle w:val="Default"/>
        <w:numPr>
          <w:ilvl w:val="0"/>
          <w:numId w:val="63"/>
        </w:numPr>
        <w:jc w:val="both"/>
        <w:rPr>
          <w:lang w:val="de-DE"/>
        </w:rPr>
      </w:pPr>
      <w:r>
        <w:rPr>
          <w:lang w:val="de-DE"/>
        </w:rPr>
        <w:t xml:space="preserve">Verbesserung der Beschilderung von Autobahnen </w:t>
      </w:r>
    </w:p>
    <w:p w:rsidR="000B433A" w:rsidRPr="0097741B" w:rsidRDefault="000B433A" w:rsidP="0097741B">
      <w:pPr>
        <w:pStyle w:val="Default"/>
        <w:jc w:val="both"/>
        <w:rPr>
          <w:lang w:val="de-DE"/>
        </w:rPr>
      </w:pPr>
    </w:p>
    <w:p w:rsidR="000B433A" w:rsidRPr="0097741B" w:rsidRDefault="000B433A" w:rsidP="0097741B">
      <w:pPr>
        <w:pStyle w:val="Default"/>
        <w:jc w:val="both"/>
        <w:rPr>
          <w:lang w:val="de-DE"/>
        </w:rPr>
      </w:pPr>
      <w:r>
        <w:rPr>
          <w:lang w:val="de-DE"/>
        </w:rPr>
        <w:t xml:space="preserve">Für das Gelände des Flughafens Charleroi </w:t>
      </w:r>
    </w:p>
    <w:p w:rsidR="000B433A" w:rsidRPr="0097741B" w:rsidRDefault="000B433A" w:rsidP="0097741B">
      <w:pPr>
        <w:pStyle w:val="Default"/>
        <w:jc w:val="both"/>
        <w:rPr>
          <w:lang w:val="de-DE"/>
        </w:rPr>
      </w:pPr>
    </w:p>
    <w:p w:rsidR="000B433A" w:rsidRDefault="000B433A">
      <w:pPr>
        <w:pStyle w:val="Default"/>
        <w:numPr>
          <w:ilvl w:val="0"/>
          <w:numId w:val="64"/>
        </w:numPr>
        <w:jc w:val="both"/>
        <w:rPr>
          <w:lang w:val="de-DE"/>
        </w:rPr>
      </w:pPr>
      <w:r>
        <w:rPr>
          <w:lang w:val="de-DE"/>
        </w:rPr>
        <w:t xml:space="preserve">Einrichtung von Eingängen zum nördlichen Plateau von Gosselies, einer von der E42 (Amoudries-Bereiche), einer von der E42, Ausfahrt 16 und einer von der A54, einschließlich des Baus eines Entlastungsparkplatzes und des Erwerbs von Bussen. </w:t>
      </w:r>
    </w:p>
    <w:p w:rsidR="000B433A" w:rsidRDefault="000B433A">
      <w:pPr>
        <w:pStyle w:val="Default"/>
        <w:numPr>
          <w:ilvl w:val="0"/>
          <w:numId w:val="64"/>
        </w:numPr>
        <w:jc w:val="both"/>
        <w:rPr>
          <w:lang w:val="de-DE"/>
        </w:rPr>
      </w:pPr>
      <w:r>
        <w:rPr>
          <w:lang w:val="de-DE"/>
        </w:rPr>
        <w:t xml:space="preserve">Einrichtung und Betrieb einer Linie am Bahnhof Fleurus, die alle Standorte auf dem nördlichen Plateau von Gosselies in Verbindung mit den Bahnhöfen Fleurus und Luttre bedient. Betriebskosten und Busakquisitionen </w:t>
      </w:r>
    </w:p>
    <w:p w:rsidR="000B433A" w:rsidRDefault="000B433A">
      <w:pPr>
        <w:pStyle w:val="Default"/>
        <w:numPr>
          <w:ilvl w:val="0"/>
          <w:numId w:val="64"/>
        </w:numPr>
        <w:jc w:val="both"/>
        <w:rPr>
          <w:lang w:val="de-DE"/>
        </w:rPr>
      </w:pPr>
      <w:r>
        <w:rPr>
          <w:lang w:val="de-DE"/>
        </w:rPr>
        <w:t xml:space="preserve">Größerer Einsatz von Bussen ab Charleroi. Betriebskosten und Busakquisitionen </w:t>
      </w:r>
    </w:p>
    <w:p w:rsidR="000B433A" w:rsidRDefault="000B433A">
      <w:pPr>
        <w:pStyle w:val="Default"/>
        <w:numPr>
          <w:ilvl w:val="0"/>
          <w:numId w:val="64"/>
        </w:numPr>
        <w:jc w:val="both"/>
        <w:rPr>
          <w:lang w:val="de-DE"/>
        </w:rPr>
      </w:pPr>
      <w:r>
        <w:rPr>
          <w:lang w:val="de-DE"/>
        </w:rPr>
        <w:t xml:space="preserve">Einrichtung von Rad- und Gehwegen auf den Straßen des Aéropole und in dessen Nähe sowie in Verbindung mit dem RAVeL-Netz. </w:t>
      </w:r>
    </w:p>
    <w:p w:rsidR="000B433A" w:rsidRDefault="000B433A">
      <w:pPr>
        <w:pStyle w:val="Default"/>
        <w:numPr>
          <w:ilvl w:val="0"/>
          <w:numId w:val="64"/>
        </w:numPr>
        <w:jc w:val="both"/>
        <w:rPr>
          <w:lang w:val="de-DE"/>
        </w:rPr>
      </w:pPr>
      <w:r>
        <w:rPr>
          <w:lang w:val="de-DE"/>
        </w:rPr>
        <w:t xml:space="preserve">Intra-Site-Shuttleservice </w:t>
      </w:r>
    </w:p>
    <w:p w:rsidR="000B433A" w:rsidRDefault="000B433A">
      <w:pPr>
        <w:pStyle w:val="Default"/>
        <w:numPr>
          <w:ilvl w:val="0"/>
          <w:numId w:val="64"/>
        </w:numPr>
        <w:jc w:val="both"/>
        <w:rPr>
          <w:lang w:val="de-DE"/>
        </w:rPr>
      </w:pPr>
      <w:r>
        <w:rPr>
          <w:lang w:val="de-DE"/>
        </w:rPr>
        <w:t xml:space="preserve">Verbesserung der Beschilderung von Autobahnen </w:t>
      </w:r>
    </w:p>
    <w:p w:rsidR="000B433A" w:rsidRPr="009B312D" w:rsidRDefault="000B433A" w:rsidP="009B312D">
      <w:pPr>
        <w:pStyle w:val="Default"/>
        <w:jc w:val="both"/>
        <w:rPr>
          <w:color w:val="auto"/>
          <w:lang w:val="de-DE"/>
        </w:rPr>
      </w:pPr>
    </w:p>
    <w:p w:rsidR="000B433A" w:rsidRPr="009B312D" w:rsidRDefault="000B433A" w:rsidP="009B312D">
      <w:pPr>
        <w:pStyle w:val="Default"/>
        <w:jc w:val="both"/>
        <w:rPr>
          <w:b/>
          <w:bCs/>
          <w:color w:val="auto"/>
          <w:lang w:val="de-DE"/>
        </w:rPr>
      </w:pPr>
      <w:r>
        <w:rPr>
          <w:b/>
          <w:color w:val="auto"/>
          <w:lang w:val="de-DE"/>
        </w:rPr>
        <w:t xml:space="preserve">Ökologisierung des Fuhrparks </w:t>
      </w:r>
    </w:p>
    <w:p w:rsidR="000B433A" w:rsidRPr="009B312D" w:rsidRDefault="000B433A" w:rsidP="009B312D">
      <w:pPr>
        <w:pStyle w:val="Default"/>
        <w:jc w:val="both"/>
        <w:rPr>
          <w:color w:val="auto"/>
          <w:lang w:val="de-DE"/>
        </w:rPr>
      </w:pPr>
    </w:p>
    <w:p w:rsidR="000B433A" w:rsidRPr="009B312D" w:rsidRDefault="000B433A" w:rsidP="009B312D">
      <w:pPr>
        <w:pStyle w:val="Default"/>
        <w:jc w:val="both"/>
        <w:rPr>
          <w:color w:val="auto"/>
          <w:lang w:val="de-DE"/>
        </w:rPr>
      </w:pPr>
      <w:r>
        <w:rPr>
          <w:color w:val="auto"/>
          <w:lang w:val="de-DE"/>
        </w:rPr>
        <w:t xml:space="preserve">Die hauptsächlichen Maßnahmen können zusammengefasst werden: </w:t>
      </w:r>
    </w:p>
    <w:p w:rsidR="000B433A" w:rsidRPr="009B312D" w:rsidRDefault="000B433A" w:rsidP="009B312D">
      <w:pPr>
        <w:pStyle w:val="Default"/>
        <w:jc w:val="both"/>
        <w:rPr>
          <w:color w:val="auto"/>
          <w:lang w:val="de-DE"/>
        </w:rPr>
      </w:pPr>
    </w:p>
    <w:p w:rsidR="000B433A" w:rsidRDefault="000B433A">
      <w:pPr>
        <w:pStyle w:val="Default"/>
        <w:numPr>
          <w:ilvl w:val="0"/>
          <w:numId w:val="61"/>
        </w:numPr>
        <w:jc w:val="both"/>
        <w:rPr>
          <w:color w:val="auto"/>
          <w:lang w:val="de-DE"/>
        </w:rPr>
      </w:pPr>
      <w:r>
        <w:rPr>
          <w:color w:val="auto"/>
          <w:lang w:val="de-DE"/>
        </w:rPr>
        <w:t xml:space="preserve">Der Ausbau der Infrastrukturen wird im Falle von LNG/CNG und Wasserstoff gefördert, wobei die derzeitigen zusätzlichen technologischen Kosten durch geeignete Mechanismen unterstützt werden müssen. Die Inanspruchnahme von europäischen Ausschreibungen (z. B. TEN-V oder H2020); </w:t>
      </w:r>
    </w:p>
    <w:p w:rsidR="000B433A" w:rsidRDefault="000B433A">
      <w:pPr>
        <w:pStyle w:val="Default"/>
        <w:numPr>
          <w:ilvl w:val="0"/>
          <w:numId w:val="61"/>
        </w:numPr>
        <w:spacing w:after="50"/>
        <w:jc w:val="both"/>
        <w:rPr>
          <w:color w:val="auto"/>
          <w:lang w:val="de-DE"/>
        </w:rPr>
      </w:pPr>
      <w:r>
        <w:rPr>
          <w:color w:val="auto"/>
          <w:lang w:val="de-DE"/>
        </w:rPr>
        <w:t xml:space="preserve">Der Verkauf von Elektrofahrzeugen wird durch temporäre Prämien und mit einem begrenzten Budget unterstützt; </w:t>
      </w:r>
    </w:p>
    <w:p w:rsidR="000B433A" w:rsidRDefault="000B433A">
      <w:pPr>
        <w:pStyle w:val="Default"/>
        <w:numPr>
          <w:ilvl w:val="0"/>
          <w:numId w:val="61"/>
        </w:numPr>
        <w:spacing w:after="50"/>
        <w:jc w:val="both"/>
        <w:rPr>
          <w:color w:val="auto"/>
          <w:lang w:val="de-DE"/>
        </w:rPr>
      </w:pPr>
      <w:r>
        <w:rPr>
          <w:color w:val="auto"/>
          <w:lang w:val="de-DE"/>
        </w:rPr>
        <w:t xml:space="preserve">Um Biogas zur Erzeugung von CNG und LNG zu fördern, ist es notwendig, den Sektor zu unterstützen. Konkret werden Anreize für die Einrichtung von Infrastrukturen geschaffen. Wenn das CNG ein ausreichendes Verbrauchsvolumen darstellt, wird die Regierung die Umsetzung von Biogasaufnahmequoten in Betracht ziehen; </w:t>
      </w:r>
    </w:p>
    <w:p w:rsidR="000B433A" w:rsidRDefault="000B433A">
      <w:pPr>
        <w:pStyle w:val="Default"/>
        <w:numPr>
          <w:ilvl w:val="0"/>
          <w:numId w:val="61"/>
        </w:numPr>
        <w:spacing w:after="50"/>
        <w:jc w:val="both"/>
        <w:rPr>
          <w:color w:val="auto"/>
          <w:lang w:val="de-DE"/>
        </w:rPr>
      </w:pPr>
      <w:r>
        <w:rPr>
          <w:color w:val="auto"/>
          <w:lang w:val="de-DE"/>
        </w:rPr>
        <w:t xml:space="preserve">Ladestationen für Elektrofahrzeuge: Um öffentliche und private Akteure zu ermutigen, Ladestationen im ganzen Land einzurichten, beabsichtigt die wallonische Regierung, weiterhin Projektausschreibungen durchzuführen. Der verwendete Mechanismus ist jener rückzahlbarer Vorschüsse; </w:t>
      </w:r>
    </w:p>
    <w:p w:rsidR="000B433A" w:rsidRDefault="000B433A">
      <w:pPr>
        <w:pStyle w:val="Default"/>
        <w:numPr>
          <w:ilvl w:val="0"/>
          <w:numId w:val="61"/>
        </w:numPr>
        <w:jc w:val="both"/>
        <w:rPr>
          <w:color w:val="auto"/>
          <w:lang w:val="de-DE"/>
        </w:rPr>
      </w:pPr>
      <w:r>
        <w:rPr>
          <w:color w:val="auto"/>
          <w:lang w:val="de-DE"/>
        </w:rPr>
        <w:t>Wasserstoff: Es findet ein Fördermechanismus für die Einrichtung von Infrastrukturen Anwendung.</w:t>
      </w:r>
    </w:p>
    <w:p w:rsidR="000B433A" w:rsidRPr="002B570A" w:rsidRDefault="000B433A" w:rsidP="003A3E46">
      <w:pPr>
        <w:pStyle w:val="Titre4"/>
        <w:rPr>
          <w:rFonts w:ascii="Calibri" w:hAnsi="Calibri" w:cs="Calibri"/>
          <w:lang w:val="de-DE"/>
        </w:rPr>
      </w:pPr>
      <w:r>
        <w:rPr>
          <w:rFonts w:ascii="Calibri" w:hAnsi="Calibri" w:cs="Calibri"/>
          <w:lang w:val="de-DE"/>
        </w:rPr>
        <w:t>Der Trend zu emissionsfreien Fahrzeugen</w:t>
      </w:r>
    </w:p>
    <w:p w:rsidR="000B433A" w:rsidRPr="005F5D9D" w:rsidRDefault="000B433A" w:rsidP="003A3E46">
      <w:pPr>
        <w:rPr>
          <w:rFonts w:cs="Calibri"/>
          <w:lang w:val="de-DE"/>
        </w:rPr>
      </w:pPr>
      <w:r>
        <w:rPr>
          <w:rFonts w:cs="Calibri"/>
          <w:lang w:val="de-DE"/>
        </w:rPr>
        <w:t xml:space="preserve">Derzeit verbraucht der Transportsektor fast ausschließlich Erdölerzeugnisse, davon ein erheblicher Anteil an Dieselkraftstoff, der 62 % des Fuhrparks ausmacht, mit denen fast ausschließlich alle sonstigen Fahrzeuge (Lastkraftwagen, Traktoren usw.) angetrieben werden. Es lässt sich ein signifikantes Aufkommen von Elektro-, Hybrid- und Plug-in-Hybridfahrzeugen feststellen. Obwohl diese Elektrofahrzeuge am 1. August 2017 nur 0,08 % des belgischen Fuhrparks ausmachen, steigt der Absatz von Elektrofahrzeugen stetig. </w:t>
      </w:r>
    </w:p>
    <w:p w:rsidR="000B433A" w:rsidRPr="005F5D9D" w:rsidRDefault="000B433A" w:rsidP="003A3E46">
      <w:pPr>
        <w:rPr>
          <w:rFonts w:cs="Calibri"/>
          <w:lang w:val="de-DE"/>
        </w:rPr>
      </w:pPr>
      <w:r>
        <w:rPr>
          <w:rFonts w:cs="Calibri"/>
          <w:lang w:val="de-DE"/>
        </w:rPr>
        <w:t>Im Gegensatz zu globalen Mobilitätspolitiken, die dazu neigen, die Transportnachfrage und die Verkehrsverlagerung zu reduzieren, können Maßnahmen zugunsten von Elektrofahrzeugen zu schnellen Ergebnissen führen. Das Durchschnittsalter der belgischen Fahrzeuge liegt bei rund 9 Jahren, ein signifikanter Durchbruch der Elektrofahrzeuge ist bis 2030 möglich.</w:t>
      </w:r>
    </w:p>
    <w:p w:rsidR="000B433A" w:rsidRPr="005F5D9D" w:rsidRDefault="000B433A" w:rsidP="003A3E46">
      <w:pPr>
        <w:rPr>
          <w:rFonts w:cs="Calibri"/>
          <w:lang w:val="de-DE"/>
        </w:rPr>
      </w:pPr>
      <w:r>
        <w:rPr>
          <w:rFonts w:cs="Calibri"/>
          <w:lang w:val="de-DE"/>
        </w:rPr>
        <w:t>Verschiedene Hindernisse bleiben bestehen:</w:t>
      </w:r>
    </w:p>
    <w:p w:rsidR="000B433A" w:rsidRPr="005F5D9D" w:rsidRDefault="000B433A" w:rsidP="003A3E46">
      <w:pPr>
        <w:rPr>
          <w:rFonts w:cs="Calibri"/>
          <w:lang w:val="de-DE"/>
        </w:rPr>
      </w:pPr>
      <w:r>
        <w:rPr>
          <w:rFonts w:cs="Calibri"/>
          <w:lang w:val="de-DE"/>
        </w:rPr>
        <w:t>o</w:t>
      </w:r>
      <w:r w:rsidRPr="005F5D9D">
        <w:rPr>
          <w:rFonts w:cs="Calibri"/>
          <w:lang w:val="de-DE"/>
        </w:rPr>
        <w:tab/>
      </w:r>
      <w:r>
        <w:rPr>
          <w:rFonts w:cs="Calibri"/>
          <w:lang w:val="de-DE"/>
        </w:rPr>
        <w:t xml:space="preserve">die zusätzlichen Kosten beim Kauf im Vergleich zu einem Fahrzeug mit Verbrennungsmotor, die weiterhin abschreckend bleiben, hauptsächlich im Zusammenhang mit den Kosten der Batterie. Obgleich diese zusätzlichen Kosten schon bald nicht länger anfallen werden, sind finanzielle Anreize in dieser Übergangsphase wichtig, um den Sektor zu stärken und Skaleneffekte zu ermöglichen. </w:t>
      </w:r>
    </w:p>
    <w:p w:rsidR="000B433A" w:rsidRPr="005F5D9D" w:rsidRDefault="000B433A" w:rsidP="003A3E46">
      <w:pPr>
        <w:rPr>
          <w:rFonts w:cs="Calibri"/>
          <w:lang w:val="de-DE"/>
        </w:rPr>
      </w:pPr>
      <w:r>
        <w:rPr>
          <w:rFonts w:cs="Calibri"/>
          <w:lang w:val="de-DE"/>
        </w:rPr>
        <w:t>o</w:t>
      </w:r>
      <w:r w:rsidRPr="005F5D9D">
        <w:rPr>
          <w:rFonts w:cs="Calibri"/>
          <w:lang w:val="de-DE"/>
        </w:rPr>
        <w:tab/>
      </w:r>
      <w:r>
        <w:rPr>
          <w:rFonts w:cs="Calibri"/>
          <w:lang w:val="de-DE"/>
        </w:rPr>
        <w:t xml:space="preserve">Das Fehlen geeigneter Ladestationen. Daher ist es notwendig, ein Netz von Ladestationen sowohl für Nutzer ohne private Ladestation als auch für die Bedürfnisse auf Langstreckenfahrten einzurichten. Die Entwicklung von Ladestationen muss den Bedürfnissen der Nutzer in Bezug auf die Anzahl der Stationen, die geografische Lage und die Ladeleistung entsprechen. </w:t>
      </w:r>
    </w:p>
    <w:p w:rsidR="000B433A" w:rsidRPr="005F5D9D" w:rsidRDefault="000B433A" w:rsidP="008D4BC8">
      <w:pPr>
        <w:rPr>
          <w:rFonts w:cs="Calibri"/>
          <w:lang w:val="de-DE"/>
        </w:rPr>
      </w:pPr>
      <w:r>
        <w:rPr>
          <w:rFonts w:cs="Calibri"/>
          <w:lang w:val="de-DE"/>
        </w:rPr>
        <w:t>Es werden zwei vorrangige Maßnahmen festgelegt</w:t>
      </w:r>
    </w:p>
    <w:p w:rsidR="000B433A" w:rsidRPr="005F5D9D" w:rsidRDefault="000B433A" w:rsidP="003A3E46">
      <w:pPr>
        <w:rPr>
          <w:rFonts w:cs="Calibri"/>
          <w:lang w:val="de-DE"/>
        </w:rPr>
      </w:pPr>
      <w:r>
        <w:rPr>
          <w:rFonts w:cs="Calibri"/>
          <w:lang w:val="de-DE"/>
        </w:rPr>
        <w:t>•</w:t>
      </w:r>
      <w:r w:rsidRPr="005F5D9D">
        <w:rPr>
          <w:rFonts w:cs="Calibri"/>
          <w:lang w:val="de-DE"/>
        </w:rPr>
        <w:tab/>
      </w:r>
      <w:r>
        <w:rPr>
          <w:rFonts w:cs="Calibri"/>
          <w:lang w:val="de-DE"/>
        </w:rPr>
        <w:t xml:space="preserve">Richten Sie beim Kauf eines EF eine Prämie ein. </w:t>
      </w:r>
    </w:p>
    <w:p w:rsidR="000B433A" w:rsidRPr="005F5D9D" w:rsidRDefault="000B433A" w:rsidP="003A3E46">
      <w:pPr>
        <w:rPr>
          <w:rFonts w:cs="Calibri"/>
          <w:lang w:val="de-DE"/>
        </w:rPr>
      </w:pPr>
      <w:r>
        <w:rPr>
          <w:rFonts w:cs="Calibri"/>
          <w:lang w:val="de-DE"/>
        </w:rPr>
        <w:t>•</w:t>
      </w:r>
      <w:r w:rsidRPr="005F5D9D">
        <w:rPr>
          <w:rFonts w:cs="Calibri"/>
          <w:lang w:val="de-DE"/>
        </w:rPr>
        <w:tab/>
      </w:r>
      <w:r>
        <w:rPr>
          <w:rFonts w:cs="Calibri"/>
          <w:lang w:val="de-DE"/>
        </w:rPr>
        <w:t xml:space="preserve">Ein öffentliches Ladenetz für Elektrofahrzeuge entwerfen. </w:t>
      </w:r>
    </w:p>
    <w:p w:rsidR="000B433A" w:rsidRDefault="000B433A" w:rsidP="004F06CE">
      <w:pPr>
        <w:rPr>
          <w:rFonts w:cs="Calibri"/>
          <w:b/>
          <w:color w:val="1F497D"/>
          <w:u w:val="single"/>
          <w:lang w:val="de-DE"/>
        </w:rPr>
      </w:pPr>
    </w:p>
    <w:p w:rsidR="000B433A" w:rsidRPr="002B570A" w:rsidRDefault="000B433A" w:rsidP="004F06CE">
      <w:pPr>
        <w:rPr>
          <w:rFonts w:cs="Calibri"/>
          <w:b/>
          <w:color w:val="1F497D"/>
          <w:u w:val="single"/>
          <w:lang w:val="de-DE"/>
        </w:rPr>
      </w:pPr>
      <w:r>
        <w:rPr>
          <w:rFonts w:cs="Calibri"/>
          <w:b/>
          <w:color w:val="1F497D"/>
          <w:u w:val="single"/>
          <w:lang w:val="de-DE"/>
        </w:rPr>
        <w:t xml:space="preserve">Spezifische Maßnahmen im Zusammenhang mit der Luftverschmutzung </w:t>
      </w:r>
    </w:p>
    <w:p w:rsidR="000B433A" w:rsidRPr="005F5D9D" w:rsidRDefault="000B433A" w:rsidP="004F06CE">
      <w:pPr>
        <w:rPr>
          <w:rFonts w:cs="Calibri"/>
          <w:szCs w:val="24"/>
          <w:lang w:val="de-DE"/>
        </w:rPr>
      </w:pPr>
      <w:r>
        <w:rPr>
          <w:rFonts w:cs="Calibri"/>
          <w:lang w:val="de-DE"/>
        </w:rPr>
        <w:t>Die hier vorgestellten Maßnahmen zielen insbesondere darauf ab, Luftschadstoffe zu reduzieren und gleichzeitig die CO</w:t>
      </w:r>
      <w:r w:rsidRPr="005F5D9D">
        <w:rPr>
          <w:rFonts w:cs="Calibri"/>
          <w:szCs w:val="24"/>
          <w:vertAlign w:val="subscript"/>
          <w:lang w:val="de-DE"/>
        </w:rPr>
        <w:t>2</w:t>
      </w:r>
      <w:r>
        <w:rPr>
          <w:rFonts w:cs="Calibri"/>
          <w:lang w:val="de-DE"/>
        </w:rPr>
        <w:t>-Emissionen zu beeinflussen. Diese Auswirkungen können auch im Falle des schrittweisen Verbots von Diesel negativ sein, da dieselbetriebene Fahrzeuge weniger CO</w:t>
      </w:r>
      <w:r w:rsidRPr="005F5D9D">
        <w:rPr>
          <w:rFonts w:cs="Calibri"/>
          <w:szCs w:val="24"/>
          <w:vertAlign w:val="subscript"/>
          <w:lang w:val="de-DE"/>
        </w:rPr>
        <w:t>2</w:t>
      </w:r>
      <w:r>
        <w:rPr>
          <w:rFonts w:cs="Calibri"/>
          <w:lang w:val="de-DE"/>
        </w:rPr>
        <w:t xml:space="preserve"> ausstoßen als Benzinfahrzeuge. </w:t>
      </w:r>
    </w:p>
    <w:p w:rsidR="000B433A" w:rsidRPr="005F5D9D" w:rsidRDefault="000B433A" w:rsidP="004F06CE">
      <w:pPr>
        <w:rPr>
          <w:rFonts w:cs="Calibri"/>
          <w:szCs w:val="24"/>
          <w:lang w:val="de-DE"/>
        </w:rPr>
      </w:pPr>
      <w:r>
        <w:rPr>
          <w:rFonts w:cs="Calibri"/>
          <w:lang w:val="de-DE"/>
        </w:rPr>
        <w:t>Diese im Folgenden vorgestellten Maßnahmen ergänzen die im Rahmen der Klimapolitik ergriffenen Maßnahmen, die zwar auf die Verringerung der Treibhausgase abzielen, sich aber positiv auf den Kampf gegen die Luftverschmutzung auswirken.</w:t>
      </w:r>
    </w:p>
    <w:p w:rsidR="000B433A" w:rsidRPr="00CF6A8D" w:rsidRDefault="000B433A" w:rsidP="004F06CE">
      <w:pPr>
        <w:pStyle w:val="Titre4"/>
        <w:rPr>
          <w:rFonts w:ascii="Calibri" w:hAnsi="Calibri"/>
          <w:color w:val="365F91"/>
          <w:lang w:val="de-DE"/>
        </w:rPr>
      </w:pPr>
      <w:r>
        <w:rPr>
          <w:rFonts w:ascii="Calibri" w:hAnsi="Calibri"/>
          <w:color w:val="365F91"/>
          <w:lang w:val="de-DE"/>
        </w:rPr>
        <w:t>Progressives Verbot der umweltschädlichsten Fahrzeuge</w:t>
      </w:r>
    </w:p>
    <w:p w:rsidR="000B433A" w:rsidRPr="005F5D9D" w:rsidRDefault="000B433A" w:rsidP="004F06CE">
      <w:pPr>
        <w:pStyle w:val="Sansinterligne"/>
        <w:rPr>
          <w:rFonts w:ascii="Calibri" w:hAnsi="Calibri" w:cs="Calibri"/>
          <w:sz w:val="24"/>
          <w:szCs w:val="24"/>
          <w:lang w:val="de-DE"/>
        </w:rPr>
      </w:pPr>
      <w:r>
        <w:rPr>
          <w:rFonts w:ascii="Calibri" w:hAnsi="Calibri" w:cs="Calibri"/>
          <w:sz w:val="24"/>
          <w:lang w:val="de-DE"/>
        </w:rPr>
        <w:t xml:space="preserve">Fahrzeuge stellen eine entscheidende Quelle für Luftschadstoffe dar, vor allem Stickoxide, Feinstaub und flüchtige organische Verbindungen, die sowohl für die Gesundheit als auch für die Ökosysteme schädlich sind. </w:t>
      </w:r>
    </w:p>
    <w:p w:rsidR="000B433A" w:rsidRPr="005F5D9D" w:rsidRDefault="000B433A" w:rsidP="004F06CE">
      <w:pPr>
        <w:pStyle w:val="Sansinterligne"/>
        <w:rPr>
          <w:rFonts w:ascii="Calibri" w:hAnsi="Calibri" w:cs="Calibri"/>
          <w:sz w:val="24"/>
          <w:szCs w:val="24"/>
          <w:lang w:val="de-DE"/>
        </w:rPr>
      </w:pPr>
    </w:p>
    <w:p w:rsidR="000B433A" w:rsidRDefault="000B433A" w:rsidP="004F06CE">
      <w:pPr>
        <w:rPr>
          <w:rFonts w:cs="Calibri"/>
          <w:szCs w:val="24"/>
          <w:lang w:val="de-DE"/>
        </w:rPr>
      </w:pPr>
      <w:r>
        <w:rPr>
          <w:rFonts w:cs="Calibri"/>
          <w:lang w:val="de-DE"/>
        </w:rPr>
        <w:t xml:space="preserve">Das Parlament der Wallonie verabschiedete den Erlass vom 17. Januar 2019 über die Bekämpfung der mit dem Kraftfahrzeugverkehr verbundenen Luftverschmutzung. Dieser Text zielt darauf ab, in der gesamten Wallonie und in emissionsarmen Gebieten die Nutzung umweltschädlichster Fahrzeuge nach und nach zu verbieten. </w:t>
      </w:r>
    </w:p>
    <w:p w:rsidR="000B433A" w:rsidRDefault="000B433A" w:rsidP="004F06CE">
      <w:pPr>
        <w:rPr>
          <w:rFonts w:cs="Calibri"/>
          <w:szCs w:val="24"/>
          <w:lang w:val="de-DE"/>
        </w:rPr>
      </w:pPr>
      <w:r>
        <w:rPr>
          <w:rFonts w:cs="Calibri"/>
          <w:lang w:val="de-DE"/>
        </w:rPr>
        <w:t>Der Implementierungsplan und praktische Details sind unter https://www.walloniebassesemissions.be verfügbar</w:t>
      </w:r>
    </w:p>
    <w:p w:rsidR="000B433A" w:rsidRPr="002B570A" w:rsidRDefault="000B433A" w:rsidP="00CC2C51">
      <w:pPr>
        <w:pStyle w:val="Titre3"/>
        <w:rPr>
          <w:rFonts w:ascii="Calibri" w:hAnsi="Calibri" w:cs="Calibri"/>
          <w:i/>
          <w:lang w:val="de-DE"/>
        </w:rPr>
      </w:pPr>
      <w:r>
        <w:rPr>
          <w:rFonts w:ascii="Calibri" w:hAnsi="Calibri" w:cs="Calibri"/>
          <w:i/>
          <w:lang w:val="de-DE"/>
        </w:rPr>
        <w:t>Implementierung von emissionsarmen Zonen (Low Emissions Zones - LEZ)</w:t>
      </w:r>
    </w:p>
    <w:p w:rsidR="000B433A" w:rsidRPr="005F5D9D" w:rsidRDefault="000B433A" w:rsidP="004F06CE">
      <w:pPr>
        <w:rPr>
          <w:rFonts w:cs="Calibri"/>
          <w:szCs w:val="24"/>
          <w:lang w:val="de-DE"/>
        </w:rPr>
      </w:pPr>
      <w:r>
        <w:rPr>
          <w:rFonts w:cs="Calibri"/>
          <w:lang w:val="de-DE"/>
        </w:rPr>
        <w:t>Um die Emissionen bestimmter verkehrsbedingter Luftschadstoffe, insbesondere Feinstaub und Stickoxide, zu verringern, führt die Wallonie Umweltzonen ein und beschränkt oder verbietet den Zugang zu bestimmten Fahrzeugen entsprechend ihrer Umweltbelastung.  In erster Linie sind städtische Gebiete von dieser Maßnahme betroffen, wobei im Falle einer grenzwertüberschreitenden Luftverschmutzung die gesamte Wallonie als emissionsarme Zone erklärt werden kann.</w:t>
      </w:r>
    </w:p>
    <w:p w:rsidR="000B433A" w:rsidRPr="005F5D9D" w:rsidRDefault="000B433A" w:rsidP="004F06CE">
      <w:pPr>
        <w:rPr>
          <w:rFonts w:cs="Calibri"/>
          <w:szCs w:val="24"/>
          <w:lang w:val="de-DE"/>
        </w:rPr>
      </w:pPr>
      <w:r>
        <w:rPr>
          <w:rFonts w:cs="Calibri"/>
          <w:lang w:val="de-DE"/>
        </w:rPr>
        <w:t>Die restriktiven oder Verbotsmaßnahmen gelten für Fahrzeuge, die mit Benzin, Diesel oder Gas betrieben werden, der Kategorie M (Personentransportfahrzeuge wie Pkw, Kleinbusse, Busse und Reisebusse) und N (Güterverkehrsfahrzeuge wie Lieferwagen und Lastkraftwagen), die in Belgien oder im Ausland zugelassen sind. Nicht betroffen sind Elektrofahrzeuge und wasserstoffbetriebene Fahrzeuge (maximal 50 g CO2/km) sowie Zweiräder. Ausnahmen sind für verschiedene Arten von Fahrzeugen mit besonderer Zweckbestimmung vorgesehen, wie z. B. Einsatzfahrzeuge, behindertengerechte Fahrzeuge, Fahrzeuge für Messen oder Märkte...</w:t>
      </w:r>
    </w:p>
    <w:p w:rsidR="000B433A" w:rsidRDefault="000B433A" w:rsidP="004F06CE">
      <w:pPr>
        <w:rPr>
          <w:rFonts w:cs="Calibri"/>
          <w:szCs w:val="24"/>
          <w:lang w:val="de-DE"/>
        </w:rPr>
      </w:pPr>
      <w:r>
        <w:rPr>
          <w:rFonts w:cs="Calibri"/>
          <w:lang w:val="de-DE"/>
        </w:rPr>
        <w:t>Die Wirkung dieser Art von Maßnahmen beschränkt sich nicht nur auf eine Verringerung des Fahrzeugverkehrs und als Folge der Verringerung der Schadstoffemissionen allein in der emissionsarmen Zone, sondern zielt im Wesentlichen darauf ab, die Erneuerung des Fuhrparks der betreffenden Gemeinde oder des betreffenden Gebiets sowie die Verringerung der gefahrenen Kilometer zu fördern, was zu einer stärkeren und nachhaltigen Abnahme der Emissionen führt.</w:t>
      </w:r>
    </w:p>
    <w:p w:rsidR="000B433A" w:rsidRDefault="000B433A" w:rsidP="00DA5715">
      <w:pPr>
        <w:rPr>
          <w:rFonts w:cs="Calibri"/>
          <w:szCs w:val="24"/>
          <w:lang w:val="de-DE"/>
        </w:rPr>
      </w:pPr>
      <w:r>
        <w:rPr>
          <w:rFonts w:cs="Calibri"/>
          <w:lang w:val="de-DE"/>
        </w:rPr>
        <w:t xml:space="preserve">Der Implementierungsplan und die praktische Modalitäten sind unter </w:t>
      </w:r>
      <w:hyperlink r:id="rId34" w:history="1">
        <w:r>
          <w:rPr>
            <w:rStyle w:val="Lienhypertexte"/>
            <w:rFonts w:cs="Calibri"/>
            <w:lang w:val="de-DE"/>
          </w:rPr>
          <w:t>https://www.walloniebassesemissions.be</w:t>
        </w:r>
      </w:hyperlink>
      <w:r>
        <w:rPr>
          <w:rFonts w:cs="Calibri"/>
          <w:lang w:val="de-DE"/>
        </w:rPr>
        <w:t xml:space="preserve"> verfügbar </w:t>
      </w:r>
    </w:p>
    <w:p w:rsidR="000B433A" w:rsidRPr="002B570A" w:rsidRDefault="000B433A" w:rsidP="00CC2C51">
      <w:pPr>
        <w:pStyle w:val="Titre3"/>
        <w:rPr>
          <w:rFonts w:ascii="Calibri" w:hAnsi="Calibri" w:cs="Calibri"/>
          <w:i/>
          <w:lang w:val="de-DE"/>
        </w:rPr>
      </w:pPr>
      <w:r>
        <w:rPr>
          <w:rFonts w:ascii="Calibri" w:hAnsi="Calibri" w:cs="Calibri"/>
          <w:i/>
          <w:lang w:val="de-DE"/>
        </w:rPr>
        <w:t>Feinstaubabscheider an Fahrzeugen</w:t>
      </w:r>
    </w:p>
    <w:p w:rsidR="000B433A" w:rsidRPr="005F5D9D" w:rsidRDefault="000B433A" w:rsidP="004F06CE">
      <w:pPr>
        <w:pStyle w:val="Sansinterligne"/>
        <w:rPr>
          <w:rFonts w:ascii="Calibri" w:hAnsi="Calibri" w:cs="Calibri"/>
          <w:sz w:val="24"/>
          <w:szCs w:val="24"/>
          <w:lang w:val="de-DE"/>
        </w:rPr>
      </w:pPr>
      <w:r>
        <w:rPr>
          <w:rFonts w:ascii="Calibri" w:hAnsi="Calibri" w:cs="Calibri"/>
          <w:sz w:val="24"/>
          <w:lang w:val="de-DE"/>
        </w:rPr>
        <w:t>Bei allen Fahrzeugtypen sind nicht verbrennungsbedingte Emissionen, einschließlich der Emissionen aus Bremsverschleiß, Reifenverschleiß und Straßenverschleiß, die als Non-Exhaust-Emissions bezeichnet werden, sehr hoch. Es handelt sich vor allem um PM10-Partikel und PM2</w:t>
      </w:r>
      <w:proofErr w:type="gramStart"/>
      <w:r>
        <w:rPr>
          <w:rFonts w:ascii="Calibri" w:hAnsi="Calibri" w:cs="Calibri"/>
          <w:sz w:val="24"/>
          <w:lang w:val="de-DE"/>
        </w:rPr>
        <w:t>,5</w:t>
      </w:r>
      <w:proofErr w:type="gramEnd"/>
      <w:r>
        <w:rPr>
          <w:rFonts w:ascii="Calibri" w:hAnsi="Calibri" w:cs="Calibri"/>
          <w:sz w:val="24"/>
          <w:lang w:val="de-DE"/>
        </w:rPr>
        <w:t xml:space="preserve">-Feinstaub. Diese Non-Exhaust-Emissions machen 90 % der gesamten Partikelemissionen von Fahrzeugen über die Euro-V-Norm hinaus aus. Der Anteil dieser Emissionen steigt angesichts der ständig verbesserten Motorleistungen und damit als Folge der Reduzierung der verbrennungsbedingten Abgasemissionen. </w:t>
      </w:r>
    </w:p>
    <w:p w:rsidR="000B433A" w:rsidRPr="005F5D9D" w:rsidRDefault="000B433A" w:rsidP="004F06CE">
      <w:pPr>
        <w:pStyle w:val="Sansinterligne"/>
        <w:rPr>
          <w:rFonts w:ascii="Calibri" w:hAnsi="Calibri" w:cs="Calibri"/>
          <w:sz w:val="24"/>
          <w:szCs w:val="24"/>
          <w:lang w:val="de-DE"/>
        </w:rPr>
      </w:pPr>
    </w:p>
    <w:p w:rsidR="000B433A" w:rsidRPr="005F5D9D" w:rsidRDefault="000B433A" w:rsidP="004F06CE">
      <w:pPr>
        <w:pStyle w:val="Sansinterligne"/>
        <w:rPr>
          <w:rFonts w:ascii="Calibri" w:hAnsi="Calibri" w:cs="Calibri"/>
          <w:sz w:val="24"/>
          <w:szCs w:val="24"/>
          <w:lang w:val="de-DE"/>
        </w:rPr>
      </w:pPr>
      <w:r>
        <w:rPr>
          <w:rFonts w:ascii="Calibri" w:hAnsi="Calibri" w:cs="Calibri"/>
          <w:sz w:val="24"/>
          <w:lang w:val="de-DE"/>
        </w:rPr>
        <w:t>Für Fahrzeuge mit Euro 5 oder höherem Standard werden die PM10-Emissionen aufgrund von Bremsverschleiß auf 6 bis 7 mg/km und PM2</w:t>
      </w:r>
      <w:proofErr w:type="gramStart"/>
      <w:r>
        <w:rPr>
          <w:rFonts w:ascii="Calibri" w:hAnsi="Calibri" w:cs="Calibri"/>
          <w:sz w:val="24"/>
          <w:lang w:val="de-DE"/>
        </w:rPr>
        <w:t>,5</w:t>
      </w:r>
      <w:proofErr w:type="gramEnd"/>
      <w:r>
        <w:rPr>
          <w:rFonts w:ascii="Calibri" w:hAnsi="Calibri" w:cs="Calibri"/>
          <w:sz w:val="24"/>
          <w:lang w:val="de-DE"/>
        </w:rPr>
        <w:t xml:space="preserve"> auf 3 bis 3,5 mg/km geschätzt. Diese fallen hauptsächlich in städtischen Gebieten an, in denen häufiger gebremst wird.</w:t>
      </w:r>
    </w:p>
    <w:p w:rsidR="000B433A" w:rsidRPr="005F5D9D" w:rsidRDefault="000B433A" w:rsidP="004F06CE">
      <w:pPr>
        <w:pStyle w:val="Sansinterligne"/>
        <w:rPr>
          <w:rFonts w:ascii="Calibri" w:hAnsi="Calibri" w:cs="Calibri"/>
          <w:sz w:val="24"/>
          <w:szCs w:val="24"/>
          <w:lang w:val="de-DE"/>
        </w:rPr>
      </w:pPr>
    </w:p>
    <w:p w:rsidR="000B433A" w:rsidRPr="005F5D9D" w:rsidRDefault="000B433A" w:rsidP="004F06CE">
      <w:pPr>
        <w:pStyle w:val="Sansinterligne"/>
        <w:rPr>
          <w:rFonts w:ascii="Calibri" w:hAnsi="Calibri" w:cs="Calibri"/>
          <w:sz w:val="24"/>
          <w:szCs w:val="24"/>
          <w:lang w:val="de-DE"/>
        </w:rPr>
      </w:pPr>
      <w:r>
        <w:rPr>
          <w:rFonts w:ascii="Calibri" w:hAnsi="Calibri" w:cs="Calibri"/>
          <w:sz w:val="24"/>
          <w:lang w:val="de-DE"/>
        </w:rPr>
        <w:t>Ein Absaugsystem für diese Bremspartikel, das für alle Fahrzeugtypen Anwendung findet - Pkw, Lieferwagen, Lkw, Zug, Straßenbahn, Bus, U-Bahn - würde 80 bis 90 % der Bremspartikel an der Quelle zurückhalten und demzufolge etwa 25 % der PM2,5-Emissionen von Neufahrzeugen reduzieren.</w:t>
      </w:r>
    </w:p>
    <w:p w:rsidR="000B433A" w:rsidRPr="005F5D9D" w:rsidRDefault="000B433A" w:rsidP="004F06CE">
      <w:pPr>
        <w:pStyle w:val="Sansinterligne"/>
        <w:rPr>
          <w:rFonts w:ascii="Calibri" w:hAnsi="Calibri" w:cs="Calibri"/>
          <w:sz w:val="24"/>
          <w:szCs w:val="24"/>
          <w:lang w:val="de-DE"/>
        </w:rPr>
      </w:pPr>
    </w:p>
    <w:p w:rsidR="000B433A" w:rsidRDefault="000B433A" w:rsidP="004F06CE">
      <w:pPr>
        <w:pStyle w:val="Sansinterligne"/>
        <w:rPr>
          <w:rFonts w:ascii="Calibri" w:hAnsi="Calibri" w:cs="Calibri"/>
          <w:sz w:val="24"/>
          <w:szCs w:val="24"/>
          <w:lang w:val="de-DE"/>
        </w:rPr>
      </w:pPr>
      <w:r>
        <w:rPr>
          <w:rFonts w:ascii="Calibri" w:hAnsi="Calibri" w:cs="Calibri"/>
          <w:sz w:val="24"/>
          <w:lang w:val="de-DE"/>
        </w:rPr>
        <w:t xml:space="preserve">Die Maßnahme besteht darin, im Rahmen der Befugnisse der Wallonischen Region die Möglichkeit zu prüfen, für alle Fahrzeuge, alle Arten von Versorgungssystemen, die mit einem Partikelrückgewinnungssystem für Scheibenbremssysteme ausgestattet sind, einen Steueranreiz über die Zulassungssteuer oder Kraftfahrzeugsteuer zu gewähren. Es wird darauf geachtet, das Bewusstsein für die ordnungsgemäße Verwendung und Wartung bestehender oder zukünftiger Geräte zu schärfen. </w:t>
      </w:r>
    </w:p>
    <w:p w:rsidR="000B433A" w:rsidRPr="005F5D9D" w:rsidRDefault="000B433A" w:rsidP="004F06CE">
      <w:pPr>
        <w:pStyle w:val="Sansinterligne"/>
        <w:rPr>
          <w:rFonts w:ascii="Calibri" w:hAnsi="Calibri" w:cs="Calibri"/>
          <w:sz w:val="24"/>
          <w:szCs w:val="24"/>
          <w:lang w:val="de-DE"/>
        </w:rPr>
      </w:pPr>
    </w:p>
    <w:p w:rsidR="000B433A" w:rsidRPr="005F5D9D" w:rsidRDefault="000B433A" w:rsidP="00C865C6">
      <w:pPr>
        <w:pStyle w:val="Sansinterligne"/>
        <w:rPr>
          <w:rFonts w:ascii="Calibri" w:hAnsi="Calibri" w:cs="Calibri"/>
          <w:sz w:val="24"/>
          <w:szCs w:val="24"/>
          <w:lang w:val="de-DE"/>
        </w:rPr>
      </w:pPr>
      <w:r>
        <w:rPr>
          <w:rFonts w:ascii="Calibri" w:hAnsi="Calibri" w:cs="Calibri"/>
          <w:sz w:val="24"/>
          <w:lang w:val="de-DE"/>
        </w:rPr>
        <w:t>Die Wallonische Region wird die Föderalregierung ebenfalls ermutigen, die Position Belgiens bei der EU zugunsten der Ausrüstung von Fahrzeugen mit einem Bremspartikelabsaugsystem zu verteidigen.</w:t>
      </w:r>
    </w:p>
    <w:p w:rsidR="000B433A" w:rsidRPr="002B570A" w:rsidRDefault="000B433A" w:rsidP="00CC2C51">
      <w:pPr>
        <w:pStyle w:val="Titre3"/>
        <w:rPr>
          <w:rFonts w:ascii="Calibri" w:hAnsi="Calibri" w:cs="Calibri"/>
          <w:i/>
          <w:lang w:val="de-DE"/>
        </w:rPr>
      </w:pPr>
      <w:r>
        <w:rPr>
          <w:rFonts w:ascii="Calibri" w:hAnsi="Calibri" w:cs="Calibri"/>
          <w:i/>
          <w:lang w:val="de-DE"/>
        </w:rPr>
        <w:t>Einbeziehung von Umweltkriterien in Bezug auf Luftschadstoffe in die Kfz-Steuer</w:t>
      </w:r>
    </w:p>
    <w:p w:rsidR="000B433A" w:rsidRPr="005F5D9D" w:rsidRDefault="000B433A" w:rsidP="004F06CE">
      <w:pPr>
        <w:pStyle w:val="Sansinterligne"/>
        <w:rPr>
          <w:rFonts w:ascii="Calibri" w:hAnsi="Calibri" w:cs="Calibri"/>
          <w:sz w:val="24"/>
          <w:szCs w:val="24"/>
          <w:lang w:val="de-DE"/>
        </w:rPr>
      </w:pPr>
      <w:r>
        <w:rPr>
          <w:rFonts w:ascii="Calibri" w:hAnsi="Calibri" w:cs="Calibri"/>
          <w:sz w:val="24"/>
          <w:lang w:val="de-DE"/>
        </w:rPr>
        <w:t>Eine kohärente Gesamtpolitik zur Besteuerung von Kraftfahrzeugen muss den Nutzern ein klares Preissignal geben, um ihre Entscheidung für eine verantwortungsbewusste Mobilität zu lenken. Die Besteuerung muss den Erwerb sogenannter „sauberer“ Fahrzeuge fördern.</w:t>
      </w:r>
    </w:p>
    <w:p w:rsidR="000B433A" w:rsidRPr="005F5D9D" w:rsidRDefault="000B433A" w:rsidP="004F06CE">
      <w:pPr>
        <w:pStyle w:val="Sansinterligne"/>
        <w:rPr>
          <w:rFonts w:ascii="Calibri" w:hAnsi="Calibri" w:cs="Calibri"/>
          <w:sz w:val="24"/>
          <w:szCs w:val="24"/>
          <w:lang w:val="de-DE"/>
        </w:rPr>
      </w:pPr>
    </w:p>
    <w:p w:rsidR="000B433A" w:rsidRPr="005F5D9D" w:rsidRDefault="000B433A" w:rsidP="004F06CE">
      <w:pPr>
        <w:pStyle w:val="Sansinterligne"/>
        <w:rPr>
          <w:rFonts w:ascii="Calibri" w:hAnsi="Calibri" w:cs="Calibri"/>
          <w:sz w:val="24"/>
          <w:szCs w:val="24"/>
          <w:lang w:val="de-DE"/>
        </w:rPr>
      </w:pPr>
      <w:r>
        <w:rPr>
          <w:rFonts w:ascii="Calibri" w:hAnsi="Calibri" w:cs="Calibri"/>
          <w:sz w:val="24"/>
          <w:lang w:val="de-DE"/>
        </w:rPr>
        <w:t>Die Erwerbsbesteuerung durch die Zulassungssteuer (ZS) sollte es ermöglichen, die Wahl von Verbrauchern beim Kauf eines Fahrzeugs in Bezug auf wesentliche Schadstoffe wie NO</w:t>
      </w:r>
      <w:r w:rsidRPr="00FA2407">
        <w:rPr>
          <w:rFonts w:ascii="Calibri" w:hAnsi="Calibri" w:cs="Calibri"/>
          <w:sz w:val="24"/>
          <w:szCs w:val="24"/>
          <w:vertAlign w:val="subscript"/>
          <w:lang w:val="de-DE"/>
        </w:rPr>
        <w:t>x</w:t>
      </w:r>
      <w:r>
        <w:rPr>
          <w:rFonts w:ascii="Calibri" w:hAnsi="Calibri" w:cs="Calibri"/>
          <w:sz w:val="24"/>
          <w:lang w:val="de-DE"/>
        </w:rPr>
        <w:t>, Feinstaub und CO</w:t>
      </w:r>
      <w:r w:rsidRPr="00FA2407">
        <w:rPr>
          <w:rFonts w:ascii="Calibri" w:hAnsi="Calibri" w:cs="Calibri"/>
          <w:sz w:val="24"/>
          <w:szCs w:val="24"/>
          <w:vertAlign w:val="subscript"/>
          <w:lang w:val="de-DE"/>
        </w:rPr>
        <w:t>2</w:t>
      </w:r>
      <w:r>
        <w:rPr>
          <w:rFonts w:ascii="Calibri" w:hAnsi="Calibri" w:cs="Calibri"/>
          <w:sz w:val="24"/>
          <w:lang w:val="de-DE"/>
        </w:rPr>
        <w:t xml:space="preserve"> zugunsten einer saubereren Fahrzeugs zu beeinflussen. </w:t>
      </w:r>
    </w:p>
    <w:p w:rsidR="000B433A" w:rsidRPr="005F5D9D" w:rsidRDefault="000B433A" w:rsidP="004F06CE">
      <w:pPr>
        <w:pStyle w:val="Sansinterligne"/>
        <w:rPr>
          <w:rFonts w:ascii="Calibri" w:hAnsi="Calibri" w:cs="Calibri"/>
          <w:sz w:val="24"/>
          <w:szCs w:val="24"/>
          <w:lang w:val="de-DE"/>
        </w:rPr>
      </w:pPr>
    </w:p>
    <w:p w:rsidR="000B433A" w:rsidRPr="00B21846" w:rsidRDefault="000B433A" w:rsidP="00B21846">
      <w:pPr>
        <w:pStyle w:val="Sansinterligne"/>
        <w:rPr>
          <w:rFonts w:ascii="Calibri" w:hAnsi="Calibri" w:cs="Calibri"/>
          <w:sz w:val="24"/>
          <w:szCs w:val="24"/>
          <w:lang w:val="de-DE"/>
        </w:rPr>
      </w:pPr>
      <w:r>
        <w:rPr>
          <w:rFonts w:ascii="Calibri" w:hAnsi="Calibri" w:cs="Calibri"/>
          <w:sz w:val="24"/>
          <w:lang w:val="de-DE"/>
        </w:rPr>
        <w:t>Es wird eine Modulation der Zulassungssteuer und der Kraftfahrzeugsteuer entsprechend der Klima- und Umwelteffizienz des Fahrzeugs und seiner Masse umgesetzt. Die Besteuerung von Erdgas, Wasserstoff und Elektrofahrzeugen wird an die wallonischen Ziele für die Entwicklung alternativer Kraftstoffe angepasst.</w:t>
      </w:r>
    </w:p>
    <w:p w:rsidR="000B433A" w:rsidRPr="002B570A" w:rsidRDefault="000B433A" w:rsidP="00CC2C51">
      <w:pPr>
        <w:pStyle w:val="Titre3"/>
        <w:rPr>
          <w:rFonts w:ascii="Calibri" w:hAnsi="Calibri" w:cs="Calibri"/>
          <w:i/>
          <w:lang w:val="de-DE"/>
        </w:rPr>
      </w:pPr>
      <w:r>
        <w:rPr>
          <w:rFonts w:ascii="Calibri" w:hAnsi="Calibri" w:cs="Calibri"/>
          <w:i/>
          <w:lang w:val="de-DE"/>
        </w:rPr>
        <w:t>Abstellen der Motoren von Fahrzeugen im Stillstand</w:t>
      </w:r>
    </w:p>
    <w:p w:rsidR="000B433A" w:rsidRPr="005F5D9D" w:rsidRDefault="000B433A" w:rsidP="004F06CE">
      <w:pPr>
        <w:pStyle w:val="Sansinterligne"/>
        <w:rPr>
          <w:rFonts w:ascii="Calibri" w:hAnsi="Calibri" w:cs="Calibri"/>
          <w:sz w:val="24"/>
          <w:szCs w:val="24"/>
          <w:lang w:val="de-DE"/>
        </w:rPr>
      </w:pPr>
      <w:r>
        <w:rPr>
          <w:rFonts w:ascii="Calibri" w:hAnsi="Calibri" w:cs="Calibri"/>
          <w:sz w:val="24"/>
          <w:lang w:val="de-DE"/>
        </w:rPr>
        <w:t>Ein Motor, der bei stehendem Fahrzeug läuft, stößt Luftschadstoffe einschließlich Feinstaub und Stickoxide sowie CO</w:t>
      </w:r>
      <w:r w:rsidRPr="005F5D9D">
        <w:rPr>
          <w:rFonts w:ascii="Calibri" w:hAnsi="Calibri" w:cs="Calibri"/>
          <w:sz w:val="24"/>
          <w:szCs w:val="24"/>
          <w:vertAlign w:val="subscript"/>
          <w:lang w:val="de-DE"/>
        </w:rPr>
        <w:t>2</w:t>
      </w:r>
      <w:r>
        <w:rPr>
          <w:rFonts w:ascii="Calibri" w:hAnsi="Calibri" w:cs="Calibri"/>
          <w:sz w:val="24"/>
          <w:lang w:val="de-DE"/>
        </w:rPr>
        <w:t xml:space="preserve"> aus.</w:t>
      </w:r>
    </w:p>
    <w:p w:rsidR="000B433A" w:rsidRPr="005F5D9D" w:rsidRDefault="000B433A" w:rsidP="004F06CE">
      <w:pPr>
        <w:pStyle w:val="Sansinterligne"/>
        <w:rPr>
          <w:rFonts w:ascii="Calibri" w:hAnsi="Calibri" w:cs="Calibri"/>
          <w:sz w:val="24"/>
          <w:szCs w:val="24"/>
          <w:lang w:val="de-DE"/>
        </w:rPr>
      </w:pPr>
    </w:p>
    <w:p w:rsidR="000B433A" w:rsidRPr="005F5D9D" w:rsidRDefault="000B433A" w:rsidP="004F06CE">
      <w:pPr>
        <w:pStyle w:val="Sansinterligne"/>
        <w:rPr>
          <w:rFonts w:ascii="Calibri" w:hAnsi="Calibri" w:cs="Calibri"/>
          <w:sz w:val="24"/>
          <w:szCs w:val="24"/>
          <w:lang w:val="de-DE"/>
        </w:rPr>
      </w:pPr>
      <w:r>
        <w:rPr>
          <w:rFonts w:ascii="Calibri" w:hAnsi="Calibri" w:cs="Calibri"/>
          <w:sz w:val="24"/>
          <w:lang w:val="de-DE"/>
        </w:rPr>
        <w:t xml:space="preserve">Die Auswirkungen sind umwelt- und gesundheitsbedingt, insbesondere wenn die Motoren in der Nähe von Schulen oder Krankenhäusern betrieben werden, die von einer schwächeren Bevölkerungsgruppe besucht werden. </w:t>
      </w:r>
    </w:p>
    <w:p w:rsidR="000B433A" w:rsidRPr="005F5D9D" w:rsidRDefault="000B433A" w:rsidP="004F06CE">
      <w:pPr>
        <w:pStyle w:val="Sansinterligne"/>
        <w:rPr>
          <w:rFonts w:ascii="Calibri" w:hAnsi="Calibri" w:cs="Calibri"/>
          <w:sz w:val="24"/>
          <w:szCs w:val="24"/>
          <w:lang w:val="de-DE"/>
        </w:rPr>
      </w:pPr>
    </w:p>
    <w:p w:rsidR="000B433A" w:rsidRPr="005F5D9D" w:rsidRDefault="000B433A" w:rsidP="004F06CE">
      <w:pPr>
        <w:pStyle w:val="Sansinterligne"/>
        <w:rPr>
          <w:rFonts w:ascii="Calibri" w:hAnsi="Calibri" w:cs="Calibri"/>
          <w:sz w:val="24"/>
          <w:szCs w:val="24"/>
          <w:lang w:val="de-DE"/>
        </w:rPr>
      </w:pPr>
      <w:r>
        <w:rPr>
          <w:rFonts w:ascii="Calibri" w:hAnsi="Calibri" w:cs="Calibri"/>
          <w:sz w:val="24"/>
          <w:lang w:val="de-DE"/>
        </w:rPr>
        <w:t>Laut verschiedenen Studien des Touring Club de Belgique können positive Auswirkungen auf den Fahrzeugverbrauch und damit auf die Schadstoffemissionen festgestellt werden, sobald der Motor 20 Sekunden lang abschaltet. Studien in der Schweiz, England und Japan bestätigen die Kraftstoffeinsparungen. Frankreich, die Schweiz, Italien und Großbritannien haben ein Abstellen des Motors nach einer Stillstandzeit des Fahrzeugs von 10 Sekunden bis 1 Minute eingeführt.</w:t>
      </w:r>
    </w:p>
    <w:p w:rsidR="000B433A" w:rsidRPr="005F5D9D" w:rsidRDefault="000B433A" w:rsidP="004F06CE">
      <w:pPr>
        <w:pStyle w:val="Sansinterligne"/>
        <w:rPr>
          <w:rFonts w:ascii="Calibri" w:hAnsi="Calibri" w:cs="Calibri"/>
          <w:sz w:val="24"/>
          <w:szCs w:val="24"/>
          <w:lang w:val="de-DE"/>
        </w:rPr>
      </w:pPr>
    </w:p>
    <w:p w:rsidR="000B433A" w:rsidRPr="005F5D9D" w:rsidRDefault="000B433A" w:rsidP="004F06CE">
      <w:pPr>
        <w:pStyle w:val="Sansinterligne"/>
        <w:rPr>
          <w:rFonts w:ascii="Calibri" w:hAnsi="Calibri" w:cs="Calibri"/>
          <w:sz w:val="24"/>
          <w:szCs w:val="24"/>
          <w:lang w:val="de-DE"/>
        </w:rPr>
      </w:pPr>
      <w:r>
        <w:rPr>
          <w:rFonts w:ascii="Calibri" w:hAnsi="Calibri" w:cs="Calibri"/>
          <w:sz w:val="24"/>
          <w:lang w:val="de-DE"/>
        </w:rPr>
        <w:t xml:space="preserve">Gemäß der Verordnung vom 17. Januar 2019 über die Bekämpfung der Luftverschmutzung besteht die Maßnahme darin, den Motor eines Fahrzeugs abzustellen, sobald es sich im Stillstand befindet, an einem Ort, an dem es nicht verboten ist, das Fahrzeug anzuhalten oder abzustellen. Für bestimmte Fahrzeugtypen oder bei technischen Problemen können Ausnahmen gewährt werden. </w:t>
      </w:r>
    </w:p>
    <w:p w:rsidR="000B433A" w:rsidRPr="005F5D9D" w:rsidRDefault="000B433A" w:rsidP="004F06CE">
      <w:pPr>
        <w:pStyle w:val="Sansinterligne"/>
        <w:rPr>
          <w:rFonts w:ascii="Calibri" w:hAnsi="Calibri" w:cs="Calibri"/>
          <w:sz w:val="24"/>
          <w:szCs w:val="24"/>
          <w:lang w:val="de-DE"/>
        </w:rPr>
      </w:pPr>
    </w:p>
    <w:p w:rsidR="000B433A" w:rsidRPr="005F5D9D" w:rsidRDefault="000B433A" w:rsidP="004F06CE">
      <w:pPr>
        <w:pStyle w:val="Sansinterligne"/>
        <w:rPr>
          <w:rFonts w:ascii="Calibri" w:hAnsi="Calibri" w:cs="Calibri"/>
          <w:sz w:val="24"/>
          <w:szCs w:val="24"/>
          <w:lang w:val="de-DE"/>
        </w:rPr>
      </w:pPr>
      <w:r>
        <w:rPr>
          <w:rFonts w:ascii="Calibri" w:hAnsi="Calibri" w:cs="Calibri"/>
          <w:sz w:val="24"/>
          <w:lang w:val="de-DE"/>
        </w:rPr>
        <w:t>Um die Fahrer über diese Steuer zu informieren und die Gemeinden zu unterstützen, sieht die Wallonie folgende Maßnahmen vor:</w:t>
      </w:r>
    </w:p>
    <w:p w:rsidR="000B433A" w:rsidRDefault="000B433A">
      <w:pPr>
        <w:pStyle w:val="Sansinterligne"/>
        <w:numPr>
          <w:ilvl w:val="0"/>
          <w:numId w:val="20"/>
        </w:numPr>
        <w:rPr>
          <w:rFonts w:ascii="Calibri" w:hAnsi="Calibri" w:cs="Calibri"/>
          <w:sz w:val="24"/>
          <w:szCs w:val="24"/>
          <w:lang w:val="de-DE"/>
        </w:rPr>
      </w:pPr>
      <w:r>
        <w:rPr>
          <w:rFonts w:ascii="Calibri" w:hAnsi="Calibri" w:cs="Calibri"/>
          <w:sz w:val="24"/>
          <w:lang w:val="de-DE"/>
        </w:rPr>
        <w:t>Organisation einer Kommunikationskampagne, die allen Bürgern und insbesondere verschiedenen Zielgruppen wie Taxis oder Busfahrern die Gründe für eine solche Maßnahme erläutert;</w:t>
      </w:r>
    </w:p>
    <w:p w:rsidR="000B433A" w:rsidRDefault="000B433A">
      <w:pPr>
        <w:pStyle w:val="Sansinterligne"/>
        <w:numPr>
          <w:ilvl w:val="0"/>
          <w:numId w:val="20"/>
        </w:numPr>
        <w:rPr>
          <w:rFonts w:ascii="Calibri" w:hAnsi="Calibri" w:cs="Calibri"/>
          <w:sz w:val="24"/>
          <w:szCs w:val="24"/>
          <w:lang w:val="de-DE"/>
        </w:rPr>
      </w:pPr>
      <w:r>
        <w:rPr>
          <w:rFonts w:ascii="Calibri" w:hAnsi="Calibri" w:cs="Calibri"/>
          <w:sz w:val="24"/>
          <w:lang w:val="de-DE"/>
        </w:rPr>
        <w:t>Erstellen eines speziellen Schilds, das auf die Verpflichtung des Abstellen des Motors hinweist;</w:t>
      </w:r>
    </w:p>
    <w:p w:rsidR="000B433A" w:rsidRDefault="000B433A">
      <w:pPr>
        <w:pStyle w:val="Sansinterligne"/>
        <w:numPr>
          <w:ilvl w:val="0"/>
          <w:numId w:val="20"/>
        </w:numPr>
        <w:rPr>
          <w:rFonts w:ascii="Calibri" w:hAnsi="Calibri" w:cs="Calibri"/>
          <w:sz w:val="24"/>
          <w:szCs w:val="24"/>
          <w:lang w:val="de-DE"/>
        </w:rPr>
      </w:pPr>
      <w:r>
        <w:rPr>
          <w:rFonts w:ascii="Calibri" w:hAnsi="Calibri" w:cs="Calibri"/>
          <w:sz w:val="24"/>
          <w:lang w:val="de-DE"/>
        </w:rPr>
        <w:t>Zurverfügungstellung dieser Schilder für interessierte Gemeinden im Rahmen einer Partnerschaft, um sensible Bereiche wie Schulen, Krankenhäuser, Bereiche in der Nähe von Bahnhöfen etc. auszustatten, in denen die Fahrer geneigt sind, den Motor laufen zu lassen, und Kontrolle der Anwendung der Maßnahme.</w:t>
      </w:r>
    </w:p>
    <w:p w:rsidR="000B433A" w:rsidRPr="005F5D9D" w:rsidRDefault="000B433A" w:rsidP="00E23781">
      <w:pPr>
        <w:pStyle w:val="Sansinterligne"/>
        <w:ind w:left="720"/>
        <w:rPr>
          <w:rFonts w:ascii="Calibri" w:hAnsi="Calibri" w:cs="Calibri"/>
          <w:sz w:val="24"/>
          <w:szCs w:val="24"/>
          <w:lang w:val="de-DE"/>
        </w:rPr>
      </w:pPr>
    </w:p>
    <w:p w:rsidR="000B433A" w:rsidRPr="002B570A" w:rsidRDefault="000B433A" w:rsidP="00CC2C51">
      <w:pPr>
        <w:pStyle w:val="Titre3"/>
        <w:rPr>
          <w:rFonts w:ascii="Calibri" w:hAnsi="Calibri" w:cs="Calibri"/>
          <w:i/>
          <w:lang w:val="de-DE"/>
        </w:rPr>
      </w:pPr>
      <w:r>
        <w:rPr>
          <w:rFonts w:ascii="Calibri" w:hAnsi="Calibri" w:cs="Calibri"/>
          <w:i/>
          <w:lang w:val="de-DE"/>
        </w:rPr>
        <w:t>Verstärkung der technischen Überwachung von Fahrzeugen in Bezug auf bestimmte Luftemissionen</w:t>
      </w:r>
    </w:p>
    <w:p w:rsidR="000B433A" w:rsidRPr="005F5D9D" w:rsidRDefault="000B433A" w:rsidP="004F06CE">
      <w:pPr>
        <w:pStyle w:val="Sansinterligne"/>
        <w:rPr>
          <w:rFonts w:ascii="Calibri" w:hAnsi="Calibri" w:cs="Calibri"/>
          <w:sz w:val="24"/>
          <w:szCs w:val="24"/>
          <w:lang w:val="de-DE"/>
        </w:rPr>
      </w:pPr>
      <w:r>
        <w:rPr>
          <w:rFonts w:ascii="Calibri" w:hAnsi="Calibri" w:cs="Calibri"/>
          <w:sz w:val="24"/>
          <w:lang w:val="de-DE"/>
        </w:rPr>
        <w:t>Gemäß der von der Wallonischen Region erlassenen Verordnung über die Bekämpfung der Luftverschmutzung sollten bei der vorgeschriebenen jährlichen technischen Überwachung von Fahrzeugen, die älter als vier Jahre sind, die Inspektionsverfahren in den technischen Fahrzeugprüfstellen verstärkt werden, um sicherzustellen, dass die Umweltverträglichkeit des Fahrzeugs ständig mit der Konformitätsbescheinigung übereinstimmt.</w:t>
      </w:r>
    </w:p>
    <w:p w:rsidR="000B433A" w:rsidRPr="005F5D9D" w:rsidRDefault="000B433A" w:rsidP="004F06CE">
      <w:pPr>
        <w:pStyle w:val="Sansinterligne"/>
        <w:rPr>
          <w:rFonts w:ascii="Calibri" w:hAnsi="Calibri" w:cs="Calibri"/>
          <w:sz w:val="24"/>
          <w:szCs w:val="24"/>
          <w:lang w:val="de-DE"/>
        </w:rPr>
      </w:pPr>
    </w:p>
    <w:p w:rsidR="000B433A" w:rsidRDefault="000B433A" w:rsidP="004F06CE">
      <w:pPr>
        <w:pStyle w:val="Sansinterligne"/>
        <w:rPr>
          <w:rFonts w:ascii="Calibri" w:hAnsi="Calibri" w:cs="Calibri"/>
          <w:sz w:val="24"/>
          <w:szCs w:val="24"/>
          <w:lang w:val="de-DE"/>
        </w:rPr>
      </w:pPr>
      <w:r>
        <w:rPr>
          <w:rFonts w:ascii="Calibri" w:hAnsi="Calibri" w:cs="Calibri"/>
          <w:sz w:val="24"/>
          <w:lang w:val="de-DE"/>
        </w:rPr>
        <w:t>Folgende Verfahren sollten angewendet werden:</w:t>
      </w:r>
    </w:p>
    <w:p w:rsidR="000B433A" w:rsidRPr="005F5D9D" w:rsidRDefault="000B433A" w:rsidP="004F06CE">
      <w:pPr>
        <w:pStyle w:val="Sansinterligne"/>
        <w:rPr>
          <w:rFonts w:ascii="Calibri" w:hAnsi="Calibri" w:cs="Calibri"/>
          <w:sz w:val="24"/>
          <w:szCs w:val="24"/>
          <w:lang w:val="de-DE"/>
        </w:rPr>
      </w:pPr>
    </w:p>
    <w:p w:rsidR="000B433A" w:rsidRDefault="000B433A">
      <w:pPr>
        <w:pStyle w:val="Sansinterligne"/>
        <w:numPr>
          <w:ilvl w:val="0"/>
          <w:numId w:val="18"/>
        </w:numPr>
        <w:rPr>
          <w:rFonts w:ascii="Calibri" w:hAnsi="Calibri" w:cs="Calibri"/>
          <w:sz w:val="24"/>
          <w:szCs w:val="24"/>
          <w:lang w:val="de-DE"/>
        </w:rPr>
      </w:pPr>
      <w:r>
        <w:rPr>
          <w:rFonts w:ascii="Calibri" w:hAnsi="Calibri" w:cs="Calibri"/>
          <w:sz w:val="24"/>
          <w:lang w:val="de-DE"/>
        </w:rPr>
        <w:t>Kontrolle der Emissionen von Feinstaub (PM</w:t>
      </w:r>
      <w:r w:rsidRPr="005F5D9D">
        <w:rPr>
          <w:rFonts w:ascii="Calibri" w:hAnsi="Calibri" w:cs="Calibri"/>
          <w:sz w:val="24"/>
          <w:szCs w:val="24"/>
          <w:vertAlign w:val="subscript"/>
          <w:lang w:val="de-DE"/>
        </w:rPr>
        <w:t>2,5</w:t>
      </w:r>
      <w:r>
        <w:rPr>
          <w:rFonts w:ascii="Calibri" w:hAnsi="Calibri" w:cs="Calibri"/>
          <w:sz w:val="24"/>
          <w:lang w:val="de-DE"/>
        </w:rPr>
        <w:t>) und Stickoxiden (NOx), um sicherzustellen, dass die Umweltleistung des Fahrzeugs mit der in der Konformitätsbescheinigung angegebenen Leistung übereinstimmt;</w:t>
      </w:r>
    </w:p>
    <w:p w:rsidR="000B433A" w:rsidRDefault="000B433A">
      <w:pPr>
        <w:pStyle w:val="Sansinterligne"/>
        <w:numPr>
          <w:ilvl w:val="0"/>
          <w:numId w:val="18"/>
        </w:numPr>
        <w:rPr>
          <w:rFonts w:ascii="Calibri" w:hAnsi="Calibri" w:cs="Calibri"/>
          <w:sz w:val="24"/>
          <w:szCs w:val="24"/>
          <w:lang w:val="de-DE"/>
        </w:rPr>
      </w:pPr>
      <w:r>
        <w:rPr>
          <w:rFonts w:ascii="Calibri" w:hAnsi="Calibri" w:cs="Calibri"/>
          <w:sz w:val="24"/>
          <w:lang w:val="de-DE"/>
        </w:rPr>
        <w:t>Überprüfung des Vorhandenseins und der ordnungsgemäßen Funktion bestimmter technischer Zubehörteile, die für die Einhaltung der Umweltverträglichkeit des Fahrzeugs unerlässlich sind, insbesondere des Partikelfilters, sofern das Fahrzeug mit diesem ausgestattet ist;</w:t>
      </w:r>
    </w:p>
    <w:p w:rsidR="000B433A" w:rsidRDefault="000B433A">
      <w:pPr>
        <w:pStyle w:val="Sansinterligne"/>
        <w:numPr>
          <w:ilvl w:val="0"/>
          <w:numId w:val="18"/>
        </w:numPr>
        <w:rPr>
          <w:rFonts w:ascii="Calibri" w:hAnsi="Calibri" w:cs="Calibri"/>
          <w:sz w:val="24"/>
          <w:szCs w:val="24"/>
          <w:lang w:val="de-DE"/>
        </w:rPr>
      </w:pPr>
      <w:r>
        <w:rPr>
          <w:rFonts w:ascii="Calibri" w:hAnsi="Calibri" w:cs="Calibri"/>
          <w:sz w:val="24"/>
          <w:lang w:val="de-DE"/>
        </w:rPr>
        <w:t>Überprüfung der ordnungsgemäßen Funktion des Motors, um die Umweltleistung des Fahrzeugs in Bezug auf PM</w:t>
      </w:r>
      <w:r w:rsidRPr="0005311E">
        <w:rPr>
          <w:rFonts w:ascii="Calibri" w:hAnsi="Calibri" w:cs="Calibri"/>
          <w:sz w:val="24"/>
          <w:szCs w:val="24"/>
          <w:vertAlign w:val="subscript"/>
          <w:lang w:val="de-DE"/>
        </w:rPr>
        <w:t>2,5</w:t>
      </w:r>
      <w:r>
        <w:rPr>
          <w:rFonts w:ascii="Calibri" w:hAnsi="Calibri" w:cs="Calibri"/>
          <w:sz w:val="24"/>
          <w:lang w:val="de-DE"/>
        </w:rPr>
        <w:t xml:space="preserve"> und NO</w:t>
      </w:r>
      <w:r w:rsidRPr="0005311E">
        <w:rPr>
          <w:rFonts w:ascii="Calibri" w:hAnsi="Calibri" w:cs="Calibri"/>
          <w:sz w:val="24"/>
          <w:szCs w:val="24"/>
          <w:vertAlign w:val="subscript"/>
          <w:lang w:val="de-DE"/>
        </w:rPr>
        <w:t>x</w:t>
      </w:r>
      <w:r>
        <w:rPr>
          <w:rFonts w:ascii="Calibri" w:hAnsi="Calibri" w:cs="Calibri"/>
          <w:sz w:val="24"/>
          <w:lang w:val="de-DE"/>
        </w:rPr>
        <w:t>-Emissionen zu berücksichtigen.</w:t>
      </w:r>
    </w:p>
    <w:p w:rsidR="000B433A" w:rsidRPr="002B570A" w:rsidRDefault="000B433A" w:rsidP="00D5118D">
      <w:pPr>
        <w:pStyle w:val="Titre2"/>
        <w:numPr>
          <w:ilvl w:val="1"/>
          <w:numId w:val="1"/>
        </w:numPr>
        <w:ind w:left="851" w:hanging="851"/>
        <w:rPr>
          <w:rFonts w:ascii="Calibri" w:hAnsi="Calibri" w:cs="Calibri"/>
          <w:color w:val="1F497D"/>
          <w:sz w:val="28"/>
          <w:szCs w:val="28"/>
          <w:lang w:val="de-DE"/>
        </w:rPr>
      </w:pPr>
      <w:bookmarkStart w:id="39" w:name="_Toc7802453"/>
      <w:r>
        <w:rPr>
          <w:rFonts w:ascii="Calibri" w:hAnsi="Calibri" w:cs="Calibri"/>
          <w:color w:val="1F497D"/>
          <w:sz w:val="28"/>
          <w:lang w:val="de-DE"/>
        </w:rPr>
        <w:t>Anregen des Verhaltens der Bürger zur Verringerung der Luftschadstoffemissionen</w:t>
      </w:r>
      <w:bookmarkEnd w:id="39"/>
    </w:p>
    <w:p w:rsidR="000B433A" w:rsidRPr="002B570A" w:rsidRDefault="000B433A">
      <w:pPr>
        <w:pStyle w:val="TEXTEI7"/>
        <w:rPr>
          <w:rFonts w:ascii="Calibri" w:hAnsi="Calibri"/>
          <w:b/>
          <w:i/>
          <w:color w:val="4F81BD"/>
          <w:sz w:val="24"/>
          <w:szCs w:val="24"/>
          <w:lang w:val="de-DE"/>
        </w:rPr>
      </w:pPr>
      <w:r>
        <w:rPr>
          <w:rFonts w:ascii="Calibri" w:hAnsi="Calibri"/>
          <w:b/>
          <w:i/>
          <w:color w:val="4F81BD"/>
          <w:sz w:val="24"/>
          <w:lang w:val="de-DE"/>
        </w:rPr>
        <w:t>Sensibilisierung in Bezug auf die Verwendung von lösungsmittelhaltigen Stoffen in Haushalten</w:t>
      </w:r>
    </w:p>
    <w:p w:rsidR="000B433A" w:rsidRPr="002B570A" w:rsidRDefault="000B433A">
      <w:pPr>
        <w:pStyle w:val="TEXTEI7"/>
        <w:rPr>
          <w:sz w:val="24"/>
          <w:szCs w:val="24"/>
          <w:lang w:val="de-DE"/>
        </w:rPr>
      </w:pPr>
    </w:p>
    <w:p w:rsidR="000B433A" w:rsidRPr="002B570A" w:rsidRDefault="000B433A">
      <w:pPr>
        <w:pStyle w:val="TEXTEI7"/>
        <w:rPr>
          <w:rFonts w:ascii="Calibri" w:hAnsi="Calibri"/>
          <w:sz w:val="24"/>
          <w:szCs w:val="24"/>
          <w:lang w:val="de-DE"/>
        </w:rPr>
      </w:pPr>
      <w:r>
        <w:rPr>
          <w:rFonts w:ascii="Calibri" w:hAnsi="Calibri"/>
          <w:sz w:val="24"/>
          <w:lang w:val="de-DE"/>
        </w:rPr>
        <w:t xml:space="preserve">Die Verwendung von Haushaltslösungsmitteln stellt eine wichtige Quelle für VOC-Emissionen dar und trägt zu einer schlechten Luftqualität in Haushalten bei. Die Wallonie kann keine Rechtsvorschriften über Normen für lösungsmittelhaltige Produkte erlassen, da es sich hierbei um eine föderale Zuständigkeit handelt, und es ist sogar notwendig, im Rahmen eines offenen Wirtschaftsmarktes diese Art von Normen auf europäischer Ebene festzulegen. </w:t>
      </w:r>
    </w:p>
    <w:p w:rsidR="000B433A" w:rsidRPr="002B570A" w:rsidRDefault="000B433A">
      <w:pPr>
        <w:pStyle w:val="TEXTEI7"/>
        <w:rPr>
          <w:rFonts w:ascii="Calibri" w:hAnsi="Calibri"/>
          <w:sz w:val="24"/>
          <w:szCs w:val="24"/>
          <w:lang w:val="de-DE"/>
        </w:rPr>
      </w:pPr>
      <w:r>
        <w:rPr>
          <w:rFonts w:ascii="Calibri" w:hAnsi="Calibri"/>
          <w:sz w:val="24"/>
          <w:lang w:val="de-DE"/>
        </w:rPr>
        <w:t xml:space="preserve">Dennoch verfügt die Wallonie über die Kompetenz in Hinblick auf die Verwendung dieser Produkte. </w:t>
      </w:r>
    </w:p>
    <w:p w:rsidR="000B433A" w:rsidRPr="002B570A" w:rsidRDefault="000B433A">
      <w:pPr>
        <w:pStyle w:val="TEXTEI7"/>
        <w:rPr>
          <w:rFonts w:ascii="Calibri" w:hAnsi="Calibri"/>
          <w:sz w:val="24"/>
          <w:szCs w:val="24"/>
          <w:lang w:val="de-DE"/>
        </w:rPr>
      </w:pPr>
      <w:r>
        <w:rPr>
          <w:rFonts w:ascii="Calibri" w:hAnsi="Calibri"/>
          <w:sz w:val="24"/>
          <w:lang w:val="de-DE"/>
        </w:rPr>
        <w:t>In Anwendung des wallonischen Dekrets über den Schutz der Raumluft wird die Wallonie die Möglichkeit prüfen, ein Phasing Out der Verwendung bestimmter inländischer Lösungsmittel zu organisieren oder diese sogar zu verbieten, und Maßnahmen zur Sensibilisierung, Aufklärung und Verantwortung der Bürger über die Verwendung von Haushaltslösungsmitteln organisieren.</w:t>
      </w:r>
    </w:p>
    <w:p w:rsidR="000B433A" w:rsidRPr="002B570A" w:rsidRDefault="000B433A" w:rsidP="00D5118D">
      <w:pPr>
        <w:pStyle w:val="Titre2"/>
        <w:numPr>
          <w:ilvl w:val="1"/>
          <w:numId w:val="1"/>
        </w:numPr>
        <w:ind w:left="851" w:hanging="851"/>
        <w:rPr>
          <w:rFonts w:ascii="Calibri" w:hAnsi="Calibri" w:cs="Calibri"/>
          <w:color w:val="1F497D"/>
          <w:sz w:val="28"/>
          <w:szCs w:val="28"/>
          <w:lang w:val="de-DE"/>
        </w:rPr>
      </w:pPr>
      <w:bookmarkStart w:id="40" w:name="_Toc7802454"/>
      <w:r>
        <w:rPr>
          <w:rFonts w:ascii="Calibri" w:hAnsi="Calibri" w:cs="Calibri"/>
          <w:color w:val="1F497D"/>
          <w:sz w:val="28"/>
          <w:lang w:val="de-DE"/>
        </w:rPr>
        <w:t>Sektor fluorierter Gase</w:t>
      </w:r>
      <w:bookmarkEnd w:id="40"/>
    </w:p>
    <w:p w:rsidR="000B433A" w:rsidRPr="002B570A" w:rsidRDefault="000B433A" w:rsidP="00CE6A82">
      <w:pPr>
        <w:pStyle w:val="Titre3"/>
        <w:rPr>
          <w:rStyle w:val="Emphaseple"/>
          <w:rFonts w:ascii="Calibri" w:hAnsi="Calibri" w:cs="Calibri"/>
          <w:iCs/>
          <w:color w:val="4F81BD"/>
          <w:szCs w:val="24"/>
          <w:lang w:val="de-DE"/>
        </w:rPr>
      </w:pPr>
      <w:r>
        <w:rPr>
          <w:rStyle w:val="Emphaseple"/>
          <w:rFonts w:ascii="Calibri" w:hAnsi="Calibri" w:cs="Calibri"/>
          <w:iCs/>
          <w:color w:val="4F81BD"/>
          <w:lang w:val="de-DE"/>
        </w:rPr>
        <w:t>Freiwillige sektorale Vereinbarungen</w:t>
      </w:r>
    </w:p>
    <w:p w:rsidR="000B433A" w:rsidRPr="002B570A" w:rsidRDefault="000B433A" w:rsidP="00CE6A82">
      <w:pPr>
        <w:rPr>
          <w:rFonts w:cs="Calibri"/>
          <w:szCs w:val="24"/>
          <w:lang w:val="de-DE"/>
        </w:rPr>
      </w:pPr>
      <w:r>
        <w:rPr>
          <w:rFonts w:cs="Calibri"/>
          <w:lang w:val="de-DE"/>
        </w:rPr>
        <w:t>Die Maßnahme besteht darin, eine freiwillige Vereinbarung mit dem Lebensmitteleinzelhandel zur Reduzierung seiner Treibhausgasemissionen zu treffen. Sowohl die Verwendung fluorierter Gase als auch der Energieverbrauch werden angestrebt. Die Maßnahme ist zunächst Teil eines Kontextes zunehmender Beschränkungen für die Verwendung von FKW-Gasen im Zusammenhang mit der Europäischen Verordnung 517/2014.</w:t>
      </w:r>
    </w:p>
    <w:p w:rsidR="000B433A" w:rsidRPr="002B570A" w:rsidRDefault="000B433A" w:rsidP="00CE6A82">
      <w:pPr>
        <w:rPr>
          <w:rFonts w:cs="Calibri"/>
          <w:szCs w:val="24"/>
          <w:lang w:val="de-DE"/>
        </w:rPr>
      </w:pPr>
      <w:r>
        <w:rPr>
          <w:rFonts w:cs="Calibri"/>
          <w:lang w:val="de-DE"/>
        </w:rPr>
        <w:t>Im Sinne freiwilliger Vereinbarungen könnten Unternehmen (oder Verbände) Erfolgspflichten anstelle von Handlungspflichten auferlegt werden. Es erscheint effektiver, für Unternehmen (oder Verbände) Ziele zur Reduzierung der Treibhausgasemissionen festzulegen (mit zweifellos einem besonderen Schwerpunkt auf FKW), sodass sie die Freiheit haben, jene Maßnahmen umzusetzen, die sie für die Erreichung dieser Ziele für am geeignetsten halten. Diese Option sollte a priori der Einführung von Arbeitsmethoden, die eingehalten werden müssen, oder der Anwendung technologischer Entscheidungen vorgezogen werden.</w:t>
      </w:r>
    </w:p>
    <w:p w:rsidR="000B433A" w:rsidRPr="002B570A" w:rsidRDefault="000B433A" w:rsidP="00CE6A82">
      <w:pPr>
        <w:rPr>
          <w:rFonts w:cs="Calibri"/>
          <w:szCs w:val="24"/>
          <w:lang w:val="de-DE"/>
        </w:rPr>
      </w:pPr>
      <w:r>
        <w:rPr>
          <w:rFonts w:cs="Calibri"/>
          <w:lang w:val="de-DE"/>
        </w:rPr>
        <w:t xml:space="preserve">Im Rahmen freiwilliger FKW-Vereinbarungen könnten Wege zur Reduzierung der FKW-Emissionen (z. B. durch Arbeiten zur Reduzierung der Leckraten) festgelegt werden. Das übergeordnete Ziel dieser freiwilligen Vereinbarungen ist es, die Treibhausgasemissionen bis 2030 gegenüber 2005 (gemäß dem Abkommen von Kigali) um 70 % zu senken. Das Referenzjahr dieser Berechnung wird eines der Elemente der Diskussion sein, um Unternehmen, die bereits vor kurzem in eine Reduzierung der FKW investiert haben, nicht zu benachteiligen. </w:t>
      </w:r>
    </w:p>
    <w:p w:rsidR="000B433A" w:rsidRPr="002B570A" w:rsidRDefault="000B433A" w:rsidP="00CE6A82">
      <w:pPr>
        <w:rPr>
          <w:rFonts w:cs="Calibri"/>
          <w:szCs w:val="24"/>
          <w:lang w:val="de-DE"/>
        </w:rPr>
      </w:pPr>
      <w:r>
        <w:rPr>
          <w:rFonts w:cs="Calibri"/>
          <w:lang w:val="de-DE"/>
        </w:rPr>
        <w:t>In dieser Phase wird das Ziel, das in die freiwillige Vereinbarung aufgenommen werden könnte, in drei sekundäre Ziele unterteilt:</w:t>
      </w:r>
    </w:p>
    <w:p w:rsidR="000B433A" w:rsidRDefault="000B433A">
      <w:pPr>
        <w:pStyle w:val="Paragraphedeliste"/>
        <w:numPr>
          <w:ilvl w:val="0"/>
          <w:numId w:val="12"/>
        </w:numPr>
        <w:rPr>
          <w:rFonts w:cs="Calibri"/>
          <w:szCs w:val="24"/>
          <w:lang w:val="de-DE"/>
        </w:rPr>
      </w:pPr>
      <w:r>
        <w:rPr>
          <w:rFonts w:cs="Calibri"/>
          <w:lang w:val="de-DE"/>
        </w:rPr>
        <w:t>Auf die Kältemittelgase der Anlagen einwirken;</w:t>
      </w:r>
    </w:p>
    <w:p w:rsidR="000B433A" w:rsidRDefault="000B433A">
      <w:pPr>
        <w:pStyle w:val="Paragraphedeliste"/>
        <w:numPr>
          <w:ilvl w:val="0"/>
          <w:numId w:val="12"/>
        </w:numPr>
        <w:rPr>
          <w:rFonts w:cs="Calibri"/>
          <w:szCs w:val="24"/>
          <w:lang w:val="de-DE"/>
        </w:rPr>
      </w:pPr>
      <w:r>
        <w:rPr>
          <w:rFonts w:cs="Calibri"/>
          <w:lang w:val="de-DE"/>
        </w:rPr>
        <w:t>Die Energieeffizienz kommerzieller Lebensmittelverteilungsräume verbessern;</w:t>
      </w:r>
    </w:p>
    <w:p w:rsidR="000B433A" w:rsidRDefault="000B433A">
      <w:pPr>
        <w:pStyle w:val="Paragraphedeliste"/>
        <w:numPr>
          <w:ilvl w:val="0"/>
          <w:numId w:val="12"/>
        </w:numPr>
        <w:rPr>
          <w:rFonts w:cs="Calibri"/>
          <w:szCs w:val="24"/>
          <w:lang w:val="de-DE"/>
        </w:rPr>
      </w:pPr>
      <w:r>
        <w:rPr>
          <w:rFonts w:cs="Calibri"/>
          <w:lang w:val="de-DE"/>
        </w:rPr>
        <w:t>Erneuerbare Energiequellen entwickeln, um ab 2025 bei allen Neubauten „Null Treibhausgasemissionen“ zu erreichen.</w:t>
      </w:r>
    </w:p>
    <w:p w:rsidR="000B433A" w:rsidRPr="002B570A" w:rsidRDefault="000B433A" w:rsidP="00CE6A82">
      <w:pPr>
        <w:pStyle w:val="Titre4"/>
        <w:rPr>
          <w:rStyle w:val="Emphaseple"/>
          <w:rFonts w:ascii="Calibri" w:hAnsi="Calibri" w:cs="Calibri"/>
          <w:i/>
          <w:iCs w:val="0"/>
          <w:szCs w:val="24"/>
          <w:lang w:val="de-DE"/>
        </w:rPr>
      </w:pPr>
      <w:r>
        <w:rPr>
          <w:rStyle w:val="Emphaseple"/>
          <w:rFonts w:ascii="Calibri" w:hAnsi="Calibri" w:cs="Calibri"/>
          <w:i/>
          <w:iCs w:val="0"/>
          <w:lang w:val="de-DE"/>
        </w:rPr>
        <w:t>Unterstützung von Unternehmen beim Austausch ihrer Geräte</w:t>
      </w:r>
    </w:p>
    <w:p w:rsidR="000B433A" w:rsidRPr="002B570A" w:rsidRDefault="000B433A" w:rsidP="00CE6A82">
      <w:pPr>
        <w:rPr>
          <w:rFonts w:cs="Calibri"/>
          <w:szCs w:val="24"/>
          <w:lang w:val="de-DE"/>
        </w:rPr>
      </w:pPr>
      <w:r>
        <w:rPr>
          <w:rFonts w:cs="Calibri"/>
          <w:lang w:val="de-DE"/>
        </w:rPr>
        <w:t>Die Installation von Kälteanlagen mit alternativen Kältemitteln ist bereits heute förderfähig. Trotzdem:</w:t>
      </w:r>
    </w:p>
    <w:p w:rsidR="000B433A" w:rsidRDefault="000B433A">
      <w:pPr>
        <w:pStyle w:val="Paragraphedeliste"/>
        <w:numPr>
          <w:ilvl w:val="0"/>
          <w:numId w:val="12"/>
        </w:numPr>
        <w:rPr>
          <w:rFonts w:cs="Calibri"/>
          <w:szCs w:val="24"/>
          <w:lang w:val="de-DE"/>
        </w:rPr>
      </w:pPr>
      <w:r>
        <w:rPr>
          <w:rFonts w:cs="Calibri"/>
          <w:lang w:val="de-DE"/>
        </w:rPr>
        <w:t>der Vertriebssektor, der Hauptemittent von FKW, ist ausgeschlossen;</w:t>
      </w:r>
    </w:p>
    <w:p w:rsidR="000B433A" w:rsidRDefault="000B433A">
      <w:pPr>
        <w:pStyle w:val="Paragraphedeliste"/>
        <w:numPr>
          <w:ilvl w:val="0"/>
          <w:numId w:val="12"/>
        </w:numPr>
        <w:rPr>
          <w:rFonts w:cs="Calibri"/>
          <w:szCs w:val="24"/>
          <w:lang w:val="de-DE"/>
        </w:rPr>
      </w:pPr>
      <w:r>
        <w:rPr>
          <w:rFonts w:cs="Calibri"/>
          <w:lang w:val="de-DE"/>
        </w:rPr>
        <w:t xml:space="preserve">der Grundsatz der Berechnung der Beihilfen ist komplex, da er die Deckung eines Teils der zusätzlichen Investitionskosten im Vergleich zur Referenztechnologie (die daher definiert werden muss) beinhaltet. </w:t>
      </w:r>
    </w:p>
    <w:p w:rsidR="000B433A" w:rsidRPr="002B570A" w:rsidRDefault="000B433A" w:rsidP="00CE6A82">
      <w:pPr>
        <w:rPr>
          <w:rFonts w:cs="Calibri"/>
          <w:szCs w:val="24"/>
          <w:lang w:val="de-DE"/>
        </w:rPr>
      </w:pPr>
      <w:r>
        <w:rPr>
          <w:rFonts w:cs="Calibri"/>
          <w:lang w:val="de-DE"/>
        </w:rPr>
        <w:t>Das Ziel der neuen Maßnahme wäre daher:</w:t>
      </w:r>
    </w:p>
    <w:p w:rsidR="000B433A" w:rsidRDefault="000B433A">
      <w:pPr>
        <w:pStyle w:val="Paragraphedeliste"/>
        <w:numPr>
          <w:ilvl w:val="0"/>
          <w:numId w:val="12"/>
        </w:numPr>
        <w:rPr>
          <w:rFonts w:cs="Calibri"/>
          <w:szCs w:val="24"/>
          <w:lang w:val="de-DE"/>
        </w:rPr>
      </w:pPr>
      <w:r>
        <w:rPr>
          <w:rFonts w:cs="Calibri"/>
          <w:lang w:val="de-DE"/>
        </w:rPr>
        <w:t>die Betreiber zu ermutigen, auf eine FKW-freie Lösung umzusteigen;</w:t>
      </w:r>
    </w:p>
    <w:p w:rsidR="000B433A" w:rsidRDefault="000B433A">
      <w:pPr>
        <w:pStyle w:val="Paragraphedeliste"/>
        <w:numPr>
          <w:ilvl w:val="0"/>
          <w:numId w:val="12"/>
        </w:numPr>
        <w:rPr>
          <w:rFonts w:cs="Calibri"/>
          <w:szCs w:val="24"/>
          <w:lang w:val="de-DE"/>
        </w:rPr>
      </w:pPr>
      <w:r>
        <w:rPr>
          <w:rFonts w:cs="Calibri"/>
          <w:lang w:val="de-DE"/>
        </w:rPr>
        <w:t xml:space="preserve">den derzeitigen Beihilfemechanismus zu vereinfachen und die Gewährung spezifischer Beihilfen für den Vertriebssektor in Betracht zu ziehen; </w:t>
      </w:r>
    </w:p>
    <w:p w:rsidR="000B433A" w:rsidRDefault="000B433A">
      <w:pPr>
        <w:pStyle w:val="Paragraphedeliste"/>
        <w:numPr>
          <w:ilvl w:val="0"/>
          <w:numId w:val="12"/>
        </w:numPr>
        <w:rPr>
          <w:rFonts w:cs="Calibri"/>
          <w:szCs w:val="24"/>
          <w:lang w:val="de-DE"/>
        </w:rPr>
      </w:pPr>
      <w:r>
        <w:rPr>
          <w:rFonts w:cs="Calibri"/>
          <w:lang w:val="de-DE"/>
        </w:rPr>
        <w:t>eine Subvention zu gewähren, die umso höher ist, als die Anlagen eine beträchtliche Menge fluorierter Treibhausgase enthalten, ausgedrückt in t eq. CO</w:t>
      </w:r>
      <w:r w:rsidRPr="002B570A">
        <w:rPr>
          <w:rFonts w:cs="Calibri"/>
          <w:szCs w:val="24"/>
          <w:vertAlign w:val="subscript"/>
          <w:lang w:val="de-DE"/>
        </w:rPr>
        <w:t>2</w:t>
      </w:r>
      <w:r>
        <w:rPr>
          <w:rFonts w:cs="Calibri"/>
          <w:lang w:val="de-DE"/>
        </w:rPr>
        <w:t>;</w:t>
      </w:r>
    </w:p>
    <w:p w:rsidR="000B433A" w:rsidRDefault="000B433A">
      <w:pPr>
        <w:pStyle w:val="Paragraphedeliste"/>
        <w:numPr>
          <w:ilvl w:val="0"/>
          <w:numId w:val="12"/>
        </w:numPr>
        <w:rPr>
          <w:rFonts w:cs="Calibri"/>
          <w:szCs w:val="24"/>
          <w:lang w:val="de-DE"/>
        </w:rPr>
      </w:pPr>
      <w:r>
        <w:rPr>
          <w:rFonts w:cs="Calibri"/>
          <w:lang w:val="de-DE"/>
        </w:rPr>
        <w:t xml:space="preserve">sicherzustellen, dass während des Austauschvorgangs das Gas tatsächlich zurückgewonnen (und nicht in die Atmosphäre abgegeben) wird. </w:t>
      </w:r>
    </w:p>
    <w:p w:rsidR="000B433A" w:rsidRPr="002B570A" w:rsidRDefault="000B433A" w:rsidP="00CE6A82">
      <w:pPr>
        <w:pStyle w:val="Titre4"/>
        <w:rPr>
          <w:rStyle w:val="Emphaseple"/>
          <w:rFonts w:ascii="Calibri" w:hAnsi="Calibri" w:cs="Calibri"/>
          <w:i/>
          <w:iCs w:val="0"/>
          <w:szCs w:val="24"/>
          <w:lang w:val="de-DE"/>
        </w:rPr>
      </w:pPr>
      <w:r>
        <w:rPr>
          <w:rStyle w:val="Emphaseple"/>
          <w:rFonts w:ascii="Calibri" w:hAnsi="Calibri" w:cs="Calibri"/>
          <w:i/>
          <w:iCs w:val="0"/>
          <w:lang w:val="de-DE"/>
        </w:rPr>
        <w:t>Stärkung der Ausbildung im Umgang mit alternativen Kältemitteln / alternativen Technologien</w:t>
      </w:r>
    </w:p>
    <w:p w:rsidR="000B433A" w:rsidRPr="002B570A" w:rsidRDefault="000B433A" w:rsidP="00CE6A82">
      <w:pPr>
        <w:rPr>
          <w:rFonts w:cs="Calibri"/>
          <w:szCs w:val="24"/>
          <w:lang w:val="de-DE"/>
        </w:rPr>
      </w:pPr>
      <w:r>
        <w:rPr>
          <w:rFonts w:cs="Calibri"/>
          <w:lang w:val="de-DE"/>
        </w:rPr>
        <w:t>Diese Maßnahme zielt auf die Erstellung von Kursinhalten zu neuen Kältemitteln / Technologien (insbesondere zu sicherheitsrelevanten Elementen) ab. Diese Maßnahme sollte im Übrigen auch ein Coaching von Schulungszentren in der Wallonie entwickeln. Es ist ratsam, sich zunächst auf die Schulung zur Nutzung von CO</w:t>
      </w:r>
      <w:r w:rsidRPr="002B570A">
        <w:rPr>
          <w:rFonts w:cs="Calibri"/>
          <w:szCs w:val="24"/>
          <w:vertAlign w:val="subscript"/>
          <w:lang w:val="de-DE"/>
        </w:rPr>
        <w:t>2</w:t>
      </w:r>
      <w:r>
        <w:rPr>
          <w:rFonts w:cs="Calibri"/>
          <w:lang w:val="de-DE"/>
        </w:rPr>
        <w:t xml:space="preserve"> zu konzentrieren und anschließend die Schulungsinhalte zu folgenden Themen vorzubereiten:</w:t>
      </w:r>
    </w:p>
    <w:p w:rsidR="000B433A" w:rsidRDefault="000B433A">
      <w:pPr>
        <w:pStyle w:val="Paragraphedeliste"/>
        <w:numPr>
          <w:ilvl w:val="0"/>
          <w:numId w:val="12"/>
        </w:numPr>
        <w:rPr>
          <w:rFonts w:cs="Calibri"/>
          <w:szCs w:val="24"/>
          <w:lang w:val="de-DE"/>
        </w:rPr>
      </w:pPr>
      <w:r>
        <w:rPr>
          <w:rFonts w:cs="Calibri"/>
          <w:lang w:val="de-DE"/>
        </w:rPr>
        <w:t>zu Propan und fluorierten Treibhausgasen mit niedrigem Treibhauspotenzial (GWP oder PRG), aber entzündlich;</w:t>
      </w:r>
    </w:p>
    <w:p w:rsidR="000B433A" w:rsidRDefault="000B433A">
      <w:pPr>
        <w:pStyle w:val="Paragraphedeliste"/>
        <w:numPr>
          <w:ilvl w:val="0"/>
          <w:numId w:val="12"/>
        </w:numPr>
        <w:rPr>
          <w:rFonts w:cs="Calibri"/>
          <w:szCs w:val="24"/>
          <w:lang w:val="de-DE"/>
        </w:rPr>
      </w:pPr>
      <w:r>
        <w:rPr>
          <w:rFonts w:cs="Calibri"/>
          <w:lang w:val="de-DE"/>
        </w:rPr>
        <w:t>zu Ammoniak.</w:t>
      </w:r>
    </w:p>
    <w:p w:rsidR="000B433A" w:rsidRPr="002B570A" w:rsidRDefault="000B433A" w:rsidP="00CE6A82">
      <w:pPr>
        <w:rPr>
          <w:rFonts w:cs="Calibri"/>
          <w:szCs w:val="24"/>
          <w:lang w:val="de-DE"/>
        </w:rPr>
      </w:pPr>
      <w:r>
        <w:rPr>
          <w:rFonts w:cs="Calibri"/>
          <w:lang w:val="de-DE"/>
        </w:rPr>
        <w:t xml:space="preserve">Darüber hinaus sollten die Schulungszentren mit einer angemessenen technischen Infrastruktur ausgestattet werden, um die Techniker in diesen neuen Technologien auszubilden. </w:t>
      </w:r>
    </w:p>
    <w:p w:rsidR="000B433A" w:rsidRPr="002B570A" w:rsidRDefault="000B433A" w:rsidP="00D5118D">
      <w:pPr>
        <w:pStyle w:val="Titre2"/>
        <w:numPr>
          <w:ilvl w:val="1"/>
          <w:numId w:val="1"/>
        </w:numPr>
        <w:ind w:left="851" w:hanging="851"/>
        <w:rPr>
          <w:rFonts w:ascii="Calibri" w:hAnsi="Calibri" w:cs="Calibri"/>
          <w:color w:val="1F497D"/>
          <w:sz w:val="28"/>
          <w:szCs w:val="28"/>
          <w:lang w:val="de-DE"/>
        </w:rPr>
      </w:pPr>
      <w:bookmarkStart w:id="41" w:name="_Toc7802455"/>
      <w:r>
        <w:rPr>
          <w:rFonts w:ascii="Calibri" w:hAnsi="Calibri" w:cs="Calibri"/>
          <w:color w:val="1F497D"/>
          <w:sz w:val="28"/>
          <w:lang w:val="de-DE"/>
        </w:rPr>
        <w:t>Land- und Forstwirtschaft</w:t>
      </w:r>
      <w:bookmarkEnd w:id="41"/>
    </w:p>
    <w:p w:rsidR="000B433A" w:rsidRPr="00766360" w:rsidRDefault="000B433A" w:rsidP="00CE6A82">
      <w:pPr>
        <w:rPr>
          <w:rFonts w:cs="Calibri"/>
          <w:szCs w:val="24"/>
          <w:lang w:val="de-DE"/>
        </w:rPr>
      </w:pPr>
      <w:r>
        <w:rPr>
          <w:rFonts w:cs="Calibri"/>
          <w:lang w:val="de-DE"/>
        </w:rPr>
        <w:t>Die in der Land- und Forstwirtschaft vorgesehenen Maßnahmen bestehen in erster Linie darin, die durchgeführten Politiken und Maßnahmen fortzusetzen und zu verstärken und sie dann durch zusätzliche Maßnahmen zu ergänzen.</w:t>
      </w:r>
    </w:p>
    <w:p w:rsidR="000B433A" w:rsidRPr="00766360" w:rsidRDefault="000B433A" w:rsidP="00CE6A82">
      <w:pPr>
        <w:pStyle w:val="Titre3"/>
        <w:rPr>
          <w:rStyle w:val="Emphaseple"/>
          <w:rFonts w:ascii="Calibri" w:hAnsi="Calibri" w:cs="Calibri"/>
          <w:iCs/>
          <w:szCs w:val="24"/>
          <w:lang w:val="de-DE"/>
        </w:rPr>
      </w:pPr>
      <w:r>
        <w:rPr>
          <w:rStyle w:val="Emphaseple"/>
          <w:rFonts w:ascii="Calibri" w:hAnsi="Calibri" w:cs="Calibri"/>
          <w:iCs/>
          <w:lang w:val="de-DE"/>
        </w:rPr>
        <w:t>Bestehende Richtlinien und Maßnahmen.</w:t>
      </w:r>
    </w:p>
    <w:p w:rsidR="000B433A" w:rsidRPr="00766360" w:rsidRDefault="000B433A" w:rsidP="00CE6A82">
      <w:pPr>
        <w:rPr>
          <w:rFonts w:cs="Calibri"/>
          <w:szCs w:val="24"/>
          <w:lang w:val="de-DE"/>
        </w:rPr>
      </w:pPr>
      <w:r>
        <w:rPr>
          <w:rFonts w:cs="Calibri"/>
          <w:lang w:val="de-DE"/>
        </w:rPr>
        <w:t xml:space="preserve">Die umgesetzten Strategien und Maßnahmen zeigen bereits Wirkung. Zuallererst müssen diese Maßnahmen im Land- und Forstwirtschaftssektor fortgesetzt und verstärkt werden. </w:t>
      </w:r>
    </w:p>
    <w:p w:rsidR="000B433A" w:rsidRPr="00766360" w:rsidRDefault="000B433A" w:rsidP="00CE6A82">
      <w:pPr>
        <w:rPr>
          <w:rFonts w:cs="Calibri"/>
          <w:i/>
          <w:szCs w:val="24"/>
          <w:lang w:val="de-DE"/>
        </w:rPr>
      </w:pPr>
      <w:r>
        <w:rPr>
          <w:rFonts w:cs="Calibri"/>
          <w:i/>
          <w:color w:val="4F81BD"/>
          <w:lang w:val="de-DE"/>
        </w:rPr>
        <w:t>Die bestehenden land- und forstwirtschaftlichen Kohlenstoffbestände erhalten und schützen</w:t>
      </w:r>
    </w:p>
    <w:p w:rsidR="000B433A" w:rsidRPr="00766360" w:rsidRDefault="000B433A" w:rsidP="00CE6A82">
      <w:pPr>
        <w:rPr>
          <w:rFonts w:cs="Calibri"/>
          <w:szCs w:val="24"/>
          <w:lang w:val="de-DE"/>
        </w:rPr>
      </w:pPr>
      <w:r>
        <w:rPr>
          <w:rFonts w:cs="Calibri"/>
          <w:lang w:val="de-DE"/>
        </w:rPr>
        <w:t xml:space="preserve">Die land- und forstwirtschaftlichen Böden bilden einen wichtigen Kohlenstoffspeicher, der weit größer als der Speicher in der oberirdischen Biomasse ist. Die Erhöhung der Kohlenstoffspeicher in den Böden können durch Praktiken wie die vereinfachten Anbauverfahren oder das Nicht-Pflügen unter bestimmten Voraussetzungen begünstigt werden. </w:t>
      </w:r>
    </w:p>
    <w:p w:rsidR="000B433A" w:rsidRPr="00766360" w:rsidRDefault="000B433A" w:rsidP="00CE6A82">
      <w:pPr>
        <w:rPr>
          <w:rFonts w:cs="Calibri"/>
          <w:szCs w:val="24"/>
          <w:lang w:val="de-DE"/>
        </w:rPr>
      </w:pPr>
      <w:r>
        <w:rPr>
          <w:rFonts w:cs="Calibri"/>
          <w:lang w:val="de-DE"/>
        </w:rPr>
        <w:t xml:space="preserve">Dauergrünland enthält ebenfalls einen zu erhaltenden Kohlenstoffbestand. Darüber hinaus können bei ihrer Zerstörung sehr große Mengen an Stickstoff freigesetzt werden (bis zu 700 kg im Jahr nach der Zerstörung). Die Erhaltung und der Schutz von Dauergrünland wird von Europa durch die Ökologisierung der GAP vorgeschrieben. </w:t>
      </w:r>
    </w:p>
    <w:p w:rsidR="000B433A" w:rsidRPr="00766360" w:rsidRDefault="000B433A" w:rsidP="00CE6A82">
      <w:pPr>
        <w:rPr>
          <w:rFonts w:cs="Calibri"/>
          <w:szCs w:val="24"/>
          <w:lang w:val="de-DE"/>
        </w:rPr>
      </w:pPr>
      <w:r>
        <w:rPr>
          <w:rFonts w:cs="Calibri"/>
          <w:lang w:val="de-DE"/>
        </w:rPr>
        <w:t>Seit dem 1. Januar 2015 ist das Umpflügen von Dauergrünland für 91 der 240 Natura-2000-Gebiete der Wallonie völlig verboten. Für die anderen ist die Zerstörung von Dauergrünland eine genehmigungspflichtige Handlung. Es ist wichtig, diese Bestimmungen beizubehalten oder sogar zu verstärken, indem sie auf alle Natura-2000-Gebiete ausgedehnt werden.</w:t>
      </w:r>
    </w:p>
    <w:p w:rsidR="000B433A" w:rsidRPr="00AE1BB4" w:rsidRDefault="000B433A" w:rsidP="00AE1BB4">
      <w:pPr>
        <w:pStyle w:val="Titre3"/>
        <w:rPr>
          <w:rFonts w:ascii="Calibri" w:hAnsi="Calibri" w:cs="Calibri"/>
          <w:lang w:val="de-DE"/>
        </w:rPr>
      </w:pPr>
      <w:r>
        <w:rPr>
          <w:rFonts w:ascii="Calibri" w:hAnsi="Calibri" w:cs="Calibri"/>
          <w:lang w:val="de-DE"/>
        </w:rPr>
        <w:t xml:space="preserve">Die Entwicklung eines umweltfreundlicheren Landwirtschaftsmodells </w:t>
      </w:r>
    </w:p>
    <w:p w:rsidR="000B433A" w:rsidRPr="00836124" w:rsidRDefault="000B433A" w:rsidP="00AE1BB4">
      <w:pPr>
        <w:pStyle w:val="Corps"/>
        <w:pBdr>
          <w:top w:val="none" w:sz="0" w:space="0" w:color="auto"/>
          <w:left w:val="none" w:sz="0" w:space="0" w:color="auto"/>
          <w:bottom w:val="none" w:sz="0" w:space="0" w:color="auto"/>
          <w:right w:val="none" w:sz="0" w:space="0" w:color="auto"/>
          <w:bar w:val="none" w:sz="0" w:color="auto"/>
        </w:pBdr>
        <w:jc w:val="both"/>
        <w:rPr>
          <w:sz w:val="24"/>
          <w:lang w:val="de-DE"/>
        </w:rPr>
      </w:pPr>
      <w:r>
        <w:rPr>
          <w:sz w:val="24"/>
          <w:lang w:val="de-DE"/>
        </w:rPr>
        <w:t xml:space="preserve">Das wallonische Gebiet verfügt über viele Vorzüge, sowohl in Bezug auf die Qualität der erzeugten Lebensmittel, in Bezug auf die Umwelt (Landschaften, Wasserressourcen, biologische Vielfalt usw.) als auch in Bezug auf Wissenschaft und Technologie. </w:t>
      </w:r>
    </w:p>
    <w:p w:rsidR="000B433A" w:rsidRPr="00836124" w:rsidRDefault="000B433A" w:rsidP="00AE1BB4">
      <w:pPr>
        <w:pStyle w:val="Corps"/>
        <w:pBdr>
          <w:top w:val="none" w:sz="0" w:space="0" w:color="auto"/>
          <w:left w:val="none" w:sz="0" w:space="0" w:color="auto"/>
          <w:bottom w:val="none" w:sz="0" w:space="0" w:color="auto"/>
          <w:right w:val="none" w:sz="0" w:space="0" w:color="auto"/>
          <w:bar w:val="none" w:sz="0" w:color="auto"/>
        </w:pBdr>
        <w:jc w:val="both"/>
        <w:rPr>
          <w:sz w:val="24"/>
          <w:lang w:val="de-DE"/>
        </w:rPr>
      </w:pPr>
      <w:r>
        <w:rPr>
          <w:sz w:val="24"/>
          <w:lang w:val="de-DE"/>
        </w:rPr>
        <w:t>Trotz dieser Vorzüge steht die wallonische Landwirtschaft derzeit vor großen Herausforderungen. Seine ernährende Funktion ist geschwächt, stellt man beispielsweise fest, dass 9 % der wallonischen Getreideproduktion für den menschlichen Verzehr bestimmt sind. Seine wirtschaftliche und soziale Funktion ist ebenfalls geschwächt, wie beispielsweise die sinkende Zahl an Betrieben in jedem Sektor belegt. Schließlich lässt sich eine Fragilität von Umwelt und Landschaft erkennen, die durch einen Rückgang der wallonischen Weideländer bestätigt wird.</w:t>
      </w:r>
    </w:p>
    <w:p w:rsidR="000B433A" w:rsidRPr="00836124" w:rsidRDefault="000B433A" w:rsidP="00AE1BB4">
      <w:pPr>
        <w:pStyle w:val="Corps"/>
        <w:pBdr>
          <w:top w:val="none" w:sz="0" w:space="0" w:color="auto"/>
          <w:left w:val="none" w:sz="0" w:space="0" w:color="auto"/>
          <w:bottom w:val="none" w:sz="0" w:space="0" w:color="auto"/>
          <w:right w:val="none" w:sz="0" w:space="0" w:color="auto"/>
          <w:bar w:val="none" w:sz="0" w:color="auto"/>
        </w:pBdr>
        <w:jc w:val="both"/>
        <w:rPr>
          <w:sz w:val="24"/>
          <w:lang w:val="de-DE"/>
        </w:rPr>
      </w:pPr>
      <w:r>
        <w:rPr>
          <w:sz w:val="24"/>
          <w:lang w:val="de-DE"/>
        </w:rPr>
        <w:t xml:space="preserve">Angesichts der von der Wallonie getroffenen Entscheidungen, insbesondere bei der Annahme des Wallonischen Gesetzbuches über die Landwirtschaft, und angesichts der Notwendigkeit, die Qualität unserer Lebensmittel und ihren lokalen Charakter, unsere Wiesen, unsere Böden, unsere Luft, unsere Wasserressourcen, unsere Gesundheit oder sogar die Existenz des Berufes des Landwirtes und seine Rolle als Handwerker der Natur und unserer Lebensmittel zu erhalten, müssen Übergangsszenarien untersucht und umgesetzt werden. </w:t>
      </w:r>
    </w:p>
    <w:p w:rsidR="000B433A" w:rsidRPr="00836124" w:rsidRDefault="000B433A" w:rsidP="00AE1BB4">
      <w:pPr>
        <w:pStyle w:val="Corps"/>
        <w:pBdr>
          <w:top w:val="none" w:sz="0" w:space="0" w:color="auto"/>
          <w:left w:val="none" w:sz="0" w:space="0" w:color="auto"/>
          <w:bottom w:val="none" w:sz="0" w:space="0" w:color="auto"/>
          <w:right w:val="none" w:sz="0" w:space="0" w:color="auto"/>
          <w:bar w:val="none" w:sz="0" w:color="auto"/>
        </w:pBdr>
        <w:jc w:val="both"/>
        <w:rPr>
          <w:sz w:val="24"/>
          <w:lang w:val="de-DE"/>
        </w:rPr>
      </w:pPr>
      <w:r>
        <w:rPr>
          <w:sz w:val="24"/>
          <w:lang w:val="de-DE"/>
        </w:rPr>
        <w:t xml:space="preserve">Zu diesem Zweck können die Ergebnisse der Studie über die Umsetzung des Übergangs vom Agrarmodell zu einem Modell ohne Pflanzenschutzmittel und mit begrenztem Einsatz von chemischen Düngemitteln, die die Regierung am 14. März 2019 zur Kenntnis genommen hat, als Grundlage dienen. Besondere Aufmerksamkeit wird den ökologischen Vorteilen in Hinblick auf Emissionen von Luftschadstoffen und Treibhausgasen gewidmet. </w:t>
      </w:r>
    </w:p>
    <w:p w:rsidR="000B433A" w:rsidRPr="00836124" w:rsidRDefault="000B433A" w:rsidP="00AE1BB4">
      <w:pPr>
        <w:pStyle w:val="Corps"/>
        <w:pBdr>
          <w:top w:val="none" w:sz="0" w:space="0" w:color="auto"/>
          <w:left w:val="none" w:sz="0" w:space="0" w:color="auto"/>
          <w:bottom w:val="none" w:sz="0" w:space="0" w:color="auto"/>
          <w:right w:val="none" w:sz="0" w:space="0" w:color="auto"/>
          <w:bar w:val="none" w:sz="0" w:color="auto"/>
        </w:pBdr>
        <w:jc w:val="both"/>
        <w:rPr>
          <w:sz w:val="24"/>
          <w:lang w:val="de-DE"/>
        </w:rPr>
      </w:pPr>
      <w:r>
        <w:rPr>
          <w:sz w:val="24"/>
          <w:lang w:val="de-DE"/>
        </w:rPr>
        <w:t xml:space="preserve">Die Landwirtschaft mit geringen Betriebsmitteln stößt weitaus weniger Schadstoffe aus als das aktuelle Modell, das wir kennen: </w:t>
      </w:r>
      <w:r w:rsidRPr="00836124">
        <w:rPr>
          <w:b/>
          <w:sz w:val="24"/>
          <w:lang w:val="de-DE"/>
        </w:rPr>
        <w:t>Die Zahlen für das Szenario mit niedrigem Energieverbrauch zeigen eine Verringerung der Emissionen von versauernden Luftschadstoffen um 34 % und der Treibhausgasemissionen um 21 %.</w:t>
      </w:r>
      <w:r>
        <w:rPr>
          <w:sz w:val="24"/>
          <w:lang w:val="de-DE"/>
        </w:rPr>
        <w:t xml:space="preserve"> Ein positiver Effekt ist auch bei der Trinkwasseraufbereitung im Hinblick auf Pestizide festzustellen.</w:t>
      </w:r>
    </w:p>
    <w:p w:rsidR="000B433A" w:rsidRPr="00836124" w:rsidRDefault="000B433A" w:rsidP="00AE1BB4">
      <w:pPr>
        <w:pStyle w:val="Corps"/>
        <w:pBdr>
          <w:top w:val="none" w:sz="0" w:space="0" w:color="auto"/>
          <w:left w:val="none" w:sz="0" w:space="0" w:color="auto"/>
          <w:bottom w:val="none" w:sz="0" w:space="0" w:color="auto"/>
          <w:right w:val="none" w:sz="0" w:space="0" w:color="auto"/>
          <w:bar w:val="none" w:sz="0" w:color="auto"/>
        </w:pBdr>
        <w:jc w:val="both"/>
        <w:rPr>
          <w:sz w:val="24"/>
          <w:lang w:val="de-DE"/>
        </w:rPr>
      </w:pPr>
      <w:r>
        <w:rPr>
          <w:sz w:val="24"/>
          <w:lang w:val="de-DE"/>
        </w:rPr>
        <w:t xml:space="preserve">Das Verbot von Pestiziden im Wald, das Verbot von Pestiziden im öffentlichen Raum, das Verbot der Verwendung von Glyphosat für Privatpersonen und von Neonicotinoiden, oder aber die verschiedenen Schutzmaßnahmen für die am stärksten gefährdeten Gruppen, sind alles Maßnahmen zur Erhaltung unserer Gesundheit, unserer Lebensmittel, aber auch der Qualität der Luft, des Bodens und unserer Wasserressourcen. </w:t>
      </w:r>
    </w:p>
    <w:p w:rsidR="000B433A" w:rsidRPr="00836124" w:rsidRDefault="000B433A" w:rsidP="00AE1BB4">
      <w:pPr>
        <w:pStyle w:val="Corps"/>
        <w:pBdr>
          <w:top w:val="none" w:sz="0" w:space="0" w:color="auto"/>
          <w:left w:val="none" w:sz="0" w:space="0" w:color="auto"/>
          <w:bottom w:val="none" w:sz="0" w:space="0" w:color="auto"/>
          <w:right w:val="none" w:sz="0" w:space="0" w:color="auto"/>
          <w:bar w:val="none" w:sz="0" w:color="auto"/>
        </w:pBdr>
        <w:jc w:val="both"/>
        <w:rPr>
          <w:sz w:val="24"/>
          <w:lang w:val="de-DE"/>
        </w:rPr>
      </w:pPr>
      <w:r>
        <w:rPr>
          <w:sz w:val="24"/>
          <w:lang w:val="de-DE"/>
        </w:rPr>
        <w:t>Die Wallonie muss ihren Wandel antizipieren und sich als Pionier der zukunftsträchtigen landwirtschaftlichen Produktion positionieren und Teil eines umfassenderen Projekts für ein Gebiet von Qualität sein.</w:t>
      </w:r>
    </w:p>
    <w:p w:rsidR="000B433A" w:rsidRPr="00836124" w:rsidRDefault="000B433A" w:rsidP="00AE1BB4">
      <w:pPr>
        <w:pStyle w:val="Corps"/>
        <w:pBdr>
          <w:top w:val="none" w:sz="0" w:space="0" w:color="auto"/>
          <w:left w:val="none" w:sz="0" w:space="0" w:color="auto"/>
          <w:bottom w:val="none" w:sz="0" w:space="0" w:color="auto"/>
          <w:right w:val="none" w:sz="0" w:space="0" w:color="auto"/>
          <w:bar w:val="none" w:sz="0" w:color="auto"/>
        </w:pBdr>
        <w:jc w:val="both"/>
        <w:rPr>
          <w:sz w:val="24"/>
          <w:lang w:val="de-DE"/>
        </w:rPr>
      </w:pPr>
      <w:r>
        <w:rPr>
          <w:sz w:val="24"/>
          <w:lang w:val="de-DE"/>
        </w:rPr>
        <w:t xml:space="preserve">Schließlich sollte, um den Wandel zu begleiten, die Ausarbeitung eines ökologischen Übergangsabkommens zwischen den Akteuren des Sektors und der wallonischen Regierung erwogen werden. Mit diesem Instrument kann eine individuelle Unterstützung und ein Rahmen geschaffen werden, der die Verpflichtungen aller Beteiligten genau definiert. </w:t>
      </w:r>
    </w:p>
    <w:p w:rsidR="000B433A" w:rsidRDefault="000B433A" w:rsidP="00C05E01">
      <w:pPr>
        <w:pStyle w:val="Titre3"/>
        <w:rPr>
          <w:rFonts w:ascii="Calibri" w:hAnsi="Calibri" w:cs="Calibri"/>
          <w:i/>
          <w:lang w:val="de-DE"/>
        </w:rPr>
      </w:pPr>
      <w:r>
        <w:rPr>
          <w:rFonts w:ascii="Calibri" w:hAnsi="Calibri" w:cs="Calibri"/>
          <w:i/>
          <w:lang w:val="de-DE"/>
        </w:rPr>
        <w:t xml:space="preserve">Überwachung der Entwicklung des Biomethanisierungsprozesses im Agrarsektor (es gibt bereits eine Reihe von Biomethanisierungsanlagen in diesem Sektor). </w:t>
      </w:r>
    </w:p>
    <w:p w:rsidR="000B433A" w:rsidRPr="00C05E01" w:rsidRDefault="000B433A" w:rsidP="00C05E01">
      <w:pPr>
        <w:rPr>
          <w:b/>
          <w:lang w:val="de-DE"/>
        </w:rPr>
      </w:pPr>
      <w:r>
        <w:rPr>
          <w:b/>
          <w:highlight w:val="yellow"/>
          <w:lang w:val="de-DE"/>
        </w:rPr>
        <w:t>[Text muss vor WR vervollständigt werden]</w:t>
      </w:r>
    </w:p>
    <w:p w:rsidR="000B433A" w:rsidRPr="00766360" w:rsidRDefault="000B433A" w:rsidP="00766360">
      <w:pPr>
        <w:keepNext/>
        <w:keepLines/>
        <w:spacing w:before="200" w:after="240"/>
        <w:outlineLvl w:val="2"/>
        <w:rPr>
          <w:i/>
          <w:color w:val="1F497D"/>
          <w:lang w:val="de-DE"/>
        </w:rPr>
      </w:pPr>
      <w:r>
        <w:rPr>
          <w:rFonts w:cs="Calibri"/>
          <w:i/>
          <w:color w:val="1F497D"/>
          <w:lang w:val="de-DE"/>
        </w:rPr>
        <w:t xml:space="preserve">Zusätzliche Maßnahmen: </w:t>
      </w:r>
      <w:r w:rsidRPr="00766360">
        <w:rPr>
          <w:i/>
          <w:color w:val="1F497D"/>
          <w:lang w:val="de-DE"/>
        </w:rPr>
        <w:t>Spezifische Maßnahmen im Zusammenhang mit der Luftverschmutzung und insbesondere der Verringerung von Ammoniak (NH3)</w:t>
      </w:r>
      <w:r>
        <w:rPr>
          <w:rFonts w:cs="Calibri"/>
          <w:i/>
          <w:color w:val="1F497D"/>
          <w:lang w:val="de-DE"/>
        </w:rPr>
        <w:t>.</w:t>
      </w:r>
    </w:p>
    <w:p w:rsidR="000B433A" w:rsidRPr="005F5D9D" w:rsidRDefault="000B433A" w:rsidP="00320B8C">
      <w:pPr>
        <w:rPr>
          <w:rFonts w:cs="Calibri"/>
          <w:szCs w:val="24"/>
          <w:lang w:val="de-DE"/>
        </w:rPr>
      </w:pPr>
      <w:r>
        <w:rPr>
          <w:rFonts w:cs="Calibri"/>
          <w:lang w:val="de-DE"/>
        </w:rPr>
        <w:t xml:space="preserve">Im landwirtschaftlichen Sektor erstreckt sich der Großteil der Maßnahmen eher auf die Anbaumethoden oder den Einsatz von Betriebsmitteln. Die nachstehend beschriebenen Maßnahmen stützen sich auf die bestehenden Ansätze, etwa die Agrarumwelt- und Klimamaßnahme (AUKM) und die Cross-Compliance-Normen für landwirtschaftliche Beihilfen im Rahmen der Gemeinsamen Agrarpolitik (GAP), beispielsweise im Zusammenhang mit dem Programm für den nachhaltigen Umgang mit Stickstoff (PNUS). </w:t>
      </w:r>
    </w:p>
    <w:p w:rsidR="000B433A" w:rsidRPr="005F5D9D" w:rsidRDefault="000B433A" w:rsidP="00642BEA">
      <w:pPr>
        <w:pStyle w:val="Paragraphedeliste"/>
        <w:ind w:left="0"/>
        <w:rPr>
          <w:rFonts w:cs="Calibri"/>
          <w:szCs w:val="24"/>
          <w:lang w:val="de-DE"/>
        </w:rPr>
      </w:pPr>
      <w:r>
        <w:rPr>
          <w:rFonts w:cs="Calibri"/>
          <w:lang w:val="de-DE"/>
        </w:rPr>
        <w:t>Diese Maßnahmen werden auch zur Umsetzung von Anhang III der NEC-II-Richtlinie beitragen, die verbindliche und fakultative Maßnahmen zur gezielten Reduzierung der Ammoniakemissionen (NH</w:t>
      </w:r>
      <w:r w:rsidRPr="00264355">
        <w:rPr>
          <w:rFonts w:cs="Calibri"/>
          <w:szCs w:val="24"/>
          <w:vertAlign w:val="subscript"/>
          <w:lang w:val="de-DE"/>
        </w:rPr>
        <w:t>3</w:t>
      </w:r>
      <w:r>
        <w:rPr>
          <w:rFonts w:cs="Calibri"/>
          <w:lang w:val="de-DE"/>
        </w:rPr>
        <w:t xml:space="preserve">) aus der Landwirtschaft vorsieht. </w:t>
      </w:r>
    </w:p>
    <w:p w:rsidR="000B433A" w:rsidRPr="005F5D9D" w:rsidRDefault="000B433A" w:rsidP="00642BEA">
      <w:pPr>
        <w:pStyle w:val="Paragraphedeliste"/>
        <w:ind w:left="0"/>
        <w:rPr>
          <w:rFonts w:cs="Calibri"/>
          <w:szCs w:val="24"/>
          <w:lang w:val="de-DE"/>
        </w:rPr>
      </w:pPr>
    </w:p>
    <w:p w:rsidR="000B433A" w:rsidRDefault="000B433A" w:rsidP="00642BEA">
      <w:pPr>
        <w:pStyle w:val="Paragraphedeliste"/>
        <w:ind w:left="0"/>
        <w:rPr>
          <w:rFonts w:cs="Calibri"/>
          <w:szCs w:val="24"/>
          <w:lang w:val="de-DE"/>
        </w:rPr>
      </w:pPr>
      <w:r>
        <w:rPr>
          <w:rFonts w:cs="Calibri"/>
          <w:lang w:val="de-DE"/>
        </w:rPr>
        <w:t>Ammoniak ist ein Schadstoff, der zur Versauerung von Regen und Boden und zur Eutrophierung beiträgt. Er ist ebenfalls einer der beiden Vorläufer für die Bildung der hauptsächlichen Sekundärpartikel (Ammoniumnitrat), der andere ist NO</w:t>
      </w:r>
      <w:r w:rsidRPr="005F5D9D">
        <w:rPr>
          <w:rFonts w:cs="Calibri"/>
          <w:szCs w:val="24"/>
          <w:vertAlign w:val="subscript"/>
          <w:lang w:val="de-DE"/>
        </w:rPr>
        <w:t>x</w:t>
      </w:r>
      <w:r>
        <w:rPr>
          <w:rFonts w:cs="Calibri"/>
          <w:lang w:val="de-DE"/>
        </w:rPr>
        <w:t>. Die Reduzierung der Ammoniakemissionen leistet einen wesentlichen Beitrag zur Reduzierung der PM</w:t>
      </w:r>
      <w:r w:rsidRPr="005F5D9D">
        <w:rPr>
          <w:rFonts w:cs="Calibri"/>
          <w:szCs w:val="24"/>
          <w:vertAlign w:val="subscript"/>
          <w:lang w:val="de-DE"/>
        </w:rPr>
        <w:t>2</w:t>
      </w:r>
      <w:proofErr w:type="gramStart"/>
      <w:r w:rsidRPr="005F5D9D">
        <w:rPr>
          <w:rFonts w:cs="Calibri"/>
          <w:szCs w:val="24"/>
          <w:vertAlign w:val="subscript"/>
          <w:lang w:val="de-DE"/>
        </w:rPr>
        <w:t>,5</w:t>
      </w:r>
      <w:proofErr w:type="gramEnd"/>
      <w:r>
        <w:rPr>
          <w:rFonts w:cs="Calibri"/>
          <w:lang w:val="de-DE"/>
        </w:rPr>
        <w:t>-Emissionen.</w:t>
      </w:r>
    </w:p>
    <w:p w:rsidR="000B433A" w:rsidRDefault="000B433A" w:rsidP="00642BEA">
      <w:pPr>
        <w:pStyle w:val="Paragraphedeliste"/>
        <w:ind w:left="0"/>
        <w:rPr>
          <w:rFonts w:cs="Calibri"/>
          <w:szCs w:val="24"/>
          <w:lang w:val="de-DE"/>
        </w:rPr>
      </w:pPr>
    </w:p>
    <w:p w:rsidR="000B433A" w:rsidRPr="005F5D9D" w:rsidRDefault="000B433A" w:rsidP="00642BEA">
      <w:pPr>
        <w:pStyle w:val="Paragraphedeliste"/>
        <w:ind w:left="0"/>
        <w:rPr>
          <w:rFonts w:cs="Calibri"/>
          <w:szCs w:val="24"/>
          <w:lang w:val="de-DE"/>
        </w:rPr>
      </w:pPr>
      <w:r>
        <w:rPr>
          <w:rFonts w:cs="Calibri"/>
          <w:lang w:val="de-DE"/>
        </w:rPr>
        <w:t xml:space="preserve">Als Reaktion auf die NEC-II-Richtlinie wird ein Verhaltenskodex entwickelt, der eine Reihe zusätzlicher Maßnahmen enthält, um die Landwirte zu ermutigen, die </w:t>
      </w:r>
      <w:r w:rsidRPr="00660035">
        <w:rPr>
          <w:szCs w:val="24"/>
          <w:lang w:val="de-DE"/>
        </w:rPr>
        <w:t>NH</w:t>
      </w:r>
      <w:r>
        <w:rPr>
          <w:rFonts w:cs="Calibri"/>
          <w:lang w:val="de-DE"/>
        </w:rPr>
        <w:t>3-Emissionen zu begrenzen.</w:t>
      </w:r>
    </w:p>
    <w:p w:rsidR="000B433A" w:rsidRPr="00766360" w:rsidRDefault="000B433A" w:rsidP="00551F49">
      <w:pPr>
        <w:pStyle w:val="Titre3"/>
        <w:rPr>
          <w:rFonts w:ascii="Calibri" w:hAnsi="Calibri" w:cs="Calibri"/>
          <w:i/>
          <w:lang w:val="de-DE"/>
        </w:rPr>
      </w:pPr>
      <w:r>
        <w:rPr>
          <w:rFonts w:ascii="Calibri" w:hAnsi="Calibri" w:cs="Calibri"/>
          <w:i/>
          <w:lang w:val="de-DE"/>
        </w:rPr>
        <w:t>Reduzierung der NH</w:t>
      </w:r>
      <w:r w:rsidRPr="00766360">
        <w:rPr>
          <w:rFonts w:ascii="Calibri" w:hAnsi="Calibri" w:cs="Calibri"/>
          <w:i/>
          <w:vertAlign w:val="subscript"/>
          <w:lang w:val="de-DE"/>
        </w:rPr>
        <w:t>3</w:t>
      </w:r>
      <w:r>
        <w:rPr>
          <w:rFonts w:ascii="Calibri" w:hAnsi="Calibri" w:cs="Calibri"/>
          <w:i/>
          <w:lang w:val="de-DE"/>
        </w:rPr>
        <w:t>-Emissionen aus der Mineraldüngung</w:t>
      </w:r>
    </w:p>
    <w:p w:rsidR="000B433A" w:rsidRPr="005F5D9D" w:rsidRDefault="000B433A" w:rsidP="0075152D">
      <w:pPr>
        <w:rPr>
          <w:rFonts w:cs="Calibri"/>
          <w:szCs w:val="24"/>
          <w:lang w:val="de-DE"/>
        </w:rPr>
      </w:pPr>
      <w:r>
        <w:rPr>
          <w:rFonts w:cs="Calibri"/>
          <w:lang w:val="de-DE"/>
        </w:rPr>
        <w:t>Die Mineraldüngung ist für etwa 10 % der landwirtschaftlichen NH</w:t>
      </w:r>
      <w:r w:rsidRPr="005F5D9D">
        <w:rPr>
          <w:rFonts w:cs="Calibri"/>
          <w:szCs w:val="24"/>
          <w:vertAlign w:val="subscript"/>
          <w:lang w:val="de-DE"/>
        </w:rPr>
        <w:t>3</w:t>
      </w:r>
      <w:r>
        <w:rPr>
          <w:rFonts w:cs="Calibri"/>
          <w:lang w:val="de-DE"/>
        </w:rPr>
        <w:t>-Emissionen verantwortlich. Einige Formen von Mineraldüngern sind emissionsstärker als andere und setzen daher mehr oder weniger ammoniakhaltigen Stickstoff in die Luft frei.</w:t>
      </w:r>
    </w:p>
    <w:p w:rsidR="000B433A" w:rsidRPr="005F5D9D" w:rsidRDefault="000B433A" w:rsidP="0075152D">
      <w:pPr>
        <w:rPr>
          <w:rFonts w:cs="Calibri"/>
          <w:szCs w:val="24"/>
          <w:lang w:val="de-DE"/>
        </w:rPr>
      </w:pPr>
      <w:r>
        <w:rPr>
          <w:rFonts w:cs="Calibri"/>
          <w:lang w:val="de-DE"/>
        </w:rPr>
        <w:t>Um das Niveau dieser Emissionen zu senken, kann man entweder die verwendeten Stoffe modifizieren (Düngemittel in weniger emittierender Form oder Harnstoff mit Harnstoff-Hemmern) oder die Praktiken verbessern, indem man die Zeit für das Eingraben nach Möglichkeit verkürzt oder die eingebrachten Mengen reduziert, zum Beispiel durch landwirtschaftliche Umweltverfahren.</w:t>
      </w:r>
    </w:p>
    <w:p w:rsidR="000B433A" w:rsidRPr="005F5D9D" w:rsidRDefault="000B433A" w:rsidP="0075152D">
      <w:pPr>
        <w:rPr>
          <w:rFonts w:cs="Calibri"/>
          <w:szCs w:val="24"/>
          <w:lang w:val="de-DE"/>
        </w:rPr>
      </w:pPr>
      <w:r>
        <w:rPr>
          <w:rFonts w:cs="Calibri"/>
          <w:lang w:val="de-DE"/>
        </w:rPr>
        <w:t>Bei einigen Kulturen, wie z. B. Zuckerrüben, besteht die Maßnahme darin, das Eingraben innerhalb von 24 Stunden (oder die lokale Anwendung beim Pflanzen) zu fördern, ähnlich wie in der Praxis bei schnell wirkenden organischen Düngemitteln. Bei bestehenden Kulturen ist dies jedoch nicht möglich.</w:t>
      </w:r>
    </w:p>
    <w:p w:rsidR="000B433A" w:rsidRPr="005F5D9D" w:rsidRDefault="000B433A" w:rsidP="0075152D">
      <w:pPr>
        <w:rPr>
          <w:rFonts w:cs="Calibri"/>
          <w:szCs w:val="24"/>
          <w:lang w:val="de-DE"/>
        </w:rPr>
      </w:pPr>
      <w:r>
        <w:rPr>
          <w:rFonts w:cs="Calibri"/>
          <w:lang w:val="de-DE"/>
        </w:rPr>
        <w:t>Schließlich ist es durch den verstärkten Einsatz von Agrarumweltmaßnahmen möglich, die düngemittelfreien Flächen (biologisch wertvolles Grünland, neu gestaltete Parzellenstreifen usw.) zu vergrößern und so dazu beizutragen, die Menge der in die Region eingebrachten Düngemittel zu reduzieren.</w:t>
      </w:r>
    </w:p>
    <w:p w:rsidR="000B433A" w:rsidRPr="00766360" w:rsidRDefault="000B433A" w:rsidP="00CE6A82">
      <w:pPr>
        <w:pStyle w:val="Titre3"/>
        <w:rPr>
          <w:rFonts w:ascii="Calibri" w:hAnsi="Calibri" w:cs="Calibri"/>
          <w:i/>
          <w:lang w:val="de-DE"/>
        </w:rPr>
      </w:pPr>
      <w:r>
        <w:rPr>
          <w:rFonts w:ascii="Calibri" w:hAnsi="Calibri" w:cs="Calibri"/>
          <w:i/>
          <w:lang w:val="de-DE"/>
        </w:rPr>
        <w:t>Im Falle frühjährlicher oder saisonaler grenzwertüberschreitender Luftverschmutzung die Verdunstung von Ammoniak begrenzen, die sich aus der frühjährlichen Ausbringung von Stickstoffdüngemitteln auf Feldern ergibt.</w:t>
      </w:r>
    </w:p>
    <w:p w:rsidR="000B433A" w:rsidRDefault="000B433A" w:rsidP="0075152D">
      <w:pPr>
        <w:pStyle w:val="Paragraphedeliste"/>
        <w:ind w:left="0"/>
        <w:rPr>
          <w:rFonts w:cs="Calibri"/>
          <w:szCs w:val="24"/>
          <w:lang w:val="de-DE"/>
        </w:rPr>
      </w:pPr>
      <w:r>
        <w:rPr>
          <w:rFonts w:cs="Calibri"/>
          <w:lang w:val="de-DE"/>
        </w:rPr>
        <w:t>Ammoniumnitratpartikel sind die Hauptursache für die frühjährliche grenzwertüberschreitende Luftverschmutzung (insbesondere im März). Ihre hohe Konzentration im März ist das Ergebnis einer Kombination verschiedener Elemente:</w:t>
      </w:r>
    </w:p>
    <w:p w:rsidR="000B433A" w:rsidRPr="005F5D9D" w:rsidRDefault="000B433A" w:rsidP="0075152D">
      <w:pPr>
        <w:pStyle w:val="Paragraphedeliste"/>
        <w:ind w:left="0"/>
        <w:rPr>
          <w:rFonts w:cs="Calibri"/>
          <w:szCs w:val="24"/>
          <w:lang w:val="de-DE"/>
        </w:rPr>
      </w:pPr>
    </w:p>
    <w:p w:rsidR="000B433A" w:rsidRDefault="000B433A">
      <w:pPr>
        <w:pStyle w:val="Paragraphedeliste"/>
        <w:numPr>
          <w:ilvl w:val="0"/>
          <w:numId w:val="25"/>
        </w:numPr>
        <w:spacing w:after="200"/>
        <w:ind w:left="709"/>
        <w:rPr>
          <w:rFonts w:cs="Calibri"/>
          <w:szCs w:val="24"/>
          <w:lang w:val="de-DE"/>
        </w:rPr>
      </w:pPr>
      <w:r>
        <w:rPr>
          <w:rFonts w:cs="Calibri"/>
          <w:lang w:val="de-DE"/>
        </w:rPr>
        <w:t xml:space="preserve">sehr hoher Einsatz von Stickstoffdüngemitteln nach Perioden, in denen die meisten organischen und mineralischen Düngemittel nicht angewendet werden dürfen; </w:t>
      </w:r>
    </w:p>
    <w:p w:rsidR="000B433A" w:rsidRDefault="000B433A">
      <w:pPr>
        <w:pStyle w:val="Paragraphedeliste"/>
        <w:numPr>
          <w:ilvl w:val="0"/>
          <w:numId w:val="25"/>
        </w:numPr>
        <w:spacing w:after="200"/>
        <w:ind w:left="709"/>
        <w:rPr>
          <w:rFonts w:cs="Calibri"/>
          <w:szCs w:val="24"/>
          <w:lang w:val="de-DE"/>
        </w:rPr>
      </w:pPr>
      <w:r>
        <w:rPr>
          <w:rFonts w:cs="Calibri"/>
          <w:lang w:val="de-DE"/>
        </w:rPr>
        <w:t xml:space="preserve">Wetterbedingungen, die die Bildung dieser Partikel begünstigen. </w:t>
      </w:r>
    </w:p>
    <w:p w:rsidR="000B433A" w:rsidRPr="005F5D9D" w:rsidRDefault="000B433A" w:rsidP="0075152D">
      <w:pPr>
        <w:pStyle w:val="Paragraphedeliste"/>
        <w:ind w:left="0"/>
        <w:rPr>
          <w:rFonts w:cs="Calibri"/>
          <w:szCs w:val="24"/>
          <w:lang w:val="de-DE"/>
        </w:rPr>
      </w:pPr>
    </w:p>
    <w:p w:rsidR="000B433A" w:rsidRPr="005F5D9D" w:rsidRDefault="000B433A" w:rsidP="0075152D">
      <w:pPr>
        <w:pStyle w:val="Paragraphedeliste"/>
        <w:ind w:left="0"/>
        <w:rPr>
          <w:rFonts w:cs="Calibri"/>
          <w:szCs w:val="24"/>
          <w:lang w:val="de-DE"/>
        </w:rPr>
      </w:pPr>
      <w:r>
        <w:rPr>
          <w:rFonts w:cs="Calibri"/>
          <w:lang w:val="de-DE"/>
        </w:rPr>
        <w:t>Die Maßnahme besteht darin, die Landwirte zu ermutigen, die Ausbringung von Stickstoffdüngemitteln im Falle einer frühjährlicher grenzwertüberschreitender Luftverschmutzung zu begrenzen oder alternativ die Eingrabung innerhalb von 4 Stunden von schnell wirkenden organischen Düngemitteln (Gülle, Weichdünger, Geflügelabwässer, Sickersaft, im Gegensatz zu langsam wirkenden organischen Düngemitteln wie Rinder- und Schweinegülle sowie Mistkompost) zu verlangen, sowie Mineraldünger, die im Monat März zu einer erheblichen Verflüchtigung von Ammoniak führen können.</w:t>
      </w:r>
    </w:p>
    <w:p w:rsidR="000B433A" w:rsidRPr="00766360" w:rsidRDefault="000B433A" w:rsidP="00CE6A82">
      <w:pPr>
        <w:pStyle w:val="Titre3"/>
        <w:rPr>
          <w:rFonts w:ascii="Calibri" w:hAnsi="Calibri" w:cs="Calibri"/>
          <w:i/>
          <w:lang w:val="de-DE"/>
        </w:rPr>
      </w:pPr>
      <w:r>
        <w:rPr>
          <w:rFonts w:ascii="Calibri" w:hAnsi="Calibri" w:cs="Calibri"/>
          <w:i/>
          <w:lang w:val="de-DE"/>
        </w:rPr>
        <w:t>Entwicklung von „emissionsarmen“ Gebäuden für große neue oder grundlegend renovierte Schweine- und Geflügelfarmen.</w:t>
      </w:r>
    </w:p>
    <w:p w:rsidR="000B433A" w:rsidRPr="00EE1A79" w:rsidRDefault="000B433A" w:rsidP="00551F49">
      <w:pPr>
        <w:rPr>
          <w:szCs w:val="24"/>
          <w:lang w:val="de-DE"/>
        </w:rPr>
      </w:pPr>
      <w:r w:rsidRPr="00D07F58">
        <w:rPr>
          <w:lang w:val="de-DE"/>
        </w:rPr>
        <w:t>Im Jahr 2005 entfiel ein Drittel der NH</w:t>
      </w:r>
      <w:r w:rsidRPr="00EE1A79">
        <w:rPr>
          <w:szCs w:val="24"/>
          <w:vertAlign w:val="subscript"/>
          <w:lang w:val="de-DE"/>
        </w:rPr>
        <w:t>3</w:t>
      </w:r>
      <w:r w:rsidRPr="00D07F58">
        <w:rPr>
          <w:lang w:val="de-DE"/>
        </w:rPr>
        <w:t>-Emissionen auf Nutzgebäude. Diese Emissionen stammen von tierischen Ausscheidungen in Gebäuden, Lagerräumen, bei der Ausbringung von Jauche auf den Feldern und bei der Beweidung.</w:t>
      </w:r>
    </w:p>
    <w:p w:rsidR="000B433A" w:rsidRPr="00EE1A79" w:rsidRDefault="000B433A" w:rsidP="00551F49">
      <w:pPr>
        <w:rPr>
          <w:szCs w:val="24"/>
          <w:lang w:val="de-DE"/>
        </w:rPr>
      </w:pPr>
      <w:r w:rsidRPr="00D07F58">
        <w:rPr>
          <w:lang w:val="de-DE"/>
        </w:rPr>
        <w:t>Durch die Abscheidung von Ammoniak aus der Gebäudeluft durch Filtrations-, Lüftungs- und Luftwaschanlagen kann das Austreten von Ammoniak in die Atmosphäre reduziert werden. Diese Systeme reduzieren auch die damit verbundenen Feinstaubemissionen.</w:t>
      </w:r>
    </w:p>
    <w:p w:rsidR="000B433A" w:rsidRDefault="000B433A" w:rsidP="00551F49">
      <w:pPr>
        <w:rPr>
          <w:szCs w:val="24"/>
          <w:lang w:val="de-DE"/>
        </w:rPr>
      </w:pPr>
      <w:r w:rsidRPr="00D07F58">
        <w:rPr>
          <w:lang w:val="de-DE"/>
        </w:rPr>
        <w:t>Die Industrie-Emissionsrichtlinie (IED / Industrial Emissions Directive) 2010/75/EG umfasst nun auch die intensive Schweine- und Geflügelhaltung. In diesem Zusammenhang müssen die Emissionen kontrolliert und die Umweltgenehmigungen überprüft werden.</w:t>
      </w:r>
    </w:p>
    <w:p w:rsidR="000B433A" w:rsidRPr="00EE1A79" w:rsidRDefault="000B433A" w:rsidP="00551F49">
      <w:pPr>
        <w:rPr>
          <w:szCs w:val="24"/>
          <w:lang w:val="de-DE"/>
        </w:rPr>
      </w:pPr>
      <w:r w:rsidRPr="00D07F58">
        <w:rPr>
          <w:lang w:val="de-DE"/>
        </w:rPr>
        <w:t xml:space="preserve">Es sollte ein Ansatz erwogen werden, der sich an die verschiedenen Betriebe entsprechend ihrer jeweiligen Größe richtet und sich Schritt für Schritt weiterentwickelt. </w:t>
      </w:r>
      <w:bookmarkStart w:id="42" w:name="_Hlk4147335"/>
      <w:r w:rsidRPr="00D07F58">
        <w:rPr>
          <w:lang w:val="de-DE"/>
        </w:rPr>
        <w:t>Die Maßnahme richtet sich daher in erster Linie an „Großbetriebe“, d. h. Betriebe, die über den in der FDI-Richtlinie definierten Schwellenwerten liegen: Betriebe mit mehr als 2000 Plätzen für Mastschweine und/oder +750 Plätzen für Sauen und/oder mehr als 40.000 Plätzen für Geflügel.</w:t>
      </w:r>
      <w:bookmarkEnd w:id="42"/>
    </w:p>
    <w:p w:rsidR="000B433A" w:rsidRPr="00EE1A79" w:rsidRDefault="000B433A" w:rsidP="00551F49">
      <w:pPr>
        <w:rPr>
          <w:szCs w:val="24"/>
          <w:lang w:val="de-DE"/>
        </w:rPr>
      </w:pPr>
      <w:r w:rsidRPr="00D07F58">
        <w:rPr>
          <w:lang w:val="de-DE"/>
        </w:rPr>
        <w:t>Die Minderungstechnik kann frei gewählt werden (chemische Behandlung, biologischer Filter etc.), um nicht einerseits eine bestimmte Technik und die damit verbundenen Kosten aufzuzwingen und andererseits Raum für technische Innovationen auf diesem Gebiet zu lassen.</w:t>
      </w:r>
    </w:p>
    <w:p w:rsidR="000B433A" w:rsidRPr="00766360" w:rsidRDefault="000B433A" w:rsidP="00CE6A82">
      <w:pPr>
        <w:pStyle w:val="Titre3"/>
        <w:rPr>
          <w:rFonts w:ascii="Calibri" w:hAnsi="Calibri" w:cs="Calibri"/>
          <w:i/>
          <w:lang w:val="de-DE"/>
        </w:rPr>
      </w:pPr>
      <w:r>
        <w:rPr>
          <w:rFonts w:ascii="Calibri" w:hAnsi="Calibri" w:cs="Calibri"/>
          <w:i/>
          <w:lang w:val="de-DE"/>
        </w:rPr>
        <w:t>Die Gülleausbringungstechniken zur Begrenzung der N-Emissionen und -Verluste anpassen.</w:t>
      </w:r>
    </w:p>
    <w:p w:rsidR="000B433A" w:rsidRPr="005F5D9D" w:rsidRDefault="000B433A" w:rsidP="0075152D">
      <w:pPr>
        <w:rPr>
          <w:rFonts w:cs="Calibri"/>
          <w:szCs w:val="24"/>
          <w:lang w:val="de-DE"/>
        </w:rPr>
      </w:pPr>
      <w:r>
        <w:rPr>
          <w:rFonts w:cs="Calibri"/>
          <w:lang w:val="de-DE"/>
        </w:rPr>
        <w:t>Nach der Lagerung wird die Gülle auf die Felder ausgebracht. Wenn die Gülle nicht schnell durch geeignete Verfahren in den Boden eingegraben/untergemischt wird, kann sie immer noch erhebliche Mengen an Ammoniak abgeben (knapp ein Viertel der gesamten NH</w:t>
      </w:r>
      <w:r w:rsidRPr="005F5D9D">
        <w:rPr>
          <w:rFonts w:cs="Calibri"/>
          <w:szCs w:val="24"/>
          <w:vertAlign w:val="subscript"/>
          <w:lang w:val="de-DE"/>
        </w:rPr>
        <w:t>3</w:t>
      </w:r>
      <w:r>
        <w:rPr>
          <w:rFonts w:cs="Calibri"/>
          <w:lang w:val="de-DE"/>
        </w:rPr>
        <w:t>-Emissionen).</w:t>
      </w:r>
    </w:p>
    <w:p w:rsidR="000B433A" w:rsidRPr="005F5D9D" w:rsidRDefault="000B433A" w:rsidP="0075152D">
      <w:pPr>
        <w:rPr>
          <w:rFonts w:cs="Calibri"/>
          <w:szCs w:val="24"/>
          <w:lang w:val="de-DE"/>
        </w:rPr>
      </w:pPr>
      <w:r>
        <w:rPr>
          <w:rFonts w:cs="Calibri"/>
          <w:lang w:val="de-DE"/>
        </w:rPr>
        <w:t>Durch eine Untermischung der Gülle innerhalb von 24 Stunden nach der Ausbringung können die Emissionen um 30 % reduziert werden. Und der Minderungsfaktor steigt, wenn die Zeit bis zur Untermischung weiter verkürzt wird.</w:t>
      </w:r>
    </w:p>
    <w:p w:rsidR="000B433A" w:rsidRPr="005F5D9D" w:rsidRDefault="000B433A" w:rsidP="0075152D">
      <w:pPr>
        <w:rPr>
          <w:rFonts w:cs="Calibri"/>
          <w:szCs w:val="24"/>
          <w:lang w:val="de-DE"/>
        </w:rPr>
      </w:pPr>
      <w:r>
        <w:rPr>
          <w:rFonts w:cs="Calibri"/>
          <w:lang w:val="de-DE"/>
        </w:rPr>
        <w:t>Die Ausbringung der Gülle muss mit Techniken erfolgen, die auf die Art der Oberfläche angepasst sind: Grünland oder Kultur. Da je näher die Gülle über dem Boden ausgebracht wird (oder in den Boden eingearbeitet wird), desto geringer sind die Ammoniakemissionen (und damit die Stickstoffverluste in die Atmosphäre), weshalb bodennahe Techniken zu bevorzugen sind, die Verluste durch Verflüchtigung begrenzen, und die Gülle so schnell wie möglich nach der Ausbringung in den Boden eingearbeitet werden sollte.</w:t>
      </w:r>
    </w:p>
    <w:p w:rsidR="000B433A" w:rsidRPr="00766360" w:rsidRDefault="000B433A" w:rsidP="00D5118D">
      <w:pPr>
        <w:pStyle w:val="Titre2"/>
        <w:numPr>
          <w:ilvl w:val="1"/>
          <w:numId w:val="1"/>
        </w:numPr>
        <w:ind w:left="851" w:hanging="851"/>
        <w:rPr>
          <w:rFonts w:ascii="Calibri" w:hAnsi="Calibri" w:cs="Calibri"/>
          <w:color w:val="1F497D"/>
          <w:sz w:val="28"/>
          <w:szCs w:val="28"/>
          <w:lang w:val="de-DE"/>
        </w:rPr>
      </w:pPr>
      <w:bookmarkStart w:id="43" w:name="_Toc7802456"/>
      <w:bookmarkStart w:id="44" w:name="_Hlk4136308"/>
      <w:r>
        <w:rPr>
          <w:rFonts w:ascii="Calibri" w:hAnsi="Calibri" w:cs="Calibri"/>
          <w:color w:val="1F497D"/>
          <w:sz w:val="28"/>
          <w:lang w:val="de-DE"/>
        </w:rPr>
        <w:t>Abfallwirtschaft</w:t>
      </w:r>
      <w:bookmarkEnd w:id="43"/>
    </w:p>
    <w:bookmarkEnd w:id="44"/>
    <w:p w:rsidR="000B433A" w:rsidRPr="00766360" w:rsidRDefault="000B433A" w:rsidP="00CE6A82">
      <w:pPr>
        <w:pStyle w:val="Titre3"/>
        <w:rPr>
          <w:rFonts w:ascii="Calibri" w:hAnsi="Calibri" w:cs="Calibri"/>
          <w:i/>
          <w:lang w:val="de-DE"/>
        </w:rPr>
      </w:pPr>
      <w:r>
        <w:rPr>
          <w:rFonts w:ascii="Calibri" w:hAnsi="Calibri" w:cs="Calibri"/>
          <w:i/>
          <w:lang w:val="de-DE"/>
        </w:rPr>
        <w:t>Beschränkung der Verbrennung von grünem Hausmüll und der Pflege von Parks und Gärten durch Fachleute sowie von landwirtschaftlichen Abfällen</w:t>
      </w:r>
    </w:p>
    <w:p w:rsidR="000B433A" w:rsidRPr="005F5D9D" w:rsidRDefault="000B433A" w:rsidP="00E015DC">
      <w:pPr>
        <w:pStyle w:val="Sansinterligne"/>
        <w:rPr>
          <w:rFonts w:ascii="Calibri" w:hAnsi="Calibri" w:cs="Calibri"/>
          <w:sz w:val="24"/>
          <w:szCs w:val="24"/>
          <w:lang w:val="de-DE"/>
        </w:rPr>
      </w:pPr>
      <w:r>
        <w:rPr>
          <w:rFonts w:ascii="Calibri" w:hAnsi="Calibri" w:cs="Calibri"/>
          <w:sz w:val="24"/>
          <w:lang w:val="de-DE"/>
        </w:rPr>
        <w:t xml:space="preserve">Die offene Verbrennung von Biomasse ist auch eine wichtige Quelle für Feinstaub. </w:t>
      </w:r>
    </w:p>
    <w:p w:rsidR="000B433A" w:rsidRPr="005F5D9D" w:rsidRDefault="000B433A" w:rsidP="00E015DC">
      <w:pPr>
        <w:pStyle w:val="Sansinterligne"/>
        <w:rPr>
          <w:rFonts w:ascii="Calibri" w:hAnsi="Calibri" w:cs="Calibri"/>
          <w:sz w:val="24"/>
          <w:szCs w:val="24"/>
          <w:lang w:val="de-DE"/>
        </w:rPr>
      </w:pPr>
      <w:r>
        <w:rPr>
          <w:rFonts w:ascii="Calibri" w:hAnsi="Calibri" w:cs="Calibri"/>
          <w:sz w:val="24"/>
          <w:lang w:val="de-DE"/>
        </w:rPr>
        <w:t xml:space="preserve">Die Verbrennung von pflanzlichen Abfällen im Freien wird dauerhaft verboten werden. Dazu gehören Grünabfälle wie Äste, Heckenschnitt, Gartenabfälle, Stroh oder Ernterückstände...: </w:t>
      </w:r>
    </w:p>
    <w:p w:rsidR="000B433A" w:rsidRDefault="000B433A">
      <w:pPr>
        <w:pStyle w:val="Sansinterligne"/>
        <w:numPr>
          <w:ilvl w:val="0"/>
          <w:numId w:val="18"/>
        </w:numPr>
        <w:rPr>
          <w:rFonts w:ascii="Calibri" w:hAnsi="Calibri" w:cs="Calibri"/>
          <w:sz w:val="24"/>
          <w:szCs w:val="24"/>
          <w:lang w:val="de-DE"/>
        </w:rPr>
      </w:pPr>
      <w:r>
        <w:rPr>
          <w:rFonts w:ascii="Calibri" w:hAnsi="Calibri" w:cs="Calibri"/>
          <w:sz w:val="24"/>
          <w:lang w:val="de-DE"/>
        </w:rPr>
        <w:t>aus Haushalten, einschließlich der Verbrennung in Gartenverbrennungsanlagen;</w:t>
      </w:r>
    </w:p>
    <w:p w:rsidR="000B433A" w:rsidRDefault="000B433A">
      <w:pPr>
        <w:pStyle w:val="Sansinterligne"/>
        <w:numPr>
          <w:ilvl w:val="0"/>
          <w:numId w:val="18"/>
        </w:numPr>
        <w:rPr>
          <w:rFonts w:ascii="Calibri" w:hAnsi="Calibri" w:cs="Calibri"/>
          <w:sz w:val="24"/>
          <w:szCs w:val="24"/>
          <w:lang w:val="de-DE"/>
        </w:rPr>
      </w:pPr>
      <w:r>
        <w:rPr>
          <w:rFonts w:ascii="Calibri" w:hAnsi="Calibri" w:cs="Calibri"/>
          <w:sz w:val="24"/>
          <w:lang w:val="de-DE"/>
        </w:rPr>
        <w:t>von Professionellen in Parks und Gärten;</w:t>
      </w:r>
    </w:p>
    <w:p w:rsidR="000B433A" w:rsidRDefault="000B433A">
      <w:pPr>
        <w:pStyle w:val="Sansinterligne"/>
        <w:numPr>
          <w:ilvl w:val="0"/>
          <w:numId w:val="18"/>
        </w:numPr>
        <w:rPr>
          <w:rFonts w:ascii="Calibri" w:hAnsi="Calibri" w:cs="Calibri"/>
          <w:sz w:val="24"/>
          <w:szCs w:val="24"/>
          <w:lang w:val="de-DE"/>
        </w:rPr>
      </w:pPr>
      <w:r>
        <w:rPr>
          <w:rFonts w:ascii="Calibri" w:hAnsi="Calibri" w:cs="Calibri"/>
          <w:sz w:val="24"/>
          <w:lang w:val="de-DE"/>
        </w:rPr>
        <w:t xml:space="preserve">landwirtschaftlichen Ursprungs; </w:t>
      </w:r>
    </w:p>
    <w:p w:rsidR="000B433A" w:rsidRDefault="000B433A">
      <w:pPr>
        <w:pStyle w:val="Sansinterligne"/>
        <w:numPr>
          <w:ilvl w:val="0"/>
          <w:numId w:val="18"/>
        </w:numPr>
        <w:rPr>
          <w:rFonts w:ascii="Calibri" w:hAnsi="Calibri" w:cs="Calibri"/>
          <w:sz w:val="24"/>
          <w:szCs w:val="24"/>
          <w:lang w:val="de-DE"/>
        </w:rPr>
      </w:pPr>
      <w:r>
        <w:rPr>
          <w:rFonts w:ascii="Calibri" w:hAnsi="Calibri" w:cs="Calibri"/>
          <w:sz w:val="24"/>
          <w:lang w:val="de-DE"/>
        </w:rPr>
        <w:t>forstwirtschaftlichen Ursprungs.</w:t>
      </w:r>
    </w:p>
    <w:p w:rsidR="000B433A" w:rsidRPr="005F5D9D" w:rsidRDefault="000B433A" w:rsidP="00E015DC">
      <w:pPr>
        <w:pStyle w:val="Sansinterligne"/>
        <w:rPr>
          <w:rFonts w:ascii="Calibri" w:hAnsi="Calibri" w:cs="Calibri"/>
          <w:sz w:val="24"/>
          <w:szCs w:val="24"/>
          <w:lang w:val="de-DE"/>
        </w:rPr>
      </w:pPr>
    </w:p>
    <w:p w:rsidR="000B433A" w:rsidRPr="005F5D9D" w:rsidRDefault="000B433A" w:rsidP="00E015DC">
      <w:pPr>
        <w:pStyle w:val="Sansinterligne"/>
        <w:rPr>
          <w:rFonts w:ascii="Calibri" w:hAnsi="Calibri" w:cs="Calibri"/>
          <w:sz w:val="24"/>
          <w:szCs w:val="24"/>
          <w:lang w:val="de-DE"/>
        </w:rPr>
      </w:pPr>
      <w:r>
        <w:rPr>
          <w:rFonts w:ascii="Calibri" w:hAnsi="Calibri" w:cs="Calibri"/>
          <w:sz w:val="24"/>
          <w:lang w:val="de-DE"/>
        </w:rPr>
        <w:t xml:space="preserve">Die Verwendung dieser Abfälle zur Kompostierung oder zum Mulchen wird empfohlen. </w:t>
      </w:r>
    </w:p>
    <w:p w:rsidR="000B433A" w:rsidRPr="005F5D9D" w:rsidRDefault="000B433A" w:rsidP="00E015DC">
      <w:pPr>
        <w:pStyle w:val="Sansinterligne"/>
        <w:rPr>
          <w:rFonts w:ascii="Calibri" w:hAnsi="Calibri" w:cs="Calibri"/>
          <w:sz w:val="24"/>
          <w:szCs w:val="24"/>
          <w:lang w:val="de-DE"/>
        </w:rPr>
      </w:pPr>
      <w:r>
        <w:rPr>
          <w:rFonts w:ascii="Calibri" w:hAnsi="Calibri" w:cs="Calibri"/>
          <w:sz w:val="24"/>
          <w:lang w:val="de-DE"/>
        </w:rPr>
        <w:t>Abgesehen von der Deponierung in Containerparks durch Privatpersonen oder der Mülltrennung müssen auch Verwertungssysteme für nicht genutzte Grünabfalle eingerichtet werden.</w:t>
      </w:r>
    </w:p>
    <w:p w:rsidR="000B433A" w:rsidRPr="005F5D9D" w:rsidRDefault="000B433A" w:rsidP="00E015DC">
      <w:pPr>
        <w:pStyle w:val="Sansinterligne"/>
        <w:rPr>
          <w:rFonts w:ascii="Calibri" w:hAnsi="Calibri" w:cs="Calibri"/>
          <w:sz w:val="24"/>
          <w:szCs w:val="24"/>
          <w:lang w:val="de-DE"/>
        </w:rPr>
      </w:pPr>
    </w:p>
    <w:p w:rsidR="000B433A" w:rsidRDefault="000B433A" w:rsidP="00E015DC">
      <w:pPr>
        <w:pStyle w:val="Sansinterligne"/>
        <w:rPr>
          <w:rFonts w:ascii="Calibri" w:hAnsi="Calibri" w:cs="Calibri"/>
          <w:sz w:val="24"/>
          <w:szCs w:val="24"/>
          <w:lang w:val="de-DE"/>
        </w:rPr>
      </w:pPr>
      <w:r>
        <w:rPr>
          <w:rFonts w:ascii="Calibri" w:hAnsi="Calibri" w:cs="Calibri"/>
          <w:sz w:val="24"/>
          <w:lang w:val="de-DE"/>
        </w:rPr>
        <w:t>Dieses Verbot kann Gegenstand von Ausnahmen sein, insbesondere aus pflanzenschutzrechtlichen Gründen, zur Erhaltung der biologischen Vielfalt oder im Rahmen von Präventionsprogrammen zur Vermeidung von Waldbränden.</w:t>
      </w:r>
    </w:p>
    <w:p w:rsidR="000B433A" w:rsidRDefault="000B433A" w:rsidP="00E015DC">
      <w:pPr>
        <w:pStyle w:val="Sansinterligne"/>
        <w:rPr>
          <w:rFonts w:ascii="Calibri" w:hAnsi="Calibri" w:cs="Calibri"/>
          <w:sz w:val="24"/>
          <w:szCs w:val="24"/>
          <w:lang w:val="de-DE"/>
        </w:rPr>
      </w:pPr>
    </w:p>
    <w:p w:rsidR="000B433A" w:rsidRPr="005F5D9D" w:rsidRDefault="000B433A" w:rsidP="00D5118D">
      <w:pPr>
        <w:pStyle w:val="Sansinterligne"/>
        <w:rPr>
          <w:rFonts w:cs="Calibri"/>
          <w:b/>
          <w:bCs/>
          <w:sz w:val="28"/>
          <w:szCs w:val="28"/>
          <w:lang w:val="de-DE"/>
        </w:rPr>
      </w:pPr>
      <w:r>
        <w:rPr>
          <w:rFonts w:ascii="Calibri" w:hAnsi="Calibri" w:cs="Calibri"/>
          <w:sz w:val="24"/>
          <w:lang w:val="de-DE"/>
        </w:rPr>
        <w:t xml:space="preserve">Zusätzlich und parallel dazu wird die Verwertung von Grünabfällen im Rahmen von Biomasse und Biomethanisierung analysiert. </w:t>
      </w:r>
    </w:p>
    <w:p w:rsidR="000B433A" w:rsidRPr="00384A47" w:rsidRDefault="000B433A" w:rsidP="00D5118D">
      <w:pPr>
        <w:pStyle w:val="Titre2"/>
        <w:numPr>
          <w:ilvl w:val="1"/>
          <w:numId w:val="1"/>
        </w:numPr>
        <w:ind w:left="851" w:hanging="851"/>
        <w:rPr>
          <w:rFonts w:ascii="Calibri" w:hAnsi="Calibri" w:cs="Calibri"/>
          <w:color w:val="1F497D"/>
          <w:sz w:val="28"/>
          <w:szCs w:val="28"/>
          <w:lang w:val="de-DE"/>
        </w:rPr>
      </w:pPr>
      <w:bookmarkStart w:id="45" w:name="_Toc7802457"/>
      <w:r>
        <w:rPr>
          <w:rFonts w:ascii="Calibri" w:hAnsi="Calibri" w:cs="Calibri"/>
          <w:color w:val="1F497D"/>
          <w:sz w:val="28"/>
          <w:lang w:val="de-DE"/>
        </w:rPr>
        <w:t>Spezifische Politiken und Maßnahmen für den Energiebinnenmarkt</w:t>
      </w:r>
      <w:bookmarkEnd w:id="45"/>
    </w:p>
    <w:p w:rsidR="000B433A" w:rsidRPr="00197E1F" w:rsidRDefault="000B433A" w:rsidP="00197E1F">
      <w:pPr>
        <w:pStyle w:val="Corps"/>
        <w:pBdr>
          <w:top w:val="none" w:sz="0" w:space="0" w:color="auto"/>
          <w:left w:val="none" w:sz="0" w:space="0" w:color="auto"/>
          <w:bottom w:val="none" w:sz="0" w:space="0" w:color="auto"/>
          <w:right w:val="none" w:sz="0" w:space="0" w:color="auto"/>
          <w:bar w:val="none" w:sz="0" w:color="auto"/>
        </w:pBdr>
        <w:rPr>
          <w:sz w:val="24"/>
          <w:lang w:val="de-DE"/>
        </w:rPr>
      </w:pPr>
      <w:r>
        <w:rPr>
          <w:sz w:val="24"/>
          <w:lang w:val="de-DE"/>
        </w:rPr>
        <w:t>Angemessenheit des elektrischen Systems und Erhöhung der lokalen Flexibilität des Energiesystems, um insbesondere die Maximierung der Aufnahmekapazität der erneuerbaren Energien zu ermöglichen</w:t>
      </w:r>
    </w:p>
    <w:p w:rsidR="000B433A" w:rsidRPr="00766360" w:rsidRDefault="000B433A" w:rsidP="00195F39">
      <w:pPr>
        <w:pStyle w:val="Titre3"/>
        <w:rPr>
          <w:rStyle w:val="Emphaseple"/>
          <w:rFonts w:ascii="Calibri" w:hAnsi="Calibri" w:cs="Calibri"/>
          <w:iCs/>
          <w:color w:val="4F81BD"/>
          <w:szCs w:val="24"/>
          <w:lang w:val="de-DE"/>
        </w:rPr>
      </w:pPr>
      <w:r>
        <w:rPr>
          <w:rStyle w:val="Emphaseple"/>
          <w:rFonts w:ascii="Calibri" w:hAnsi="Calibri" w:cs="Calibri"/>
          <w:iCs/>
          <w:color w:val="4F81BD"/>
          <w:lang w:val="de-DE"/>
        </w:rPr>
        <w:t>Maßnahmen im Zusammenhang mit dem Flexibilitätsmarkt</w:t>
      </w:r>
    </w:p>
    <w:p w:rsidR="000B433A" w:rsidRPr="00766360" w:rsidRDefault="000B433A" w:rsidP="00195F39">
      <w:pPr>
        <w:rPr>
          <w:rFonts w:cs="Calibri"/>
          <w:szCs w:val="24"/>
          <w:lang w:val="de-DE"/>
        </w:rPr>
      </w:pPr>
      <w:r>
        <w:rPr>
          <w:rFonts w:cs="Calibri"/>
          <w:lang w:val="de-DE"/>
        </w:rPr>
        <w:t>Die potenziellen Gewinne aus der Nutzung der Flexibilität durch die VNB variieren je nach Netz und den Hypothesen in den verschiedenen Studien. Insgesamt sind diese Vorteile im Zusammenhang mit der Nutzung der Flexibilität durch die VNB zweierlei: Reduzierung der Netzverluste und Reduzierung des Investitionsbedarfs für Infrastrukturen.</w:t>
      </w:r>
    </w:p>
    <w:p w:rsidR="000B433A" w:rsidRPr="00766360" w:rsidRDefault="000B433A" w:rsidP="00195F39">
      <w:pPr>
        <w:rPr>
          <w:rFonts w:cs="Calibri"/>
          <w:szCs w:val="24"/>
          <w:lang w:val="de-DE"/>
        </w:rPr>
      </w:pPr>
      <w:r>
        <w:rPr>
          <w:rFonts w:cs="Calibri"/>
          <w:lang w:val="de-DE"/>
        </w:rPr>
        <w:t>Es wird davon ausgegangen, dass der Markt selbst den Einsatz flexibler Lösungen, die Lagerung und den angemessenen Einsatz von Elektrofahrzeugen ohne notwendige Anreize fördern wird. Die genannten Maßnahmen stellen sicher, dass ein Rahmen vorhanden ist, der die Einführung dieser Lösungen begünstigt:</w:t>
      </w:r>
    </w:p>
    <w:p w:rsidR="000B433A" w:rsidRPr="00766360" w:rsidRDefault="000B433A" w:rsidP="00E15C2C">
      <w:pPr>
        <w:pStyle w:val="Paragraphedeliste"/>
        <w:numPr>
          <w:ilvl w:val="0"/>
          <w:numId w:val="8"/>
        </w:numPr>
        <w:rPr>
          <w:rFonts w:cs="Calibri"/>
          <w:szCs w:val="24"/>
          <w:lang w:val="de-DE"/>
        </w:rPr>
      </w:pPr>
      <w:r>
        <w:rPr>
          <w:rFonts w:cs="Calibri"/>
          <w:lang w:val="de-DE"/>
        </w:rPr>
        <w:t>Beseitigung der Kompensation für elektrische Produktionsanlagen &lt; 10 kW (rückwärts laufender Zähler);</w:t>
      </w:r>
    </w:p>
    <w:p w:rsidR="000B433A" w:rsidRPr="00766360" w:rsidRDefault="000B433A" w:rsidP="00E15C2C">
      <w:pPr>
        <w:pStyle w:val="Paragraphedeliste"/>
        <w:numPr>
          <w:ilvl w:val="0"/>
          <w:numId w:val="8"/>
        </w:numPr>
        <w:rPr>
          <w:rFonts w:cs="Calibri"/>
          <w:szCs w:val="24"/>
          <w:lang w:val="de-DE"/>
        </w:rPr>
      </w:pPr>
      <w:r>
        <w:rPr>
          <w:rFonts w:cs="Calibri"/>
          <w:lang w:val="de-DE"/>
        </w:rPr>
        <w:t>Operationalisierung des Rahmens in Bezug auf die Flexibilität (Ausführungserlasse, technische Vorschriften, Kommunikation zur Förderung, Entwicklung der Rolle der VNB usw.);</w:t>
      </w:r>
    </w:p>
    <w:p w:rsidR="000B433A" w:rsidRPr="00766360" w:rsidRDefault="000B433A" w:rsidP="00E15C2C">
      <w:pPr>
        <w:pStyle w:val="Paragraphedeliste"/>
        <w:numPr>
          <w:ilvl w:val="0"/>
          <w:numId w:val="8"/>
        </w:numPr>
        <w:rPr>
          <w:rFonts w:cs="Calibri"/>
          <w:szCs w:val="24"/>
          <w:lang w:val="de-DE"/>
        </w:rPr>
      </w:pPr>
      <w:r>
        <w:rPr>
          <w:rFonts w:cs="Calibri"/>
          <w:lang w:val="de-DE"/>
        </w:rPr>
        <w:t>Schaffung eines Rahmens für die zentrale und dezentrale Speicherung: Erteilung von Genehmigungen; Änderung der Preise (unangemessene Einspeise- und Abgabetarife); Beseitigung wirtschaftlicher und administrativer Hindernisse;</w:t>
      </w:r>
    </w:p>
    <w:p w:rsidR="000B433A" w:rsidRPr="00766360" w:rsidRDefault="000B433A" w:rsidP="00E15C2C">
      <w:pPr>
        <w:pStyle w:val="Paragraphedeliste"/>
        <w:numPr>
          <w:ilvl w:val="0"/>
          <w:numId w:val="8"/>
        </w:numPr>
        <w:rPr>
          <w:rFonts w:cs="Calibri"/>
          <w:szCs w:val="24"/>
          <w:lang w:val="de-DE"/>
        </w:rPr>
      </w:pPr>
      <w:r>
        <w:rPr>
          <w:rFonts w:cs="Calibri"/>
          <w:lang w:val="de-DE"/>
        </w:rPr>
        <w:t>Die Beihilfefähigkeit aller flexiblen Mittel für den von der föderalen Regierung eingerichteten Kapazitätsvergütungsmechanismus sicherstellen;</w:t>
      </w:r>
    </w:p>
    <w:p w:rsidR="000B433A" w:rsidRPr="00766360" w:rsidRDefault="000B433A" w:rsidP="00E15C2C">
      <w:pPr>
        <w:pStyle w:val="Paragraphedeliste"/>
        <w:numPr>
          <w:ilvl w:val="0"/>
          <w:numId w:val="8"/>
        </w:numPr>
        <w:rPr>
          <w:rFonts w:cs="Calibri"/>
          <w:szCs w:val="24"/>
          <w:lang w:val="de-DE"/>
        </w:rPr>
      </w:pPr>
      <w:r>
        <w:rPr>
          <w:rFonts w:cs="Calibri"/>
          <w:lang w:val="de-DE"/>
        </w:rPr>
        <w:t>Planung der Entwicklung des Flexibilitätsbedarfs durch die VNB und Überwachung der Aufrufmodalitäten der Flexibilität durch die VNB;</w:t>
      </w:r>
    </w:p>
    <w:p w:rsidR="000B433A" w:rsidRPr="00766360" w:rsidRDefault="000B433A" w:rsidP="00E15C2C">
      <w:pPr>
        <w:pStyle w:val="Paragraphedeliste"/>
        <w:numPr>
          <w:ilvl w:val="0"/>
          <w:numId w:val="8"/>
        </w:numPr>
        <w:rPr>
          <w:rFonts w:cs="Calibri"/>
          <w:szCs w:val="24"/>
          <w:lang w:val="de-DE"/>
        </w:rPr>
      </w:pPr>
      <w:r>
        <w:rPr>
          <w:rFonts w:cs="Calibri"/>
          <w:lang w:val="de-DE"/>
        </w:rPr>
        <w:t>Planung von Ladeinfrastrukturen für Elektrofahrzeuge und Überwachung der Lade- und Entladevorgänge. Eine der größten Herausforderungen für die Verteilernetze ist die Zunahme der Anzahl an Elektrofahrzeugen, deren Aufladen zu einem deutlichen Anstieg der Spitzenwerte führen kann.</w:t>
      </w:r>
    </w:p>
    <w:p w:rsidR="000B433A" w:rsidRPr="00766360" w:rsidRDefault="000B433A">
      <w:pPr>
        <w:rPr>
          <w:rStyle w:val="Emphaseple"/>
          <w:b/>
          <w:bCs/>
          <w:iCs/>
          <w:szCs w:val="24"/>
          <w:lang w:val="de-DE"/>
        </w:rPr>
      </w:pPr>
      <w:r>
        <w:rPr>
          <w:rStyle w:val="Emphaseple"/>
          <w:iCs/>
          <w:lang w:val="de-DE"/>
        </w:rPr>
        <w:t>Maßnahmen im Bereich der Netzentwicklung und intelligenten Netzwerke</w:t>
      </w:r>
    </w:p>
    <w:p w:rsidR="000B433A" w:rsidRPr="00766360" w:rsidRDefault="000B433A" w:rsidP="00E15C2C">
      <w:pPr>
        <w:pStyle w:val="Paragraphedeliste"/>
        <w:numPr>
          <w:ilvl w:val="0"/>
          <w:numId w:val="8"/>
        </w:numPr>
        <w:rPr>
          <w:rFonts w:cs="Calibri"/>
          <w:szCs w:val="24"/>
          <w:lang w:val="de-DE"/>
        </w:rPr>
      </w:pPr>
      <w:r>
        <w:rPr>
          <w:rFonts w:cs="Calibri"/>
          <w:lang w:val="de-DE"/>
        </w:rPr>
        <w:t>Einsatz von intelligenten Zählern entsprechend einer angepassten Phasenlage und mit einer angemessenen Kommunikation;</w:t>
      </w:r>
    </w:p>
    <w:p w:rsidR="000B433A" w:rsidRPr="00766360" w:rsidRDefault="000B433A" w:rsidP="00E15C2C">
      <w:pPr>
        <w:pStyle w:val="Paragraphedeliste"/>
        <w:numPr>
          <w:ilvl w:val="0"/>
          <w:numId w:val="8"/>
        </w:numPr>
        <w:rPr>
          <w:rFonts w:cs="Calibri"/>
          <w:szCs w:val="24"/>
          <w:lang w:val="de-DE"/>
        </w:rPr>
      </w:pPr>
      <w:r>
        <w:rPr>
          <w:rFonts w:cs="Calibri"/>
          <w:lang w:val="de-DE"/>
        </w:rPr>
        <w:t>Überwachung des Einsatzes dezentraler Energiequellen mit dem Ziel, das kollektive Wohlbefinden zu maximieren, insbesondere durch Selbstverbrauchsprogramme, kollektiven und lokalen Eigenverbrauch und die Entwicklung von Mikronetzen (zur besseren lokalen Entwicklung der Stromerzeugung aus erneuerbaren Energien auf Ebene einer Zoneneinteilung oder eines Stadtviertels);</w:t>
      </w:r>
    </w:p>
    <w:p w:rsidR="000B433A" w:rsidRPr="00766360" w:rsidRDefault="000B433A" w:rsidP="00E15C2C">
      <w:pPr>
        <w:pStyle w:val="Paragraphedeliste"/>
        <w:numPr>
          <w:ilvl w:val="0"/>
          <w:numId w:val="8"/>
        </w:numPr>
        <w:rPr>
          <w:rFonts w:cs="Calibri"/>
          <w:szCs w:val="24"/>
          <w:lang w:val="de-DE"/>
        </w:rPr>
      </w:pPr>
      <w:r>
        <w:rPr>
          <w:rFonts w:cs="Calibri"/>
          <w:lang w:val="de-DE"/>
        </w:rPr>
        <w:t>Umsetzung von Maßnahmen zur effizienten Nutzung der vorhandenen Infrastrukturen durch die VNB und Analyse neuer Lösungen:</w:t>
      </w:r>
    </w:p>
    <w:p w:rsidR="000B433A" w:rsidRPr="00766360" w:rsidRDefault="000B433A" w:rsidP="00E15C2C">
      <w:pPr>
        <w:pStyle w:val="Paragraphedeliste"/>
        <w:numPr>
          <w:ilvl w:val="1"/>
          <w:numId w:val="8"/>
        </w:numPr>
        <w:rPr>
          <w:rFonts w:cs="Calibri"/>
          <w:szCs w:val="24"/>
          <w:lang w:val="de-DE"/>
        </w:rPr>
      </w:pPr>
      <w:r>
        <w:rPr>
          <w:rFonts w:cs="Calibri"/>
          <w:lang w:val="de-DE"/>
        </w:rPr>
        <w:t>Erhöhung der vorhandenen Spannung in Hochspannungs- und Niederspannungsverteilernetzen</w:t>
      </w:r>
    </w:p>
    <w:p w:rsidR="000B433A" w:rsidRPr="00766360" w:rsidRDefault="000B433A" w:rsidP="00E15C2C">
      <w:pPr>
        <w:pStyle w:val="Paragraphedeliste"/>
        <w:numPr>
          <w:ilvl w:val="1"/>
          <w:numId w:val="8"/>
        </w:numPr>
        <w:rPr>
          <w:rFonts w:cs="Calibri"/>
          <w:szCs w:val="24"/>
          <w:lang w:val="de-DE"/>
        </w:rPr>
      </w:pPr>
      <w:r>
        <w:rPr>
          <w:rFonts w:cs="Calibri"/>
          <w:lang w:val="de-DE"/>
        </w:rPr>
        <w:t>Gezielte Wahl des offenen Punktes in den Verteilerkreisen</w:t>
      </w:r>
    </w:p>
    <w:p w:rsidR="000B433A" w:rsidRPr="00766360" w:rsidRDefault="000B433A" w:rsidP="00E15C2C">
      <w:pPr>
        <w:pStyle w:val="Paragraphedeliste"/>
        <w:numPr>
          <w:ilvl w:val="1"/>
          <w:numId w:val="8"/>
        </w:numPr>
        <w:rPr>
          <w:rFonts w:cs="Calibri"/>
          <w:szCs w:val="24"/>
          <w:lang w:val="de-DE"/>
        </w:rPr>
      </w:pPr>
      <w:r>
        <w:rPr>
          <w:rFonts w:cs="Calibri"/>
          <w:lang w:val="de-DE"/>
        </w:rPr>
        <w:t>Installation von selbstregelnden Verteilungstransformatoren</w:t>
      </w:r>
    </w:p>
    <w:p w:rsidR="000B433A" w:rsidRPr="00766360" w:rsidRDefault="000B433A" w:rsidP="00E15C2C">
      <w:pPr>
        <w:pStyle w:val="Paragraphedeliste"/>
        <w:numPr>
          <w:ilvl w:val="0"/>
          <w:numId w:val="8"/>
        </w:numPr>
        <w:rPr>
          <w:rFonts w:cs="Calibri"/>
          <w:szCs w:val="24"/>
          <w:lang w:val="de-DE"/>
        </w:rPr>
      </w:pPr>
      <w:r>
        <w:rPr>
          <w:rFonts w:cs="Calibri"/>
          <w:lang w:val="de-DE"/>
        </w:rPr>
        <w:t>Dynamische Linienbewertung: Korrelation der Tarife mit der Systemleistung.</w:t>
      </w:r>
    </w:p>
    <w:p w:rsidR="000B433A" w:rsidRPr="00766360" w:rsidRDefault="000B433A" w:rsidP="00195F39">
      <w:pPr>
        <w:pStyle w:val="Titre3"/>
        <w:rPr>
          <w:rStyle w:val="Emphaseple"/>
          <w:rFonts w:ascii="Calibri" w:hAnsi="Calibri" w:cs="Calibri"/>
          <w:iCs/>
          <w:color w:val="4F81BD"/>
          <w:szCs w:val="24"/>
          <w:lang w:val="de-DE"/>
        </w:rPr>
      </w:pPr>
      <w:r>
        <w:rPr>
          <w:rStyle w:val="Emphaseple"/>
          <w:rFonts w:ascii="Calibri" w:hAnsi="Calibri" w:cs="Calibri"/>
          <w:iCs/>
          <w:color w:val="4F81BD"/>
          <w:lang w:val="de-DE"/>
        </w:rPr>
        <w:t>Koordinierungsmaßnahme VNB-ÜNB</w:t>
      </w:r>
    </w:p>
    <w:p w:rsidR="000B433A" w:rsidRPr="00766360" w:rsidRDefault="000B433A" w:rsidP="00195F39">
      <w:pPr>
        <w:rPr>
          <w:rFonts w:cs="Calibri"/>
          <w:szCs w:val="24"/>
          <w:lang w:val="de-DE"/>
        </w:rPr>
      </w:pPr>
      <w:r>
        <w:rPr>
          <w:rFonts w:cs="Calibri"/>
          <w:lang w:val="de-DE"/>
        </w:rPr>
        <w:t xml:space="preserve">Eine schlechte Koordination zwischen den ÜNB und den VNB kann sich auf die Sicherheit des Systems, seine Effizienz oder die Nutzung von Flexibilitätsressourcen auswirken. Daher ist es sehr wichtig, eine gute Koordinierung zwischen diesen Akteuren zu gewährleisten. Dies kann über einen gemeinsamen Markt erfolgen, in dem ÜNB, VNB und BRP Flexibilitätsdienste in Anspruch nehmen können, über ein System der Priorisierung zwischen lokalem und globalem Ausgleich oder durch die Verpflichtung des ÜNB, die VNB zur Verwaltung des Systems zu konsultieren. </w:t>
      </w:r>
    </w:p>
    <w:p w:rsidR="000B433A" w:rsidRPr="00766360" w:rsidRDefault="000B433A" w:rsidP="00195F39">
      <w:pPr>
        <w:pStyle w:val="Titre3"/>
        <w:rPr>
          <w:rStyle w:val="Emphaseple"/>
          <w:rFonts w:ascii="Calibri" w:hAnsi="Calibri" w:cs="Calibri"/>
          <w:iCs/>
          <w:color w:val="4F81BD"/>
          <w:szCs w:val="24"/>
          <w:lang w:val="de-DE"/>
        </w:rPr>
      </w:pPr>
      <w:r>
        <w:rPr>
          <w:rStyle w:val="Emphaseple"/>
          <w:rFonts w:ascii="Calibri" w:hAnsi="Calibri" w:cs="Calibri"/>
          <w:iCs/>
          <w:color w:val="4F81BD"/>
          <w:lang w:val="de-DE"/>
        </w:rPr>
        <w:t>Preisgestaltung</w:t>
      </w:r>
    </w:p>
    <w:p w:rsidR="000B433A" w:rsidRPr="00766360" w:rsidRDefault="000B433A" w:rsidP="00195F39">
      <w:pPr>
        <w:rPr>
          <w:rFonts w:cs="Calibri"/>
          <w:szCs w:val="24"/>
          <w:lang w:val="de-DE"/>
        </w:rPr>
      </w:pPr>
      <w:r>
        <w:rPr>
          <w:rFonts w:cs="Calibri"/>
          <w:lang w:val="de-DE"/>
        </w:rPr>
        <w:t>Derzeit zielen die Zweistundensätze darauf ab, das Verbraucherverhalten zu steuern, indem sie die Zeiträume beeinflussen, in denen diese darauf achten, ob sie konsumieren oder nicht konsumieren. Feiner abgestimmte Tarife mit mehr Zeitnischen stellen die Kontinuität dieses Rahmens dar.</w:t>
      </w:r>
    </w:p>
    <w:p w:rsidR="000B433A" w:rsidRPr="00766360" w:rsidRDefault="000B433A" w:rsidP="00195F39">
      <w:pPr>
        <w:rPr>
          <w:rFonts w:cs="Calibri"/>
          <w:szCs w:val="24"/>
          <w:lang w:val="de-DE"/>
        </w:rPr>
      </w:pPr>
      <w:r>
        <w:rPr>
          <w:rFonts w:cs="Calibri"/>
          <w:lang w:val="de-DE"/>
        </w:rPr>
        <w:t xml:space="preserve">Um das Ziel der Entwicklung der Flexibilisierung zu erreichen, ist es notwendig, die Preisgestaltung mit den folgenden beiden Zielen anzupassen: </w:t>
      </w:r>
    </w:p>
    <w:p w:rsidR="000B433A" w:rsidRDefault="000B433A">
      <w:pPr>
        <w:pStyle w:val="Paragraphedeliste"/>
        <w:numPr>
          <w:ilvl w:val="0"/>
          <w:numId w:val="44"/>
        </w:numPr>
        <w:autoSpaceDE w:val="0"/>
        <w:autoSpaceDN w:val="0"/>
        <w:adjustRightInd w:val="0"/>
        <w:spacing w:before="120"/>
        <w:rPr>
          <w:rFonts w:cs="Calibri"/>
          <w:szCs w:val="24"/>
          <w:lang w:val="de-DE"/>
        </w:rPr>
      </w:pPr>
      <w:r>
        <w:rPr>
          <w:rFonts w:cs="Calibri"/>
          <w:lang w:val="de-DE"/>
        </w:rPr>
        <w:t>Auf der einen Seite muss das Preissystem die Verbraucher zu noch mehr Flexibilität anregen,</w:t>
      </w:r>
    </w:p>
    <w:p w:rsidR="000B433A" w:rsidRDefault="000B433A">
      <w:pPr>
        <w:pStyle w:val="Paragraphedeliste"/>
        <w:numPr>
          <w:ilvl w:val="0"/>
          <w:numId w:val="44"/>
        </w:numPr>
        <w:autoSpaceDE w:val="0"/>
        <w:autoSpaceDN w:val="0"/>
        <w:adjustRightInd w:val="0"/>
        <w:spacing w:before="120"/>
        <w:rPr>
          <w:rFonts w:cs="Calibri"/>
          <w:szCs w:val="24"/>
          <w:lang w:val="de-DE"/>
        </w:rPr>
      </w:pPr>
      <w:r>
        <w:rPr>
          <w:rFonts w:cs="Calibri"/>
          <w:lang w:val="de-DE"/>
        </w:rPr>
        <w:t xml:space="preserve">auf der anderen Seite muss das Vergütungssystem der VNB sie anregen, in die wirtschaftlich effizientesten Lösungen zu investieren, einschließlich Flexibilitätslösungen. </w:t>
      </w:r>
    </w:p>
    <w:p w:rsidR="000B433A" w:rsidRPr="00766360" w:rsidRDefault="000B433A" w:rsidP="00195F39">
      <w:pPr>
        <w:pStyle w:val="Titre3"/>
        <w:rPr>
          <w:rStyle w:val="Emphaseple"/>
          <w:rFonts w:ascii="Calibri" w:hAnsi="Calibri" w:cs="Calibri"/>
          <w:iCs/>
          <w:color w:val="4F81BD"/>
          <w:szCs w:val="24"/>
          <w:lang w:val="de-DE"/>
        </w:rPr>
      </w:pPr>
      <w:r>
        <w:rPr>
          <w:rStyle w:val="Emphaseple"/>
          <w:rFonts w:ascii="Calibri" w:hAnsi="Calibri" w:cs="Calibri"/>
          <w:iCs/>
          <w:color w:val="4F81BD"/>
          <w:lang w:val="de-DE"/>
        </w:rPr>
        <w:t xml:space="preserve">Maßnahmen im Zusammenhang mit dem Einsatz von Power-to-X </w:t>
      </w:r>
      <w:r w:rsidRPr="00766360">
        <w:rPr>
          <w:rStyle w:val="Emphaseple"/>
          <w:rFonts w:ascii="Calibri" w:hAnsi="Calibri" w:cs="Calibri"/>
          <w:iCs/>
          <w:color w:val="4F81BD"/>
          <w:szCs w:val="24"/>
          <w:vertAlign w:val="superscript"/>
          <w:lang w:val="de-DE"/>
        </w:rPr>
        <w:footnoteReference w:id="24"/>
      </w:r>
    </w:p>
    <w:p w:rsidR="000B433A" w:rsidRPr="00766360" w:rsidRDefault="000B433A" w:rsidP="00195F39">
      <w:pPr>
        <w:rPr>
          <w:rFonts w:cs="Calibri"/>
          <w:szCs w:val="24"/>
          <w:lang w:val="de-DE"/>
        </w:rPr>
      </w:pPr>
      <w:r>
        <w:rPr>
          <w:rFonts w:cs="Calibri"/>
          <w:lang w:val="de-DE"/>
        </w:rPr>
        <w:t>Die Wasserstoffproduktion wird sich mit dem Markt und der Erhöhung der Penetrationsrate der variablen Energien weiterentwickeln (bis 2030 könnte die belgische variable erneuerbare Kapazität fast dreimal höher sein als die Grundlast oder Base Load). Im Hinblick auf die Maßnahmen ist es notwendig, wie folgt zu beginnen:</w:t>
      </w:r>
    </w:p>
    <w:p w:rsidR="000B433A" w:rsidRPr="00766360" w:rsidRDefault="000B433A" w:rsidP="00E15C2C">
      <w:pPr>
        <w:pStyle w:val="Paragraphedeliste"/>
        <w:numPr>
          <w:ilvl w:val="0"/>
          <w:numId w:val="8"/>
        </w:numPr>
        <w:rPr>
          <w:rFonts w:cs="Calibri"/>
          <w:szCs w:val="24"/>
          <w:lang w:val="de-DE"/>
        </w:rPr>
      </w:pPr>
      <w:r>
        <w:rPr>
          <w:rFonts w:cs="Calibri"/>
          <w:lang w:val="de-DE"/>
        </w:rPr>
        <w:t>Die Erstellung eines Fahrplans für den Einsatz von Power-to-X;</w:t>
      </w:r>
    </w:p>
    <w:p w:rsidR="000B433A" w:rsidRPr="00766360" w:rsidRDefault="000B433A" w:rsidP="00E15C2C">
      <w:pPr>
        <w:pStyle w:val="Paragraphedeliste"/>
        <w:numPr>
          <w:ilvl w:val="0"/>
          <w:numId w:val="8"/>
        </w:numPr>
        <w:rPr>
          <w:rFonts w:cs="Calibri"/>
          <w:szCs w:val="24"/>
          <w:lang w:val="de-DE"/>
        </w:rPr>
      </w:pPr>
      <w:r>
        <w:rPr>
          <w:rFonts w:cs="Calibri"/>
          <w:lang w:val="de-DE"/>
        </w:rPr>
        <w:t>Die Durchführung von Pilotprojekten;</w:t>
      </w:r>
    </w:p>
    <w:p w:rsidR="000B433A" w:rsidRPr="00766360" w:rsidRDefault="000B433A" w:rsidP="00E15C2C">
      <w:pPr>
        <w:pStyle w:val="Paragraphedeliste"/>
        <w:numPr>
          <w:ilvl w:val="0"/>
          <w:numId w:val="8"/>
        </w:numPr>
        <w:rPr>
          <w:rFonts w:cs="Calibri"/>
          <w:szCs w:val="24"/>
          <w:lang w:val="de-DE"/>
        </w:rPr>
      </w:pPr>
      <w:r>
        <w:rPr>
          <w:rFonts w:cs="Calibri"/>
          <w:lang w:val="de-DE"/>
        </w:rPr>
        <w:t>Die Schaffung eines günstigen Rahmens für P-to-X</w:t>
      </w:r>
    </w:p>
    <w:p w:rsidR="000B433A" w:rsidRPr="00093D26" w:rsidRDefault="000B433A" w:rsidP="00093D26">
      <w:pPr>
        <w:pStyle w:val="Titre2"/>
        <w:numPr>
          <w:ilvl w:val="1"/>
          <w:numId w:val="1"/>
        </w:numPr>
        <w:ind w:left="851" w:hanging="851"/>
        <w:rPr>
          <w:rFonts w:ascii="Calibri" w:hAnsi="Calibri" w:cs="Calibri"/>
          <w:color w:val="1F497D"/>
          <w:sz w:val="28"/>
          <w:szCs w:val="28"/>
          <w:lang w:val="de-DE"/>
        </w:rPr>
      </w:pPr>
      <w:bookmarkStart w:id="46" w:name="_Toc7802458"/>
      <w:r>
        <w:rPr>
          <w:rFonts w:ascii="Calibri" w:hAnsi="Calibri" w:cs="Calibri"/>
          <w:color w:val="1F497D"/>
          <w:sz w:val="28"/>
          <w:lang w:val="de-DE"/>
        </w:rPr>
        <w:t>Verbraucherschutz (Prekarität)</w:t>
      </w:r>
      <w:bookmarkEnd w:id="46"/>
    </w:p>
    <w:p w:rsidR="000B433A" w:rsidRPr="00766360" w:rsidRDefault="000B433A" w:rsidP="00195F39">
      <w:pPr>
        <w:pStyle w:val="Titre3"/>
        <w:rPr>
          <w:rStyle w:val="Emphaseple"/>
          <w:rFonts w:ascii="Calibri" w:hAnsi="Calibri" w:cs="Calibri"/>
          <w:iCs/>
          <w:color w:val="4F81BD"/>
          <w:szCs w:val="24"/>
          <w:lang w:val="de-DE"/>
        </w:rPr>
      </w:pPr>
      <w:r>
        <w:rPr>
          <w:rStyle w:val="Emphaseple"/>
          <w:rFonts w:ascii="Calibri" w:hAnsi="Calibri" w:cs="Calibri"/>
          <w:iCs/>
          <w:color w:val="4F81BD"/>
          <w:lang w:val="de-DE"/>
        </w:rPr>
        <w:t>Tarifmaßnahmen für geschützte Kunden</w:t>
      </w:r>
    </w:p>
    <w:p w:rsidR="000B433A" w:rsidRPr="00766360" w:rsidRDefault="000B433A" w:rsidP="00195F39">
      <w:pPr>
        <w:rPr>
          <w:rFonts w:cs="Calibri"/>
          <w:szCs w:val="24"/>
          <w:lang w:val="de-DE"/>
        </w:rPr>
      </w:pPr>
      <w:r>
        <w:rPr>
          <w:rFonts w:cs="Calibri"/>
          <w:lang w:val="de-DE"/>
        </w:rPr>
        <w:t>Im Rahmen der aus den europäischen Richtlinien resultierenden Organisation der Gas- und Strommärkte haben der Föderalstaat und die Regionen spezifische Mechanismen zur Unterstützung prekarisierter Haushalte eingerichtet. Diese Mechanismen werden verbessert. Diese Haushalte werden als „geschützte Kunden“ bezeichnet.</w:t>
      </w:r>
    </w:p>
    <w:p w:rsidR="000B433A" w:rsidRPr="00766360" w:rsidRDefault="000B433A" w:rsidP="00195F39">
      <w:pPr>
        <w:rPr>
          <w:rFonts w:cs="Calibri"/>
          <w:szCs w:val="24"/>
          <w:lang w:val="de-DE"/>
        </w:rPr>
      </w:pPr>
      <w:r>
        <w:rPr>
          <w:rFonts w:cs="Calibri"/>
          <w:lang w:val="de-DE"/>
        </w:rPr>
        <w:t>Es gibt zwei Kategorien von geschützten Kunden:</w:t>
      </w:r>
    </w:p>
    <w:p w:rsidR="000B433A" w:rsidRDefault="000B433A">
      <w:pPr>
        <w:pStyle w:val="Paragraphedeliste"/>
        <w:numPr>
          <w:ilvl w:val="0"/>
          <w:numId w:val="45"/>
        </w:numPr>
        <w:autoSpaceDE w:val="0"/>
        <w:autoSpaceDN w:val="0"/>
        <w:adjustRightInd w:val="0"/>
        <w:spacing w:before="120"/>
        <w:rPr>
          <w:rFonts w:cs="Calibri"/>
          <w:szCs w:val="24"/>
          <w:lang w:val="de-DE"/>
        </w:rPr>
      </w:pPr>
      <w:r>
        <w:rPr>
          <w:rFonts w:cs="Calibri"/>
          <w:lang w:val="de-DE"/>
        </w:rPr>
        <w:t xml:space="preserve">Auf der einen Seite föderale geschützte Kunden </w:t>
      </w:r>
      <w:r w:rsidRPr="00766360">
        <w:rPr>
          <w:rStyle w:val="Appelnotedebasdep"/>
          <w:rFonts w:cs="Calibri"/>
          <w:szCs w:val="24"/>
          <w:lang w:val="de-DE"/>
        </w:rPr>
        <w:footnoteReference w:id="25"/>
      </w:r>
      <w:r>
        <w:rPr>
          <w:rFonts w:cs="Calibri"/>
          <w:lang w:val="de-DE"/>
        </w:rPr>
        <w:t>, die vom Sozialtarif profitieren, bei jedem Anbieter für Privatkunden;</w:t>
      </w:r>
    </w:p>
    <w:p w:rsidR="000B433A" w:rsidRDefault="000B433A">
      <w:pPr>
        <w:pStyle w:val="Paragraphedeliste"/>
        <w:numPr>
          <w:ilvl w:val="0"/>
          <w:numId w:val="45"/>
        </w:numPr>
        <w:autoSpaceDE w:val="0"/>
        <w:autoSpaceDN w:val="0"/>
        <w:adjustRightInd w:val="0"/>
        <w:spacing w:before="120"/>
        <w:rPr>
          <w:rFonts w:cs="Calibri"/>
          <w:szCs w:val="24"/>
          <w:lang w:val="de-DE"/>
        </w:rPr>
      </w:pPr>
      <w:r>
        <w:rPr>
          <w:rFonts w:cs="Calibri"/>
          <w:lang w:val="de-DE"/>
        </w:rPr>
        <w:t xml:space="preserve">Auf der anderen Seite regionale geschützte Kunden </w:t>
      </w:r>
      <w:r w:rsidRPr="00766360">
        <w:rPr>
          <w:rStyle w:val="Appelnotedebasdep"/>
          <w:rFonts w:cs="Calibri"/>
          <w:szCs w:val="24"/>
          <w:lang w:val="de-DE"/>
        </w:rPr>
        <w:footnoteReference w:id="26"/>
      </w:r>
      <w:r>
        <w:rPr>
          <w:rFonts w:cs="Calibri"/>
          <w:lang w:val="de-DE"/>
        </w:rPr>
        <w:t>, die vom Sozialtarif profitieren;</w:t>
      </w:r>
    </w:p>
    <w:p w:rsidR="000B433A" w:rsidRPr="00766360" w:rsidRDefault="000B433A" w:rsidP="00195F39">
      <w:pPr>
        <w:rPr>
          <w:rFonts w:cs="Calibri"/>
          <w:szCs w:val="24"/>
          <w:lang w:val="de-DE"/>
        </w:rPr>
      </w:pPr>
      <w:r>
        <w:rPr>
          <w:rFonts w:cs="Calibri"/>
          <w:lang w:val="de-DE"/>
        </w:rPr>
        <w:t>Geschützte Kunden profitieren von dem halbjährlich von der CREG auf Grundlage des günstigsten kommerziellen Angebots (unter den Lieferanten) festgelegten Sozialtarif.</w:t>
      </w:r>
    </w:p>
    <w:p w:rsidR="000B433A" w:rsidRPr="00766360" w:rsidRDefault="000B433A" w:rsidP="00195F39">
      <w:pPr>
        <w:rPr>
          <w:rFonts w:cs="Calibri"/>
          <w:szCs w:val="24"/>
          <w:lang w:val="de-DE"/>
        </w:rPr>
      </w:pPr>
      <w:r>
        <w:rPr>
          <w:rFonts w:cs="Calibri"/>
          <w:lang w:val="de-DE"/>
        </w:rPr>
        <w:t>Die Wallonische Region hat den vom Föderalstaat definierten Begriff der geschützten Kunden erweitert, um anderen problematischen Situationen prekarisierter Haushalte Rechnung zu tragen.</w:t>
      </w:r>
    </w:p>
    <w:p w:rsidR="000B433A" w:rsidRPr="00766360" w:rsidRDefault="000B433A" w:rsidP="00195F39">
      <w:pPr>
        <w:rPr>
          <w:rFonts w:cs="Calibri"/>
          <w:szCs w:val="24"/>
          <w:lang w:val="de-DE"/>
        </w:rPr>
      </w:pPr>
      <w:r>
        <w:rPr>
          <w:rFonts w:cs="Calibri"/>
          <w:lang w:val="de-DE"/>
        </w:rPr>
        <w:t xml:space="preserve">Zu den regionalen geschützten Kunden gehören Begünstigte (entweder der Vertragsinhaber oder eine Person mit dem gleichen Wohnsitz wie der Vertragsinhaber): </w:t>
      </w:r>
    </w:p>
    <w:p w:rsidR="000B433A" w:rsidRDefault="000B433A">
      <w:pPr>
        <w:pStyle w:val="Paragraphedeliste"/>
        <w:numPr>
          <w:ilvl w:val="0"/>
          <w:numId w:val="46"/>
        </w:numPr>
        <w:autoSpaceDE w:val="0"/>
        <w:autoSpaceDN w:val="0"/>
        <w:adjustRightInd w:val="0"/>
        <w:spacing w:before="120"/>
        <w:rPr>
          <w:rFonts w:cs="Calibri"/>
          <w:szCs w:val="24"/>
          <w:lang w:val="de-DE"/>
        </w:rPr>
      </w:pPr>
      <w:r>
        <w:rPr>
          <w:rFonts w:cs="Calibri"/>
          <w:lang w:val="de-DE"/>
        </w:rPr>
        <w:t xml:space="preserve">einer Entscheidung des ÖSHZ über die Bildungsberatung finanzieller Art; </w:t>
      </w:r>
    </w:p>
    <w:p w:rsidR="000B433A" w:rsidRDefault="000B433A">
      <w:pPr>
        <w:pStyle w:val="Paragraphedeliste"/>
        <w:numPr>
          <w:ilvl w:val="0"/>
          <w:numId w:val="46"/>
        </w:numPr>
        <w:autoSpaceDE w:val="0"/>
        <w:autoSpaceDN w:val="0"/>
        <w:adjustRightInd w:val="0"/>
        <w:spacing w:before="120"/>
        <w:rPr>
          <w:rFonts w:cs="Calibri"/>
          <w:szCs w:val="24"/>
          <w:lang w:val="de-DE"/>
        </w:rPr>
      </w:pPr>
      <w:r>
        <w:rPr>
          <w:rFonts w:cs="Calibri"/>
          <w:lang w:val="de-DE"/>
        </w:rPr>
        <w:t>einer Schuldenberatung durch ein ÖSHZ oder ein zugelassenes Schuldenberatungszentrum;</w:t>
      </w:r>
    </w:p>
    <w:p w:rsidR="000B433A" w:rsidRDefault="000B433A">
      <w:pPr>
        <w:pStyle w:val="Paragraphedeliste"/>
        <w:numPr>
          <w:ilvl w:val="0"/>
          <w:numId w:val="46"/>
        </w:numPr>
        <w:autoSpaceDE w:val="0"/>
        <w:autoSpaceDN w:val="0"/>
        <w:adjustRightInd w:val="0"/>
        <w:spacing w:before="120"/>
        <w:rPr>
          <w:rFonts w:cs="Calibri"/>
          <w:szCs w:val="24"/>
          <w:lang w:val="de-DE"/>
        </w:rPr>
      </w:pPr>
      <w:r>
        <w:rPr>
          <w:rFonts w:cs="Calibri"/>
          <w:lang w:val="de-DE"/>
        </w:rPr>
        <w:t>einer gemeinsamen Schuldenregelung.</w:t>
      </w:r>
    </w:p>
    <w:p w:rsidR="000B433A" w:rsidRPr="00766360" w:rsidRDefault="000B433A" w:rsidP="00195F39">
      <w:pPr>
        <w:rPr>
          <w:rFonts w:cs="Calibri"/>
          <w:szCs w:val="24"/>
          <w:lang w:val="de-DE"/>
        </w:rPr>
      </w:pPr>
      <w:r>
        <w:rPr>
          <w:rFonts w:cs="Calibri"/>
          <w:lang w:val="de-DE"/>
        </w:rPr>
        <w:t>Um in den Genuss des Sozialtarifs zu kommen, muss sich der regional geschützte Kunde an seinen Anbieter wenden, der dafür zuständig ist, ihn an den Verteilernetzbetreiber weiterzuleiten, von dem er abhängig ist. Der Netzbetreiber fungiert dann als Sozialanbieter des geschützten Kunden.</w:t>
      </w:r>
    </w:p>
    <w:p w:rsidR="000B433A" w:rsidRPr="00766360" w:rsidRDefault="000B433A">
      <w:pPr>
        <w:pStyle w:val="Lgende"/>
        <w:rPr>
          <w:rFonts w:cs="Calibri"/>
          <w:i w:val="0"/>
          <w:iCs w:val="0"/>
          <w:color w:val="auto"/>
          <w:sz w:val="24"/>
          <w:szCs w:val="24"/>
          <w:lang w:val="de-DE"/>
        </w:rPr>
      </w:pPr>
      <w:r>
        <w:rPr>
          <w:rFonts w:cs="Calibri"/>
          <w:i w:val="0"/>
          <w:color w:val="auto"/>
          <w:sz w:val="24"/>
          <w:lang w:val="de-DE"/>
        </w:rPr>
        <w:t xml:space="preserve">In der Wallonie nimmt die Zahl der Menschen in prekären Situationen zu. </w:t>
      </w:r>
    </w:p>
    <w:p w:rsidR="000B433A" w:rsidRDefault="000B433A">
      <w:pPr>
        <w:spacing w:after="200"/>
        <w:jc w:val="left"/>
        <w:rPr>
          <w:rStyle w:val="Emphaseple"/>
          <w:rFonts w:cs="Calibri"/>
          <w:b/>
          <w:iCs/>
          <w:color w:val="4F81BD"/>
          <w:szCs w:val="24"/>
          <w:lang w:val="de-DE"/>
        </w:rPr>
      </w:pPr>
      <w:r>
        <w:rPr>
          <w:rStyle w:val="Emphaseple"/>
          <w:rFonts w:cs="Calibri"/>
          <w:bCs/>
          <w:iCs/>
          <w:color w:val="4F81BD"/>
          <w:szCs w:val="24"/>
          <w:lang w:val="de-DE"/>
        </w:rPr>
        <w:br w:type="page"/>
      </w:r>
    </w:p>
    <w:p w:rsidR="000B433A" w:rsidRPr="00766360" w:rsidRDefault="000B433A" w:rsidP="00195F39">
      <w:pPr>
        <w:pStyle w:val="Titre3"/>
        <w:rPr>
          <w:rStyle w:val="Emphaseple"/>
          <w:rFonts w:ascii="Calibri" w:hAnsi="Calibri" w:cs="Calibri"/>
          <w:bCs w:val="0"/>
          <w:iCs/>
          <w:color w:val="4F81BD"/>
          <w:szCs w:val="24"/>
          <w:lang w:val="de-DE"/>
        </w:rPr>
      </w:pPr>
      <w:r>
        <w:rPr>
          <w:rStyle w:val="Emphaseple"/>
          <w:rFonts w:ascii="Calibri" w:hAnsi="Calibri" w:cs="Calibri"/>
          <w:iCs/>
          <w:color w:val="4F81BD"/>
          <w:lang w:val="de-DE"/>
        </w:rPr>
        <w:t>Maßnahmen im Zusammenhang mit Zählern und Verbrauchsüberwachung</w:t>
      </w:r>
    </w:p>
    <w:p w:rsidR="000B433A" w:rsidRPr="00766360" w:rsidRDefault="000B433A" w:rsidP="00195F39">
      <w:pPr>
        <w:rPr>
          <w:rStyle w:val="Emphaseintense"/>
          <w:rFonts w:cs="Calibri"/>
          <w:b w:val="0"/>
          <w:bCs w:val="0"/>
          <w:i w:val="0"/>
          <w:iCs w:val="0"/>
          <w:color w:val="auto"/>
          <w:szCs w:val="24"/>
          <w:lang w:val="de-DE"/>
        </w:rPr>
      </w:pPr>
      <w:r>
        <w:rPr>
          <w:rStyle w:val="Emphaseintense"/>
          <w:rFonts w:cs="Calibri"/>
          <w:i w:val="0"/>
          <w:color w:val="auto"/>
          <w:lang w:val="de-DE"/>
        </w:rPr>
        <w:t>Budgetzähler</w:t>
      </w:r>
    </w:p>
    <w:p w:rsidR="000B433A" w:rsidRPr="00766360" w:rsidRDefault="000B433A" w:rsidP="00195F39">
      <w:pPr>
        <w:rPr>
          <w:rFonts w:cs="Calibri"/>
          <w:szCs w:val="24"/>
          <w:lang w:val="de-DE"/>
        </w:rPr>
      </w:pPr>
      <w:r>
        <w:rPr>
          <w:rFonts w:cs="Calibri"/>
          <w:lang w:val="de-DE"/>
        </w:rPr>
        <w:t>Die Vorauszahlungsfunktionalität, die derzeit in Budgetzählern vorhanden ist, wird im Rahmen des segmentierten Einsatzes schrittweise durch die intelligenten Zähler unterstützt.</w:t>
      </w:r>
    </w:p>
    <w:p w:rsidR="000B433A" w:rsidRPr="00766360" w:rsidRDefault="000B433A" w:rsidP="00195F39">
      <w:pPr>
        <w:rPr>
          <w:rFonts w:cs="Calibri"/>
          <w:szCs w:val="24"/>
          <w:lang w:val="de-DE"/>
        </w:rPr>
      </w:pPr>
      <w:r>
        <w:rPr>
          <w:rFonts w:cs="Calibri"/>
          <w:lang w:val="de-DE"/>
        </w:rPr>
        <w:t>Neben der Anwendung des Sozialtarifs profitieren in der Wallonischen Region die geschützten Kunden auch von anderen Fördermaßnahmen, insbesondere bei Zahlungsschwierigkeiten (nach Mahnung und Aufforderung). </w:t>
      </w:r>
    </w:p>
    <w:p w:rsidR="000B433A" w:rsidRPr="00766360" w:rsidRDefault="000B433A" w:rsidP="00195F39">
      <w:pPr>
        <w:rPr>
          <w:rFonts w:cs="Calibri"/>
          <w:szCs w:val="24"/>
          <w:lang w:val="de-DE"/>
        </w:rPr>
      </w:pPr>
      <w:r>
        <w:rPr>
          <w:rFonts w:cs="Calibri"/>
          <w:lang w:val="de-DE"/>
        </w:rPr>
        <w:t>Die Installation des Budgetzählers ist kostenlos.</w:t>
      </w:r>
    </w:p>
    <w:p w:rsidR="000B433A" w:rsidRPr="00766360" w:rsidRDefault="000B433A" w:rsidP="00195F39">
      <w:pPr>
        <w:rPr>
          <w:rFonts w:cs="Calibri"/>
          <w:szCs w:val="24"/>
          <w:lang w:val="de-DE"/>
        </w:rPr>
      </w:pPr>
      <w:r>
        <w:rPr>
          <w:rFonts w:cs="Calibri"/>
          <w:lang w:val="de-DE"/>
        </w:rPr>
        <w:t>Im Strombereich können die an einen Budgetzähler angeschlossenen geschützten Kunden von einer garantierten Mindestversorgung über einen Zeitraum von 6 Monaten profitieren, wenn sie ihre Zähler nicht aufladen können.</w:t>
      </w:r>
    </w:p>
    <w:p w:rsidR="000B433A" w:rsidRPr="00766360" w:rsidRDefault="000B433A" w:rsidP="00195F39">
      <w:pPr>
        <w:rPr>
          <w:rFonts w:cs="Calibri"/>
          <w:szCs w:val="24"/>
          <w:lang w:val="de-DE"/>
        </w:rPr>
      </w:pPr>
      <w:r>
        <w:rPr>
          <w:rFonts w:cs="Calibri"/>
          <w:lang w:val="de-DE"/>
        </w:rPr>
        <w:t>Im Gasbereich können die an einen Budgetzähler angeschlossenen geschützten Kunden bei ihrem Verteilernetzbetreiber (VNB) Versorgungskarten anfordern, damit sie im Winter weiterhin mit Gas versorgt werden, wenn sie ihre Zähler nicht aufladen können.</w:t>
      </w:r>
    </w:p>
    <w:p w:rsidR="000B433A" w:rsidRPr="00766360" w:rsidRDefault="000B433A" w:rsidP="00195F39">
      <w:pPr>
        <w:rPr>
          <w:rFonts w:cs="Calibri"/>
          <w:szCs w:val="24"/>
          <w:lang w:val="de-DE"/>
        </w:rPr>
      </w:pPr>
      <w:r>
        <w:rPr>
          <w:rFonts w:cs="Calibri"/>
          <w:lang w:val="de-DE"/>
        </w:rPr>
        <w:t>Im Rahmen einer kürzlich durchgeführten Studie über die Bewertung von Budgetzählern</w:t>
      </w:r>
      <w:r w:rsidRPr="00766360">
        <w:rPr>
          <w:rStyle w:val="Appelnotedebasdep"/>
          <w:rFonts w:cs="Calibri"/>
          <w:szCs w:val="24"/>
          <w:lang w:val="de-DE"/>
        </w:rPr>
        <w:footnoteReference w:id="27"/>
      </w:r>
      <w:r>
        <w:rPr>
          <w:rFonts w:cs="Calibri"/>
          <w:lang w:val="de-DE"/>
        </w:rPr>
        <w:t xml:space="preserve"> bestätigt die CWaPE, dass der Budgetzähler ein Mittel zur Verbrauchssteuerung und Schuldenkontrolle ist, um das beste Kosten-Nutzen-Verhältnis zu erreichen (insbesondere im Hinblick auf die in der Region Brüssel eingeführten Maßnahmen).</w:t>
      </w:r>
    </w:p>
    <w:p w:rsidR="000B433A" w:rsidRPr="00766360" w:rsidRDefault="000B433A" w:rsidP="00195F39">
      <w:pPr>
        <w:rPr>
          <w:rFonts w:cs="Calibri"/>
          <w:szCs w:val="24"/>
          <w:lang w:val="de-DE"/>
        </w:rPr>
      </w:pPr>
      <w:r>
        <w:rPr>
          <w:rFonts w:cs="Calibri"/>
          <w:lang w:val="de-DE"/>
        </w:rPr>
        <w:t>Die Ergebnisse der telefonischen Umfrage und der Fokusgruppen, auf denen die Studie basiert, zeigten ein hohes Maß an Zufriedenheit und belegen, dass das Instrument „Budgetzähler“ zwar verbesserungsfähig, aber von der Mehrheit der Kunden, die darüber verfügen, angenommen und positiv wahrgenommen wird. Diese Mehrheit der Kunden betrachtet den Budgetzähler als Mittel zur Verbrauchssteuerung und Schuldenbegrenzung.</w:t>
      </w:r>
    </w:p>
    <w:p w:rsidR="000B433A" w:rsidRPr="00766360" w:rsidRDefault="000B433A" w:rsidP="00195F39">
      <w:pPr>
        <w:rPr>
          <w:rFonts w:cs="Calibri"/>
          <w:szCs w:val="24"/>
          <w:lang w:val="de-DE"/>
        </w:rPr>
      </w:pPr>
      <w:r>
        <w:rPr>
          <w:rFonts w:cs="Calibri"/>
          <w:lang w:val="de-DE"/>
        </w:rPr>
        <w:t>Darüber hinaus zeigte die quantitative Analyse, dass die Umstellung auf ein Leistungsbegrenzungssystem anstelle eines Vorauszahlungssystems bei Verwendung des Budgetzählers die Kosten für die Gemeinde nicht senken und sogar die Verschuldung der Haushalte erhöhen würde.</w:t>
      </w:r>
    </w:p>
    <w:p w:rsidR="000B433A" w:rsidRPr="00766360" w:rsidRDefault="000B433A" w:rsidP="00195F39">
      <w:pPr>
        <w:rPr>
          <w:rFonts w:cs="Calibri"/>
          <w:szCs w:val="24"/>
          <w:lang w:val="de-DE"/>
        </w:rPr>
      </w:pPr>
      <w:r>
        <w:rPr>
          <w:rFonts w:cs="Calibri"/>
          <w:lang w:val="de-DE"/>
        </w:rPr>
        <w:t xml:space="preserve">Die CWaPE weist jedoch darauf hin, dass der Budgetzähler für eine Minderheit von Kunden, insbesondere für diejenigen in Energiearmut, zu erheblichen Entbehrungen führt, die die Menschenwürde verletzen und offenbar nicht in der Lage sind, die Bedürfnisse dieser Bevölkerungsgruppen allein zu befriedigen. Daher empfiehlt die CWaPE, die Funktionsweise des Budgetzählers als Instrument zu optimieren und gleichzeitig härter an dessen Akzeptanz zu arbeiten und andererseits die Vorauszahlung mit zusätzlichem Schutz und gezielter Unterstützung zu begleiten, sobald der Budgetzähler an bestimmte Grenzen stößt, unter anderem wenn er an den Heizträger angebunden wird oder wenn das Haushaltsbudget zur Deckung des grundlegenden Energiebedarfs nicht ausreicht. </w:t>
      </w:r>
    </w:p>
    <w:p w:rsidR="000B433A" w:rsidRDefault="000B433A" w:rsidP="00C53F8D">
      <w:pPr>
        <w:rPr>
          <w:rStyle w:val="Emphaseintense"/>
          <w:rFonts w:cs="Calibri"/>
          <w:szCs w:val="24"/>
          <w:lang w:val="de-DE"/>
        </w:rPr>
      </w:pPr>
      <w:r>
        <w:rPr>
          <w:rFonts w:cs="Calibri"/>
          <w:lang w:val="de-DE"/>
        </w:rPr>
        <w:t>In ihren Empfehlungen empfiehlt die CWaPE Maßnahmen, um sicherzustellen, dass der Budgetzähler stärker akzeptiert und genutzt wird. Er betont auch, dass eine Politik der Gefahrenverhütung erforderlich ist, die von einem zusätzlichen Schutz und einer gezielten Unterstützung für prekarisierte Kunden sowie von der Ausweitung des Konzepts der geschützten Kunden auf konjunkturelle Situationen begleitet wird. Mit dem Aufkommen von intelligenten Zählern empfiehlt die CWaPE die Steuerung und Entwicklung neuer Vorauszahlungsfunktionen. Sie stellt ferner fest, dass ein regionales sektorales Abkommen geschlossen werden muss, das sowohl die Information des Kunden im weiteren Sinne als auch die Verbesserung der Budgetzähler umfasst.</w:t>
      </w:r>
    </w:p>
    <w:p w:rsidR="000B433A" w:rsidRPr="00766360" w:rsidRDefault="000B433A" w:rsidP="00195F39">
      <w:pPr>
        <w:rPr>
          <w:rStyle w:val="Emphaseintense"/>
          <w:rFonts w:cs="Calibri"/>
          <w:szCs w:val="24"/>
          <w:lang w:val="de-DE"/>
        </w:rPr>
      </w:pPr>
      <w:r>
        <w:rPr>
          <w:rStyle w:val="Emphaseintense"/>
          <w:rFonts w:cs="Calibri"/>
          <w:lang w:val="de-DE"/>
        </w:rPr>
        <w:t>Den Rechtsrahmen für den Einsatz intelligenter Zähler fortsetzen</w:t>
      </w:r>
    </w:p>
    <w:p w:rsidR="000B433A" w:rsidRPr="00766360" w:rsidRDefault="000B433A" w:rsidP="00195F39">
      <w:pPr>
        <w:rPr>
          <w:rFonts w:cs="Calibri"/>
          <w:szCs w:val="24"/>
          <w:lang w:val="de-DE"/>
        </w:rPr>
      </w:pPr>
      <w:r>
        <w:rPr>
          <w:rFonts w:cs="Calibri"/>
          <w:lang w:val="de-DE"/>
        </w:rPr>
        <w:t xml:space="preserve">Im Juli 2018 wurde vom wallonischen Parlament eine Verordnung über die Verwendung und den Einsatz intelligenter Zähler verabschiedet. Sie wird durch Ausführungserlasse und technische Vorschriften umgesetzt. </w:t>
      </w:r>
    </w:p>
    <w:p w:rsidR="000B433A" w:rsidRPr="00766360" w:rsidRDefault="000B433A" w:rsidP="00195F39">
      <w:pPr>
        <w:rPr>
          <w:rFonts w:cs="Calibri"/>
          <w:szCs w:val="24"/>
          <w:lang w:val="de-DE"/>
        </w:rPr>
      </w:pPr>
      <w:r>
        <w:rPr>
          <w:rFonts w:cs="Calibri"/>
          <w:lang w:val="de-DE"/>
        </w:rPr>
        <w:t>Der Rechtsrahmen wird fortgesetzt, so dass spätestens bis zum 1. Januar 2023 die Installation und Aktivierung der Kommunikationsfunktion eines intelligenten Zählers in den folgenden Fällen systematisch erfolgt, es sei denn, dies ist technisch unmöglich oder wirtschaftlich nicht sinnvoll:</w:t>
      </w:r>
    </w:p>
    <w:p w:rsidR="000B433A" w:rsidRDefault="000B433A">
      <w:pPr>
        <w:pStyle w:val="Paragraphedeliste"/>
        <w:numPr>
          <w:ilvl w:val="0"/>
          <w:numId w:val="18"/>
        </w:numPr>
        <w:rPr>
          <w:rFonts w:cs="Calibri"/>
          <w:szCs w:val="24"/>
          <w:lang w:val="de-DE"/>
        </w:rPr>
      </w:pPr>
      <w:r>
        <w:rPr>
          <w:rFonts w:cs="Calibri"/>
          <w:lang w:val="de-DE"/>
        </w:rPr>
        <w:t xml:space="preserve">wenn es sich beim Netzwerkbenutzer um einen Privatkunden handelt, der als zahlungsunfähig gemeldet ist; </w:t>
      </w:r>
    </w:p>
    <w:p w:rsidR="000B433A" w:rsidRDefault="000B433A">
      <w:pPr>
        <w:pStyle w:val="Paragraphedeliste"/>
        <w:numPr>
          <w:ilvl w:val="0"/>
          <w:numId w:val="18"/>
        </w:numPr>
        <w:rPr>
          <w:rFonts w:cs="Calibri"/>
          <w:szCs w:val="24"/>
          <w:lang w:val="de-DE"/>
        </w:rPr>
      </w:pPr>
      <w:r>
        <w:rPr>
          <w:rFonts w:cs="Calibri"/>
          <w:lang w:val="de-DE"/>
        </w:rPr>
        <w:t>wenn ein Zähler ersetzt wird;</w:t>
      </w:r>
    </w:p>
    <w:p w:rsidR="000B433A" w:rsidRDefault="000B433A">
      <w:pPr>
        <w:pStyle w:val="Paragraphedeliste"/>
        <w:numPr>
          <w:ilvl w:val="0"/>
          <w:numId w:val="18"/>
        </w:numPr>
        <w:rPr>
          <w:rFonts w:cs="Calibri"/>
          <w:szCs w:val="24"/>
          <w:lang w:val="de-DE"/>
        </w:rPr>
      </w:pPr>
      <w:r>
        <w:rPr>
          <w:rFonts w:cs="Calibri"/>
          <w:lang w:val="de-DE"/>
        </w:rPr>
        <w:t>wenn eine neue Verbindung hergestellt wird;</w:t>
      </w:r>
    </w:p>
    <w:p w:rsidR="000B433A" w:rsidRDefault="000B433A">
      <w:pPr>
        <w:pStyle w:val="Paragraphedeliste"/>
        <w:numPr>
          <w:ilvl w:val="0"/>
          <w:numId w:val="18"/>
        </w:numPr>
        <w:jc w:val="left"/>
        <w:rPr>
          <w:rFonts w:cs="Calibri"/>
          <w:szCs w:val="24"/>
          <w:lang w:val="de-DE"/>
        </w:rPr>
      </w:pPr>
      <w:r>
        <w:rPr>
          <w:rFonts w:cs="Calibri"/>
          <w:lang w:val="de-DE"/>
        </w:rPr>
        <w:t>auf Anfrage eines Benutzers des Verteilernetzes.</w:t>
      </w:r>
    </w:p>
    <w:p w:rsidR="000B433A" w:rsidRPr="00766360" w:rsidRDefault="000B433A" w:rsidP="00195F39">
      <w:pPr>
        <w:pStyle w:val="Titre3"/>
        <w:rPr>
          <w:rStyle w:val="Emphaseple"/>
          <w:rFonts w:ascii="Calibri" w:hAnsi="Calibri" w:cs="Calibri"/>
          <w:iCs/>
          <w:color w:val="4F81BD"/>
          <w:szCs w:val="24"/>
          <w:lang w:val="de-DE"/>
        </w:rPr>
      </w:pPr>
      <w:r>
        <w:rPr>
          <w:rStyle w:val="Emphaseple"/>
          <w:rFonts w:ascii="Calibri" w:hAnsi="Calibri" w:cs="Calibri"/>
          <w:iCs/>
          <w:color w:val="4F81BD"/>
          <w:lang w:val="de-DE"/>
        </w:rPr>
        <w:t>Fördermaßnahmen zur Senkung des Verbrauchs oder des Rechnungsbetrags</w:t>
      </w:r>
    </w:p>
    <w:p w:rsidR="000B433A" w:rsidRPr="00766360" w:rsidRDefault="000B433A" w:rsidP="00195F39">
      <w:pPr>
        <w:rPr>
          <w:rFonts w:cs="Calibri"/>
          <w:szCs w:val="24"/>
          <w:lang w:val="de-DE"/>
        </w:rPr>
      </w:pPr>
      <w:r>
        <w:rPr>
          <w:rFonts w:cs="Calibri"/>
          <w:lang w:val="de-DE"/>
        </w:rPr>
        <w:t>In der Wallonischen Region werden verschiedene Mechanismen zur Verbesserung des Zugangs zu Energie und zur Unterstützung von Haushalten in Energiearmut eingerichtet: Sensibilisierung, Prämien, MEBAR-Programm.</w:t>
      </w:r>
    </w:p>
    <w:p w:rsidR="000B433A" w:rsidRPr="00766360" w:rsidRDefault="000B433A" w:rsidP="00195F39">
      <w:pPr>
        <w:rPr>
          <w:rStyle w:val="Emphaseintense"/>
          <w:rFonts w:cs="Calibri"/>
          <w:szCs w:val="24"/>
          <w:lang w:val="de-DE"/>
        </w:rPr>
      </w:pPr>
      <w:r>
        <w:rPr>
          <w:rStyle w:val="Emphaseintense"/>
          <w:rFonts w:cs="Calibri"/>
          <w:lang w:val="de-DE"/>
        </w:rPr>
        <w:t>Sensibilisierung</w:t>
      </w:r>
    </w:p>
    <w:p w:rsidR="000B433A" w:rsidRPr="00766360" w:rsidRDefault="000B433A" w:rsidP="00195F39">
      <w:pPr>
        <w:rPr>
          <w:rFonts w:cs="Calibri"/>
          <w:szCs w:val="24"/>
          <w:lang w:val="de-DE"/>
        </w:rPr>
      </w:pPr>
      <w:r>
        <w:rPr>
          <w:rFonts w:cs="Calibri"/>
          <w:lang w:val="de-DE"/>
        </w:rPr>
        <w:t>Es wurden verschiedene Instrumente der Sensibilisierung und Unterstützung prekarisierter Menschen ausgearbeitet: präventive Aktionspläne für die Energie (PAPE), Energietutoren und Schulungen für Sozialassistenten.</w:t>
      </w:r>
    </w:p>
    <w:p w:rsidR="000B433A" w:rsidRPr="00766360" w:rsidRDefault="000B433A" w:rsidP="00195F39">
      <w:pPr>
        <w:rPr>
          <w:rFonts w:cs="Calibri"/>
          <w:szCs w:val="24"/>
          <w:lang w:val="de-DE"/>
        </w:rPr>
      </w:pPr>
      <w:r>
        <w:rPr>
          <w:rFonts w:cs="Calibri"/>
          <w:lang w:val="de-DE"/>
        </w:rPr>
        <w:t xml:space="preserve">Die Aufgabe der </w:t>
      </w:r>
      <w:r w:rsidRPr="00766360">
        <w:rPr>
          <w:rFonts w:cs="Calibri"/>
          <w:szCs w:val="24"/>
          <w:u w:val="single"/>
          <w:lang w:val="de-DE"/>
        </w:rPr>
        <w:t>PAPE</w:t>
      </w:r>
      <w:r>
        <w:rPr>
          <w:rFonts w:cs="Calibri"/>
          <w:lang w:val="de-DE"/>
        </w:rPr>
        <w:t xml:space="preserve"> ist es, die Öffentlichkeit über die rationelle Energienutzung und die Kontrolle des Verbrauchs (Reduzierung des Verbrauchs und somit der Rechnungsbeträge) sowie über bestehende Beihilfen und Prämien in diesem Bereich zu informieren. Die Aktionen der PAPE schlagen auch die Umsetzung individueller Kontrollen in drei Phasen vor: die Energiebilanz des Haushalts, die Identifizierung möglicher Lösungen und die Unterstützung des Haushalts bei der Umsetzung.</w:t>
      </w:r>
    </w:p>
    <w:p w:rsidR="000B433A" w:rsidRPr="00766360" w:rsidRDefault="000B433A" w:rsidP="00195F39">
      <w:pPr>
        <w:rPr>
          <w:rFonts w:cs="Calibri"/>
          <w:szCs w:val="24"/>
          <w:lang w:val="de-DE"/>
        </w:rPr>
      </w:pPr>
      <w:r>
        <w:rPr>
          <w:rFonts w:cs="Calibri"/>
          <w:lang w:val="de-DE"/>
        </w:rPr>
        <w:t>Die Maßnahmen der ÖSHZ betreffen in diesem Zusammenhang die individuelle Überwachung prekarisierter Haushalte, die Begünstigte oder Nicht-Begünstigte der ÖSHZ sind. Darüber hinaus werden für diese Zielgruppe auch Informations- und Sensibilisierungsveranstaltungen organisiert.</w:t>
      </w:r>
    </w:p>
    <w:p w:rsidR="000B433A" w:rsidRPr="00766360" w:rsidRDefault="000B433A" w:rsidP="00195F39">
      <w:pPr>
        <w:rPr>
          <w:rFonts w:cs="Calibri"/>
          <w:szCs w:val="24"/>
          <w:lang w:val="de-DE"/>
        </w:rPr>
      </w:pPr>
      <w:r>
        <w:rPr>
          <w:rFonts w:cs="Calibri"/>
          <w:lang w:val="de-DE"/>
        </w:rPr>
        <w:t>Für 2017 - 2018 erhalten 121 PAPE einen Zuschuss in Höhe von insgesamt 2.752.456 €.</w:t>
      </w:r>
    </w:p>
    <w:p w:rsidR="000B433A" w:rsidRPr="00766360" w:rsidRDefault="000B433A" w:rsidP="00195F39">
      <w:pPr>
        <w:rPr>
          <w:rFonts w:cs="Calibri"/>
          <w:szCs w:val="24"/>
          <w:lang w:val="de-DE"/>
        </w:rPr>
      </w:pPr>
      <w:r>
        <w:rPr>
          <w:rFonts w:cs="Calibri"/>
          <w:lang w:val="de-DE"/>
        </w:rPr>
        <w:t xml:space="preserve">Die </w:t>
      </w:r>
      <w:r w:rsidRPr="00766360">
        <w:rPr>
          <w:rFonts w:cs="Calibri"/>
          <w:szCs w:val="24"/>
          <w:u w:val="single"/>
          <w:lang w:val="de-DE"/>
        </w:rPr>
        <w:t>„Energie“-Tutoren</w:t>
      </w:r>
      <w:r>
        <w:rPr>
          <w:rFonts w:cs="Calibri"/>
          <w:lang w:val="de-DE"/>
        </w:rPr>
        <w:t xml:space="preserve"> führen Aktionen um 9 Hauptachsen durch, nämlich: </w:t>
      </w:r>
    </w:p>
    <w:p w:rsidR="000B433A" w:rsidRDefault="000B433A">
      <w:pPr>
        <w:pStyle w:val="Paragraphedeliste"/>
        <w:numPr>
          <w:ilvl w:val="0"/>
          <w:numId w:val="47"/>
        </w:numPr>
        <w:autoSpaceDE w:val="0"/>
        <w:autoSpaceDN w:val="0"/>
        <w:adjustRightInd w:val="0"/>
        <w:spacing w:before="120"/>
        <w:rPr>
          <w:rFonts w:cs="Calibri"/>
          <w:szCs w:val="24"/>
          <w:lang w:val="de-DE"/>
        </w:rPr>
      </w:pPr>
      <w:r>
        <w:rPr>
          <w:rFonts w:cs="Calibri"/>
          <w:lang w:val="de-DE"/>
        </w:rPr>
        <w:t>eine Diagnose stellen, sie erklären, Empfehlungen abgeben, die Begünstigten weiterleiten und ihrer Verantwortung bewusst machen;</w:t>
      </w:r>
    </w:p>
    <w:p w:rsidR="000B433A" w:rsidRDefault="000B433A">
      <w:pPr>
        <w:pStyle w:val="Paragraphedeliste"/>
        <w:numPr>
          <w:ilvl w:val="0"/>
          <w:numId w:val="47"/>
        </w:numPr>
        <w:autoSpaceDE w:val="0"/>
        <w:autoSpaceDN w:val="0"/>
        <w:adjustRightInd w:val="0"/>
        <w:spacing w:before="120"/>
        <w:rPr>
          <w:rFonts w:cs="Calibri"/>
          <w:szCs w:val="24"/>
          <w:lang w:val="de-DE"/>
        </w:rPr>
      </w:pPr>
      <w:r>
        <w:rPr>
          <w:rFonts w:cs="Calibri"/>
          <w:lang w:val="de-DE"/>
        </w:rPr>
        <w:t>gefährdete Gruppen bei ihren Bemühungen um die Durchführung kleiner oder großer Energiesparprojekte unterstützen. Diese Mission beinhaltet den Besuch bei den Benutzern;</w:t>
      </w:r>
    </w:p>
    <w:p w:rsidR="000B433A" w:rsidRDefault="000B433A">
      <w:pPr>
        <w:pStyle w:val="Paragraphedeliste"/>
        <w:numPr>
          <w:ilvl w:val="0"/>
          <w:numId w:val="47"/>
        </w:numPr>
        <w:autoSpaceDE w:val="0"/>
        <w:autoSpaceDN w:val="0"/>
        <w:adjustRightInd w:val="0"/>
        <w:spacing w:before="120"/>
        <w:rPr>
          <w:rFonts w:cs="Calibri"/>
          <w:szCs w:val="24"/>
          <w:lang w:val="de-DE"/>
        </w:rPr>
      </w:pPr>
      <w:r>
        <w:rPr>
          <w:rFonts w:cs="Calibri"/>
          <w:lang w:val="de-DE"/>
        </w:rPr>
        <w:t>für die rationelle Energienutzung (REN) sensibilisieren;</w:t>
      </w:r>
    </w:p>
    <w:p w:rsidR="000B433A" w:rsidRDefault="000B433A">
      <w:pPr>
        <w:pStyle w:val="Paragraphedeliste"/>
        <w:numPr>
          <w:ilvl w:val="0"/>
          <w:numId w:val="47"/>
        </w:numPr>
        <w:autoSpaceDE w:val="0"/>
        <w:autoSpaceDN w:val="0"/>
        <w:adjustRightInd w:val="0"/>
        <w:spacing w:before="120"/>
        <w:rPr>
          <w:rFonts w:cs="Calibri"/>
          <w:szCs w:val="24"/>
          <w:lang w:val="de-DE"/>
        </w:rPr>
      </w:pPr>
      <w:r>
        <w:rPr>
          <w:rFonts w:cs="Calibri"/>
          <w:lang w:val="de-DE"/>
        </w:rPr>
        <w:t>das ÖSHZ informieren. Ziel ist es, Informationen bereitzustellen, die mit den Maßnahmen des Sozialdienstes übereinstimmen;</w:t>
      </w:r>
    </w:p>
    <w:p w:rsidR="000B433A" w:rsidRDefault="000B433A">
      <w:pPr>
        <w:pStyle w:val="Paragraphedeliste"/>
        <w:numPr>
          <w:ilvl w:val="0"/>
          <w:numId w:val="47"/>
        </w:numPr>
        <w:autoSpaceDE w:val="0"/>
        <w:autoSpaceDN w:val="0"/>
        <w:adjustRightInd w:val="0"/>
        <w:spacing w:before="120"/>
        <w:rPr>
          <w:rFonts w:cs="Calibri"/>
          <w:szCs w:val="24"/>
          <w:lang w:val="de-DE"/>
        </w:rPr>
      </w:pPr>
      <w:r>
        <w:rPr>
          <w:rFonts w:cs="Calibri"/>
          <w:lang w:val="de-DE"/>
        </w:rPr>
        <w:t>die Ergebnisse des Energieaudits erläutern, falls es durchgeführt werden konnte;</w:t>
      </w:r>
    </w:p>
    <w:p w:rsidR="000B433A" w:rsidRDefault="000B433A">
      <w:pPr>
        <w:pStyle w:val="Paragraphedeliste"/>
        <w:numPr>
          <w:ilvl w:val="0"/>
          <w:numId w:val="47"/>
        </w:numPr>
        <w:autoSpaceDE w:val="0"/>
        <w:autoSpaceDN w:val="0"/>
        <w:adjustRightInd w:val="0"/>
        <w:spacing w:before="120"/>
        <w:rPr>
          <w:rFonts w:cs="Calibri"/>
          <w:szCs w:val="24"/>
          <w:lang w:val="de-DE"/>
        </w:rPr>
      </w:pPr>
      <w:r>
        <w:rPr>
          <w:rFonts w:cs="Calibri"/>
          <w:lang w:val="de-DE"/>
        </w:rPr>
        <w:t>mit den Eigentümern verhandeln;</w:t>
      </w:r>
    </w:p>
    <w:p w:rsidR="000B433A" w:rsidRDefault="000B433A">
      <w:pPr>
        <w:pStyle w:val="Paragraphedeliste"/>
        <w:numPr>
          <w:ilvl w:val="0"/>
          <w:numId w:val="47"/>
        </w:numPr>
        <w:autoSpaceDE w:val="0"/>
        <w:autoSpaceDN w:val="0"/>
        <w:adjustRightInd w:val="0"/>
        <w:spacing w:before="120"/>
        <w:rPr>
          <w:rFonts w:cs="Calibri"/>
          <w:szCs w:val="24"/>
          <w:lang w:val="de-DE"/>
        </w:rPr>
      </w:pPr>
      <w:r>
        <w:rPr>
          <w:rFonts w:cs="Calibri"/>
          <w:lang w:val="de-DE"/>
        </w:rPr>
        <w:t>über bestehende Mechanismen und Verwaltungsverfahren informieren;</w:t>
      </w:r>
    </w:p>
    <w:p w:rsidR="000B433A" w:rsidRDefault="000B433A">
      <w:pPr>
        <w:pStyle w:val="Paragraphedeliste"/>
        <w:numPr>
          <w:ilvl w:val="0"/>
          <w:numId w:val="47"/>
        </w:numPr>
        <w:autoSpaceDE w:val="0"/>
        <w:autoSpaceDN w:val="0"/>
        <w:adjustRightInd w:val="0"/>
        <w:spacing w:before="120"/>
        <w:rPr>
          <w:rFonts w:cs="Calibri"/>
          <w:szCs w:val="24"/>
          <w:lang w:val="de-DE"/>
        </w:rPr>
      </w:pPr>
      <w:r>
        <w:rPr>
          <w:rFonts w:cs="Calibri"/>
          <w:lang w:val="de-DE"/>
        </w:rPr>
        <w:t>die Situation der Personen (ihre gesamten Umstände) sichtbar und lesbar machen und die Situation aus technischer, administrativer und verhaltensbezogener Sicht mit allen Beteiligten analysieren;</w:t>
      </w:r>
    </w:p>
    <w:p w:rsidR="000B433A" w:rsidRDefault="000B433A">
      <w:pPr>
        <w:pStyle w:val="Paragraphedeliste"/>
        <w:numPr>
          <w:ilvl w:val="0"/>
          <w:numId w:val="47"/>
        </w:numPr>
        <w:autoSpaceDE w:val="0"/>
        <w:autoSpaceDN w:val="0"/>
        <w:adjustRightInd w:val="0"/>
        <w:spacing w:before="120"/>
        <w:rPr>
          <w:rFonts w:cs="Calibri"/>
          <w:szCs w:val="24"/>
          <w:lang w:val="de-DE"/>
        </w:rPr>
      </w:pPr>
      <w:r>
        <w:rPr>
          <w:rFonts w:cs="Calibri"/>
          <w:lang w:val="de-DE"/>
        </w:rPr>
        <w:t>sich an der nachhaltigen Bewirtschaftung der Institution beteiligen, d. h. das Bewusstsein innerhalb der Institution schärfen / Überlegungen anstellen und Einstellungsänderungen herbeiführen.</w:t>
      </w:r>
    </w:p>
    <w:p w:rsidR="000B433A" w:rsidRPr="00766360" w:rsidRDefault="000B433A" w:rsidP="00195F39">
      <w:pPr>
        <w:rPr>
          <w:rStyle w:val="Emphaseintense"/>
          <w:rFonts w:cs="Calibri"/>
          <w:szCs w:val="24"/>
          <w:lang w:val="de-DE"/>
        </w:rPr>
      </w:pPr>
      <w:r>
        <w:rPr>
          <w:rStyle w:val="Emphaseintense"/>
          <w:rFonts w:cs="Calibri"/>
          <w:lang w:val="de-DE"/>
        </w:rPr>
        <w:t>Prämien</w:t>
      </w:r>
    </w:p>
    <w:p w:rsidR="000B433A" w:rsidRPr="00766360" w:rsidRDefault="000B433A" w:rsidP="00195F39">
      <w:pPr>
        <w:rPr>
          <w:rFonts w:cs="Calibri"/>
          <w:szCs w:val="24"/>
          <w:lang w:val="de-DE"/>
        </w:rPr>
      </w:pPr>
      <w:r>
        <w:rPr>
          <w:rFonts w:cs="Calibri"/>
          <w:lang w:val="de-DE"/>
        </w:rPr>
        <w:t xml:space="preserve">Darüber hinaus gewährt die Wallonische Region einen Zuschuss für Haushalte mit niedrigem Einkommen, um Arbeiten in ihrer Wohnung durchzuführen, die es ihnen ermöglichen wird, Energie rationeller nutzen zu können </w:t>
      </w:r>
      <w:r w:rsidRPr="00766360">
        <w:rPr>
          <w:rFonts w:cs="Calibri"/>
          <w:szCs w:val="24"/>
          <w:u w:val="single"/>
          <w:lang w:val="de-DE"/>
        </w:rPr>
        <w:t>(MEBAR-Prämien)</w:t>
      </w:r>
      <w:r>
        <w:rPr>
          <w:rFonts w:cs="Calibri"/>
          <w:lang w:val="de-DE"/>
        </w:rPr>
        <w:t>. Es handelt sich um eine Nothilfe. Dies kann der Austausch von Fenstern oder Außentüren, Isolierarbeiten, die Installation eines Ofens, die Auskleidung eines Schornsteins, die Installation eines Heizkessels oder eines Warmwasserbereiters etc. sein.</w:t>
      </w:r>
    </w:p>
    <w:p w:rsidR="000B433A" w:rsidRPr="00766360" w:rsidRDefault="000B433A" w:rsidP="00195F39">
      <w:pPr>
        <w:rPr>
          <w:rFonts w:cs="Calibri"/>
          <w:szCs w:val="24"/>
          <w:lang w:val="de-DE"/>
        </w:rPr>
      </w:pPr>
      <w:r>
        <w:rPr>
          <w:rFonts w:cs="Calibri"/>
          <w:lang w:val="de-DE"/>
        </w:rPr>
        <w:t xml:space="preserve">Der Zuschuss kann auch an einen Haushalt oder Antragsteller vergeben werden, der in einem Wohnwagen oder einem Chalet auf einem Campingplatz oder Wochenendpark lebt. </w:t>
      </w:r>
      <w:r w:rsidRPr="00766360">
        <w:rPr>
          <w:rFonts w:cs="Calibri"/>
          <w:szCs w:val="24"/>
          <w:lang w:val="de-DE"/>
        </w:rPr>
        <w:br/>
      </w:r>
      <w:r>
        <w:rPr>
          <w:rFonts w:cs="Calibri"/>
          <w:lang w:val="de-DE"/>
        </w:rPr>
        <w:t>Ist der Antragsteller Mieter, muss er zunächst die Zustimmung seines Vermieters einholen.</w:t>
      </w:r>
    </w:p>
    <w:p w:rsidR="000B433A" w:rsidRPr="00766360" w:rsidRDefault="000B433A" w:rsidP="00195F39">
      <w:pPr>
        <w:rPr>
          <w:rFonts w:cs="Calibri"/>
          <w:szCs w:val="24"/>
          <w:lang w:val="de-DE"/>
        </w:rPr>
      </w:pPr>
      <w:r>
        <w:rPr>
          <w:rFonts w:cs="Calibri"/>
          <w:lang w:val="de-DE"/>
        </w:rPr>
        <w:t>Um den Zuschuss zu erhalten, muss sich der Antragsteller an das ÖSHZ seiner Gemeinde wenden. Dieses prüft von Fall zu Fall die Bedingungen für die Gewährung und leitet das Verfahren ein, wenn der Antragsteller und die betreffenden Arbeiten die rechtlichen Voraussetzungen erfüllen.</w:t>
      </w:r>
    </w:p>
    <w:p w:rsidR="000B433A" w:rsidRPr="00766360" w:rsidRDefault="000B433A" w:rsidP="00195F39">
      <w:pPr>
        <w:rPr>
          <w:rFonts w:cs="Calibri"/>
          <w:szCs w:val="24"/>
          <w:lang w:val="de-DE"/>
        </w:rPr>
      </w:pPr>
      <w:r>
        <w:rPr>
          <w:rFonts w:cs="Calibri"/>
          <w:lang w:val="de-DE"/>
        </w:rPr>
        <w:t>Die Prämie beträgt maximal 1.365 € inkl. MwSt. für Haushalte, deren Ressourcen kleiner oder gleich dem Eingliederungseinkommen zuzüglich 20 % sind.</w:t>
      </w:r>
    </w:p>
    <w:p w:rsidR="000B433A" w:rsidRPr="00766360" w:rsidRDefault="000B433A" w:rsidP="00195F39">
      <w:pPr>
        <w:rPr>
          <w:rFonts w:cs="Calibri"/>
          <w:szCs w:val="24"/>
          <w:lang w:val="de-DE"/>
        </w:rPr>
      </w:pPr>
      <w:r>
        <w:rPr>
          <w:rFonts w:cs="Calibri"/>
          <w:lang w:val="de-DE"/>
        </w:rPr>
        <w:t>Für das allgemeine Budget der Ausgaben der WR ist ein jährlicher Betrag von 1,5 Millionen € vorgesehen. Dieser im ursprünglichen Haushaltsplan vorgesehene Jahresbetrag wird in der Regel bei der Änderung des Haushaltsplans erhöht und kann 1,75 Millionen Euro erreichen. Im Durchschnitt profitieren jährlich rund 1.200 Haushalte von den MEBAR-Prämien.</w:t>
      </w:r>
    </w:p>
    <w:p w:rsidR="000B433A" w:rsidRPr="00766360" w:rsidRDefault="000B433A" w:rsidP="00195F39">
      <w:pPr>
        <w:rPr>
          <w:rFonts w:cs="Calibri"/>
          <w:szCs w:val="24"/>
          <w:lang w:val="de-DE"/>
        </w:rPr>
      </w:pPr>
      <w:r>
        <w:rPr>
          <w:rFonts w:cs="Calibri"/>
          <w:lang w:val="de-DE"/>
        </w:rPr>
        <w:t>Es sollte eine Analyse durchgeführt werden, um die Zuschüsse für die Gebäudeisolierung umzuleiten, insbesondere durch Erhöhung der „Energieprämien“ für Menschen mit niedrigem Einkommen, um ihnen zu helfen, ihre Wohnungen zu verbessern und somit ihren Energieverbrauch zu senken.</w:t>
      </w:r>
    </w:p>
    <w:p w:rsidR="000B433A" w:rsidRPr="00766360" w:rsidRDefault="000B433A" w:rsidP="00195F39">
      <w:pPr>
        <w:rPr>
          <w:rFonts w:cs="Calibri"/>
          <w:szCs w:val="24"/>
          <w:lang w:val="de-DE"/>
        </w:rPr>
      </w:pPr>
      <w:r>
        <w:rPr>
          <w:rFonts w:cs="Calibri"/>
          <w:lang w:val="de-DE"/>
        </w:rPr>
        <w:t>Für folgende Investitionen werden Prämien gewährt: Wärmedämmung des Daches, Wärmedämmung der Wände, Wärmedämmung des Bodens, Installation effizienter Heiz- und/oder Warmwassersysteme, Durchführung eines Energieaudits.</w:t>
      </w:r>
    </w:p>
    <w:p w:rsidR="000B433A" w:rsidRPr="00093D26" w:rsidRDefault="000B433A" w:rsidP="00093D26">
      <w:pPr>
        <w:pStyle w:val="Titre2"/>
        <w:numPr>
          <w:ilvl w:val="1"/>
          <w:numId w:val="1"/>
        </w:numPr>
        <w:ind w:left="851" w:hanging="851"/>
        <w:rPr>
          <w:rFonts w:ascii="Calibri" w:hAnsi="Calibri" w:cs="Calibri"/>
          <w:color w:val="1F497D"/>
          <w:sz w:val="28"/>
          <w:szCs w:val="28"/>
          <w:lang w:val="de-DE"/>
        </w:rPr>
      </w:pPr>
      <w:bookmarkStart w:id="47" w:name="_Toc7802459"/>
      <w:r>
        <w:rPr>
          <w:rFonts w:ascii="Calibri" w:hAnsi="Calibri" w:cs="Calibri"/>
          <w:color w:val="1F497D"/>
          <w:sz w:val="28"/>
          <w:lang w:val="de-DE"/>
        </w:rPr>
        <w:t>Verbesserung der Wettbewerbsfähigkeit</w:t>
      </w:r>
      <w:bookmarkEnd w:id="47"/>
      <w:r>
        <w:rPr>
          <w:rFonts w:ascii="Calibri" w:hAnsi="Calibri" w:cs="Calibri"/>
          <w:color w:val="1F497D"/>
          <w:sz w:val="28"/>
          <w:lang w:val="de-DE"/>
        </w:rPr>
        <w:t xml:space="preserve"> </w:t>
      </w:r>
    </w:p>
    <w:p w:rsidR="000B433A" w:rsidRPr="00C33976" w:rsidRDefault="000B433A" w:rsidP="007A5478">
      <w:pPr>
        <w:rPr>
          <w:rFonts w:cs="Calibri"/>
          <w:szCs w:val="24"/>
          <w:lang w:val="de-DE"/>
        </w:rPr>
      </w:pPr>
      <w:r>
        <w:rPr>
          <w:rFonts w:cs="Calibri"/>
          <w:lang w:val="de-DE"/>
        </w:rPr>
        <w:t>Zur Verbesserung der Wettbewerbsfähigkeit der Unternehmen werden mehrere Maßnahmen ergriffen oder verstärkt:</w:t>
      </w:r>
    </w:p>
    <w:p w:rsidR="000B433A" w:rsidRDefault="000B433A">
      <w:pPr>
        <w:pStyle w:val="Paragraphedeliste"/>
        <w:numPr>
          <w:ilvl w:val="0"/>
          <w:numId w:val="52"/>
        </w:numPr>
        <w:rPr>
          <w:rFonts w:cs="Calibri"/>
          <w:szCs w:val="24"/>
          <w:lang w:val="de-DE"/>
        </w:rPr>
      </w:pPr>
      <w:r>
        <w:rPr>
          <w:rFonts w:cs="Calibri"/>
          <w:lang w:val="de-DE"/>
        </w:rPr>
        <w:t>Die Maßnahme „Carbon Leakage“ ist eine von der Europäischen Union seit 2012 genehmigte Maßnahme. Sie ermöglicht es, Unternehmen, die ihre Wettbewerbsfähigkeit gegenüber internationalen Unternehmen verloren haben, die nicht dem europäischen Emissionshandel unterlagen (hauptsächlich in den Bereichen Metallurgie, Stahl, Chemie, Pharma und Papier), finanziell zu entschädigen. Diese Maßnahme gilt bis 2020 und wird vermutlich verlängert werden;</w:t>
      </w:r>
    </w:p>
    <w:p w:rsidR="000B433A" w:rsidRDefault="000B433A">
      <w:pPr>
        <w:pStyle w:val="Paragraphedeliste"/>
        <w:numPr>
          <w:ilvl w:val="0"/>
          <w:numId w:val="52"/>
        </w:numPr>
        <w:rPr>
          <w:rFonts w:cs="Calibri"/>
          <w:szCs w:val="24"/>
          <w:lang w:val="de-DE"/>
        </w:rPr>
      </w:pPr>
      <w:r>
        <w:rPr>
          <w:rFonts w:cs="Calibri"/>
          <w:lang w:val="de-DE"/>
        </w:rPr>
        <w:t>Es werden verschiedene Maßnahmen ergriffen, um Unternehmen, einschließlich sehr kleiner Unternehmen und KMU (insbesondere über Novallia), bei der Senkung ihres Energieverbrauchs zu unterstützen: günstige Kredite, Unterstützung und Expertise, Investitionsbeihilfen usw;</w:t>
      </w:r>
    </w:p>
    <w:p w:rsidR="000B433A" w:rsidRDefault="000B433A">
      <w:pPr>
        <w:pStyle w:val="Paragraphedeliste"/>
        <w:numPr>
          <w:ilvl w:val="0"/>
          <w:numId w:val="52"/>
        </w:numPr>
        <w:rPr>
          <w:rFonts w:cs="Calibri"/>
          <w:szCs w:val="24"/>
          <w:lang w:val="de-DE"/>
        </w:rPr>
      </w:pPr>
      <w:r>
        <w:rPr>
          <w:rFonts w:cs="Calibri"/>
          <w:lang w:val="de-DE"/>
        </w:rPr>
        <w:t>Eine Studie über die Entwicklung aller Komponenten der Strom- und Gasrechnung wird jährlich aktualisiert (über eine FORBEG-Arbeitsgruppe). Auf dieser Grundlage wird die Notwendigkeit der Umsetzung einer Energienorm bewertet.</w:t>
      </w:r>
    </w:p>
    <w:p w:rsidR="000B433A" w:rsidRPr="00093D26" w:rsidRDefault="000B433A" w:rsidP="00093D26">
      <w:pPr>
        <w:pStyle w:val="Titre2"/>
        <w:numPr>
          <w:ilvl w:val="1"/>
          <w:numId w:val="1"/>
        </w:numPr>
        <w:ind w:left="851" w:hanging="851"/>
        <w:rPr>
          <w:rFonts w:ascii="Calibri" w:hAnsi="Calibri" w:cs="Calibri"/>
          <w:color w:val="1F497D"/>
          <w:sz w:val="28"/>
          <w:szCs w:val="28"/>
          <w:lang w:val="de-DE"/>
        </w:rPr>
      </w:pPr>
      <w:bookmarkStart w:id="48" w:name="_Toc7802460"/>
      <w:r>
        <w:rPr>
          <w:rFonts w:ascii="Calibri" w:hAnsi="Calibri" w:cs="Calibri"/>
          <w:color w:val="1F497D"/>
          <w:sz w:val="28"/>
          <w:lang w:val="de-DE"/>
        </w:rPr>
        <w:t>Maßnahmen im Zusammenhang mit Demand Response, dynamische Tarife</w:t>
      </w:r>
      <w:bookmarkEnd w:id="48"/>
    </w:p>
    <w:p w:rsidR="000B433A" w:rsidRPr="00C33976" w:rsidRDefault="000B433A" w:rsidP="00195F39">
      <w:pPr>
        <w:rPr>
          <w:rStyle w:val="Emphaseintense"/>
          <w:szCs w:val="24"/>
          <w:lang w:val="de-DE"/>
        </w:rPr>
      </w:pPr>
      <w:r>
        <w:rPr>
          <w:rStyle w:val="Emphaseintense"/>
          <w:lang w:val="de-DE"/>
        </w:rPr>
        <w:t>Einen Rechtsrahmen für die Flexibilität vorschlagen, um dynamische Tarife zu entwickeln</w:t>
      </w:r>
    </w:p>
    <w:p w:rsidR="000B433A" w:rsidRDefault="000B433A" w:rsidP="00195F39">
      <w:pPr>
        <w:rPr>
          <w:rFonts w:cs="Calibri"/>
          <w:szCs w:val="24"/>
          <w:lang w:val="de-DE"/>
        </w:rPr>
      </w:pPr>
      <w:r>
        <w:rPr>
          <w:rFonts w:cs="Calibri"/>
          <w:lang w:val="de-DE"/>
        </w:rPr>
        <w:t xml:space="preserve">Im Juli 2018 verabschiedete das wallonische Parlament ein Dekret zur Regelung der Flexibilität des Verteilernetzes. Dieses wird durch Ausführungserlasse und technische Vorschriften umgesetzt. </w:t>
      </w:r>
    </w:p>
    <w:p w:rsidR="000B433A" w:rsidRDefault="000B433A">
      <w:pPr>
        <w:spacing w:after="200"/>
        <w:jc w:val="left"/>
        <w:rPr>
          <w:rFonts w:cs="Calibri"/>
          <w:szCs w:val="24"/>
          <w:lang w:val="de-DE"/>
        </w:rPr>
      </w:pPr>
      <w:r>
        <w:rPr>
          <w:rFonts w:cs="Calibri"/>
          <w:szCs w:val="24"/>
          <w:lang w:val="de-DE"/>
        </w:rPr>
        <w:br w:type="page"/>
      </w:r>
    </w:p>
    <w:p w:rsidR="000B433A" w:rsidRPr="00093D26" w:rsidRDefault="000B433A" w:rsidP="00093D26">
      <w:pPr>
        <w:pStyle w:val="Titre1"/>
        <w:numPr>
          <w:ilvl w:val="0"/>
          <w:numId w:val="1"/>
        </w:numPr>
        <w:ind w:left="851" w:hanging="851"/>
        <w:rPr>
          <w:rFonts w:ascii="Calibri" w:hAnsi="Calibri" w:cs="Calibri"/>
          <w:smallCaps/>
          <w:color w:val="1F497D"/>
          <w:sz w:val="32"/>
          <w:szCs w:val="32"/>
          <w:u w:val="single"/>
          <w:lang w:val="de-DE"/>
        </w:rPr>
      </w:pPr>
      <w:bookmarkStart w:id="49" w:name="_Toc7802461"/>
      <w:r>
        <w:rPr>
          <w:rFonts w:ascii="Calibri" w:hAnsi="Calibri" w:cs="Calibri"/>
          <w:smallCaps/>
          <w:color w:val="1F497D"/>
          <w:sz w:val="32"/>
          <w:u w:val="single"/>
          <w:lang w:val="de-DE"/>
        </w:rPr>
        <w:t>Analyse der Messungen.</w:t>
      </w:r>
      <w:bookmarkEnd w:id="49"/>
      <w:r>
        <w:rPr>
          <w:rFonts w:ascii="Calibri" w:hAnsi="Calibri" w:cs="Calibri"/>
          <w:smallCaps/>
          <w:color w:val="1F497D"/>
          <w:sz w:val="32"/>
          <w:u w:val="single"/>
          <w:lang w:val="de-DE"/>
        </w:rPr>
        <w:t xml:space="preserve">  </w:t>
      </w:r>
    </w:p>
    <w:p w:rsidR="000B433A" w:rsidRDefault="000B433A">
      <w:pPr>
        <w:pStyle w:val="Paragraphedeliste"/>
        <w:numPr>
          <w:ilvl w:val="0"/>
          <w:numId w:val="55"/>
        </w:numPr>
        <w:pBdr>
          <w:top w:val="single" w:sz="4" w:space="1" w:color="01ADA4"/>
          <w:left w:val="single" w:sz="4" w:space="4" w:color="01ADA4"/>
          <w:bottom w:val="single" w:sz="4" w:space="1" w:color="01ADA4"/>
          <w:right w:val="single" w:sz="4" w:space="4" w:color="01ADA4"/>
        </w:pBdr>
        <w:spacing w:after="320" w:line="240" w:lineRule="auto"/>
        <w:ind w:hanging="720"/>
        <w:contextualSpacing w:val="0"/>
        <w:outlineLvl w:val="1"/>
        <w:rPr>
          <w:rFonts w:cs="Calibri"/>
          <w:b/>
          <w:vanish/>
          <w:color w:val="01ADA4"/>
          <w:sz w:val="32"/>
          <w:szCs w:val="32"/>
          <w:lang w:val="de-DE"/>
        </w:rPr>
      </w:pPr>
      <w:bookmarkStart w:id="50" w:name="_Toc7802462"/>
      <w:bookmarkEnd w:id="50"/>
    </w:p>
    <w:p w:rsidR="000B433A" w:rsidRDefault="000B433A">
      <w:pPr>
        <w:pStyle w:val="Paragraphedeliste"/>
        <w:numPr>
          <w:ilvl w:val="0"/>
          <w:numId w:val="55"/>
        </w:numPr>
        <w:pBdr>
          <w:top w:val="single" w:sz="4" w:space="1" w:color="01ADA4"/>
          <w:left w:val="single" w:sz="4" w:space="4" w:color="01ADA4"/>
          <w:bottom w:val="single" w:sz="4" w:space="1" w:color="01ADA4"/>
          <w:right w:val="single" w:sz="4" w:space="4" w:color="01ADA4"/>
        </w:pBdr>
        <w:spacing w:after="320" w:line="240" w:lineRule="auto"/>
        <w:ind w:hanging="720"/>
        <w:contextualSpacing w:val="0"/>
        <w:outlineLvl w:val="1"/>
        <w:rPr>
          <w:rFonts w:cs="Calibri"/>
          <w:b/>
          <w:vanish/>
          <w:color w:val="01ADA4"/>
          <w:sz w:val="32"/>
          <w:szCs w:val="32"/>
          <w:lang w:val="de-DE"/>
        </w:rPr>
      </w:pPr>
      <w:bookmarkStart w:id="51" w:name="_Toc7802463"/>
      <w:bookmarkEnd w:id="51"/>
    </w:p>
    <w:p w:rsidR="000B433A" w:rsidRDefault="000B433A">
      <w:pPr>
        <w:pStyle w:val="Paragraphedeliste"/>
        <w:numPr>
          <w:ilvl w:val="0"/>
          <w:numId w:val="55"/>
        </w:numPr>
        <w:pBdr>
          <w:top w:val="single" w:sz="4" w:space="1" w:color="01ADA4"/>
          <w:left w:val="single" w:sz="4" w:space="4" w:color="01ADA4"/>
          <w:bottom w:val="single" w:sz="4" w:space="1" w:color="01ADA4"/>
          <w:right w:val="single" w:sz="4" w:space="4" w:color="01ADA4"/>
        </w:pBdr>
        <w:spacing w:after="320" w:line="240" w:lineRule="auto"/>
        <w:ind w:hanging="720"/>
        <w:contextualSpacing w:val="0"/>
        <w:outlineLvl w:val="1"/>
        <w:rPr>
          <w:rFonts w:cs="Calibri"/>
          <w:b/>
          <w:vanish/>
          <w:color w:val="01ADA4"/>
          <w:sz w:val="32"/>
          <w:szCs w:val="32"/>
          <w:lang w:val="de-DE"/>
        </w:rPr>
      </w:pPr>
      <w:bookmarkStart w:id="52" w:name="_Toc7802464"/>
      <w:bookmarkEnd w:id="52"/>
    </w:p>
    <w:p w:rsidR="000B433A" w:rsidRDefault="000B433A">
      <w:pPr>
        <w:pStyle w:val="Paragraphedeliste"/>
        <w:numPr>
          <w:ilvl w:val="0"/>
          <w:numId w:val="55"/>
        </w:numPr>
        <w:pBdr>
          <w:top w:val="single" w:sz="4" w:space="1" w:color="01ADA4"/>
          <w:left w:val="single" w:sz="4" w:space="4" w:color="01ADA4"/>
          <w:bottom w:val="single" w:sz="4" w:space="1" w:color="01ADA4"/>
          <w:right w:val="single" w:sz="4" w:space="4" w:color="01ADA4"/>
        </w:pBdr>
        <w:spacing w:after="320" w:line="240" w:lineRule="auto"/>
        <w:ind w:hanging="720"/>
        <w:contextualSpacing w:val="0"/>
        <w:outlineLvl w:val="1"/>
        <w:rPr>
          <w:rFonts w:cs="Calibri"/>
          <w:b/>
          <w:vanish/>
          <w:color w:val="01ADA4"/>
          <w:sz w:val="32"/>
          <w:szCs w:val="32"/>
          <w:lang w:val="de-DE"/>
        </w:rPr>
      </w:pPr>
      <w:bookmarkStart w:id="53" w:name="_Toc7802465"/>
      <w:bookmarkEnd w:id="53"/>
    </w:p>
    <w:p w:rsidR="000B433A" w:rsidRDefault="000B433A">
      <w:pPr>
        <w:pStyle w:val="Paragraphedeliste"/>
        <w:numPr>
          <w:ilvl w:val="0"/>
          <w:numId w:val="55"/>
        </w:numPr>
        <w:pBdr>
          <w:top w:val="single" w:sz="4" w:space="1" w:color="01ADA4"/>
          <w:left w:val="single" w:sz="4" w:space="4" w:color="01ADA4"/>
          <w:bottom w:val="single" w:sz="4" w:space="1" w:color="01ADA4"/>
          <w:right w:val="single" w:sz="4" w:space="4" w:color="01ADA4"/>
        </w:pBdr>
        <w:spacing w:after="320" w:line="240" w:lineRule="auto"/>
        <w:ind w:hanging="720"/>
        <w:contextualSpacing w:val="0"/>
        <w:outlineLvl w:val="1"/>
        <w:rPr>
          <w:rFonts w:cs="Calibri"/>
          <w:b/>
          <w:vanish/>
          <w:color w:val="01ADA4"/>
          <w:sz w:val="32"/>
          <w:szCs w:val="32"/>
          <w:lang w:val="de-DE"/>
        </w:rPr>
      </w:pPr>
      <w:bookmarkStart w:id="54" w:name="_Toc7802466"/>
      <w:bookmarkEnd w:id="54"/>
    </w:p>
    <w:p w:rsidR="000B433A" w:rsidRDefault="000B433A">
      <w:pPr>
        <w:pStyle w:val="Paragraphedeliste"/>
        <w:numPr>
          <w:ilvl w:val="0"/>
          <w:numId w:val="55"/>
        </w:numPr>
        <w:pBdr>
          <w:top w:val="single" w:sz="4" w:space="1" w:color="01ADA4"/>
          <w:left w:val="single" w:sz="4" w:space="4" w:color="01ADA4"/>
          <w:bottom w:val="single" w:sz="4" w:space="1" w:color="01ADA4"/>
          <w:right w:val="single" w:sz="4" w:space="4" w:color="01ADA4"/>
        </w:pBdr>
        <w:spacing w:after="320" w:line="240" w:lineRule="auto"/>
        <w:ind w:hanging="720"/>
        <w:contextualSpacing w:val="0"/>
        <w:outlineLvl w:val="1"/>
        <w:rPr>
          <w:rFonts w:cs="Calibri"/>
          <w:b/>
          <w:vanish/>
          <w:color w:val="01ADA4"/>
          <w:sz w:val="32"/>
          <w:szCs w:val="32"/>
          <w:lang w:val="de-DE"/>
        </w:rPr>
      </w:pPr>
      <w:bookmarkStart w:id="55" w:name="_Toc7802467"/>
      <w:bookmarkEnd w:id="55"/>
    </w:p>
    <w:p w:rsidR="000B433A" w:rsidRDefault="000B433A">
      <w:pPr>
        <w:pStyle w:val="Paragraphedeliste"/>
        <w:numPr>
          <w:ilvl w:val="0"/>
          <w:numId w:val="55"/>
        </w:numPr>
        <w:pBdr>
          <w:top w:val="single" w:sz="4" w:space="1" w:color="01ADA4"/>
          <w:left w:val="single" w:sz="4" w:space="4" w:color="01ADA4"/>
          <w:bottom w:val="single" w:sz="4" w:space="1" w:color="01ADA4"/>
          <w:right w:val="single" w:sz="4" w:space="4" w:color="01ADA4"/>
        </w:pBdr>
        <w:spacing w:after="320" w:line="240" w:lineRule="auto"/>
        <w:ind w:hanging="720"/>
        <w:contextualSpacing w:val="0"/>
        <w:outlineLvl w:val="1"/>
        <w:rPr>
          <w:rFonts w:cs="Calibri"/>
          <w:b/>
          <w:vanish/>
          <w:color w:val="01ADA4"/>
          <w:sz w:val="32"/>
          <w:szCs w:val="32"/>
          <w:lang w:val="de-DE"/>
        </w:rPr>
      </w:pPr>
      <w:bookmarkStart w:id="56" w:name="_Toc7802468"/>
      <w:bookmarkEnd w:id="56"/>
    </w:p>
    <w:p w:rsidR="000B433A" w:rsidRPr="00766360" w:rsidRDefault="000B433A" w:rsidP="00197E1F">
      <w:pPr>
        <w:pStyle w:val="Titre2"/>
        <w:numPr>
          <w:ilvl w:val="1"/>
          <w:numId w:val="1"/>
        </w:numPr>
        <w:ind w:hanging="720"/>
        <w:rPr>
          <w:rFonts w:ascii="Calibri" w:hAnsi="Calibri" w:cs="Calibri"/>
          <w:color w:val="1F497D"/>
          <w:sz w:val="28"/>
          <w:szCs w:val="28"/>
          <w:lang w:val="de-DE"/>
        </w:rPr>
      </w:pPr>
      <w:bookmarkStart w:id="57" w:name="_Toc7802469"/>
      <w:r>
        <w:rPr>
          <w:rFonts w:ascii="Calibri" w:hAnsi="Calibri" w:cs="Calibri"/>
          <w:color w:val="1F497D"/>
          <w:sz w:val="28"/>
          <w:lang w:val="de-DE"/>
        </w:rPr>
        <w:t>Transportsektor</w:t>
      </w:r>
      <w:bookmarkEnd w:id="57"/>
    </w:p>
    <w:p w:rsidR="000B433A" w:rsidRPr="0022320C" w:rsidRDefault="000B433A" w:rsidP="006124BE">
      <w:pPr>
        <w:pStyle w:val="TEXTEI7"/>
        <w:rPr>
          <w:rFonts w:ascii="Calibri" w:hAnsi="Calibri" w:cs="Calibri"/>
          <w:sz w:val="24"/>
          <w:szCs w:val="24"/>
          <w:lang w:val="de-DE"/>
        </w:rPr>
      </w:pPr>
      <w:r>
        <w:rPr>
          <w:rFonts w:ascii="Calibri" w:hAnsi="Calibri" w:cs="Calibri"/>
          <w:sz w:val="24"/>
          <w:lang w:val="de-DE"/>
        </w:rPr>
        <w:t>Die Schätzungen der Tendenz in Hinblick auf Emissionen aus dem Transportsektor basieren auf den gleichen Prognosen wie jene, die zur Entwicklung der Treibhausgase erstellt wurden, einschließlich der Änderungen in der Mobilität und im Fahrzeugpark. Diese Schätzungen berücksichtigen in vollem Umfang die spezifischen luftrelevanten Maßnahmen des Erlasses über die Begrenzung des Fahrzeugverkehrs, nämlich:</w:t>
      </w:r>
    </w:p>
    <w:p w:rsidR="000B433A" w:rsidRDefault="000B433A">
      <w:pPr>
        <w:pStyle w:val="TEXTEI7"/>
        <w:numPr>
          <w:ilvl w:val="0"/>
          <w:numId w:val="18"/>
        </w:numPr>
        <w:spacing w:after="0"/>
        <w:ind w:left="714" w:hanging="357"/>
        <w:rPr>
          <w:rFonts w:ascii="Calibri" w:hAnsi="Calibri" w:cs="Calibri"/>
          <w:sz w:val="24"/>
          <w:szCs w:val="24"/>
          <w:lang w:val="de-DE"/>
        </w:rPr>
      </w:pPr>
      <w:r>
        <w:rPr>
          <w:rFonts w:ascii="Calibri" w:hAnsi="Calibri" w:cs="Calibri"/>
          <w:sz w:val="24"/>
          <w:lang w:val="de-DE"/>
        </w:rPr>
        <w:t xml:space="preserve">das progressive Verbot einer Nutzung der umweltschädlichsten Fahrzeuge; </w:t>
      </w:r>
    </w:p>
    <w:p w:rsidR="000B433A" w:rsidRDefault="000B433A">
      <w:pPr>
        <w:pStyle w:val="TEXTEI7"/>
        <w:numPr>
          <w:ilvl w:val="0"/>
          <w:numId w:val="18"/>
        </w:numPr>
        <w:spacing w:after="0"/>
        <w:ind w:left="714" w:hanging="357"/>
        <w:rPr>
          <w:rFonts w:ascii="Calibri" w:hAnsi="Calibri" w:cs="Calibri"/>
          <w:sz w:val="24"/>
          <w:szCs w:val="24"/>
          <w:lang w:val="de-DE"/>
        </w:rPr>
      </w:pPr>
      <w:r>
        <w:rPr>
          <w:rFonts w:ascii="Calibri" w:hAnsi="Calibri" w:cs="Calibri"/>
          <w:sz w:val="24"/>
          <w:lang w:val="de-DE"/>
        </w:rPr>
        <w:t>die Einrichtung von emissionsarmen Zonen;</w:t>
      </w:r>
    </w:p>
    <w:p w:rsidR="000B433A" w:rsidRDefault="000B433A">
      <w:pPr>
        <w:pStyle w:val="TEXTEI7"/>
        <w:numPr>
          <w:ilvl w:val="0"/>
          <w:numId w:val="18"/>
        </w:numPr>
        <w:spacing w:after="0"/>
        <w:ind w:left="714" w:hanging="357"/>
        <w:rPr>
          <w:rFonts w:ascii="Calibri" w:hAnsi="Calibri" w:cs="Calibri"/>
          <w:sz w:val="24"/>
          <w:szCs w:val="24"/>
          <w:lang w:val="de-DE"/>
        </w:rPr>
      </w:pPr>
      <w:r>
        <w:rPr>
          <w:rFonts w:ascii="Calibri" w:hAnsi="Calibri" w:cs="Calibri"/>
          <w:sz w:val="24"/>
          <w:lang w:val="de-DE"/>
        </w:rPr>
        <w:t>das Abstellen der Motoren von Fahrzeugen im Stillstand;</w:t>
      </w:r>
    </w:p>
    <w:p w:rsidR="000B433A" w:rsidRDefault="000B433A">
      <w:pPr>
        <w:pStyle w:val="TEXTEI7"/>
        <w:numPr>
          <w:ilvl w:val="0"/>
          <w:numId w:val="18"/>
        </w:numPr>
        <w:spacing w:after="0"/>
        <w:ind w:left="714" w:hanging="357"/>
        <w:rPr>
          <w:rFonts w:ascii="Calibri" w:hAnsi="Calibri" w:cs="Calibri"/>
          <w:sz w:val="24"/>
          <w:szCs w:val="24"/>
          <w:lang w:val="de-DE"/>
        </w:rPr>
      </w:pPr>
      <w:r>
        <w:rPr>
          <w:rFonts w:ascii="Calibri" w:hAnsi="Calibri" w:cs="Calibri"/>
          <w:sz w:val="24"/>
          <w:lang w:val="de-DE"/>
        </w:rPr>
        <w:t>die Stärkung der technischen Überwachung von Fahrzeugen ist eine Zwangs- und Kontrollmaßnahme und führt an sich nicht zu einer Verringerung der Emissionen.</w:t>
      </w:r>
    </w:p>
    <w:p w:rsidR="000B433A" w:rsidRPr="00D07F58" w:rsidRDefault="000B433A" w:rsidP="006124BE">
      <w:pPr>
        <w:pStyle w:val="TEXTEI7"/>
        <w:rPr>
          <w:lang w:val="de-DE"/>
        </w:rPr>
      </w:pPr>
    </w:p>
    <w:p w:rsidR="000B433A" w:rsidRDefault="000B433A" w:rsidP="006124BE">
      <w:pPr>
        <w:rPr>
          <w:rFonts w:cs="Calibri"/>
          <w:color w:val="4F81BD"/>
          <w:lang w:val="de-DE"/>
        </w:rPr>
      </w:pPr>
      <w:r>
        <w:rPr>
          <w:rFonts w:cs="Calibri"/>
          <w:color w:val="4F81BD"/>
          <w:lang w:val="de-DE"/>
        </w:rPr>
        <w:t>Die verschiedenen Maßnahmen haben Auswirkungen auf die Verringerung der Emissionen, was in den folgenden Grafiken veranschaulicht wird:</w:t>
      </w:r>
    </w:p>
    <w:p w:rsidR="000B433A" w:rsidRPr="007C47CC" w:rsidRDefault="005A6B21" w:rsidP="006124BE">
      <w:pPr>
        <w:rPr>
          <w:rFonts w:cs="Calibri"/>
          <w:color w:val="4F81BD"/>
          <w:lang w:val="de-DE"/>
        </w:rPr>
      </w:pPr>
      <w:r w:rsidRPr="005A6B21">
        <w:rPr>
          <w:rFonts w:cs="Calibri"/>
          <w:color w:val="4F81BD"/>
          <w:lang w:val="de-DE"/>
        </w:rPr>
      </w:r>
      <w:r>
        <w:rPr>
          <w:rFonts w:cs="Calibri"/>
          <w:color w:val="4F81BD"/>
          <w:lang w:val="de-DE"/>
        </w:rPr>
        <w:pict>
          <v:group id="_x0000_s1694" editas="canvas" style="width:457.6pt;height:272.65pt;mso-position-horizontal-relative:char;mso-position-vertical-relative:line" coordorigin=",-1345" coordsize="9152,5453">
            <o:lock v:ext="edit" aspectratio="t"/>
            <v:shape id="_x0000_s1695" type="#_x0000_t75" style="position:absolute;top:-1345;width:9152;height:5453" o:preferrelative="f">
              <v:fill o:detectmouseclick="t"/>
              <v:path o:extrusionok="t" o:connecttype="none"/>
              <o:lock v:ext="edit" text="t"/>
            </v:shape>
            <v:rect id="_x0000_s1696" style="position:absolute;left:2247;top:1340;width:4475;height:2690" stroked="f"/>
            <v:rect id="_x0000_s1697" style="position:absolute;left:3047;top:1964;width:3294;height:1601" stroked="f"/>
            <v:shape id="_x0000_s1698" style="position:absolute;left:3052;top:1955;width:3275;height:1340" coordsize="3275,1340" path="m,1331r3275,l3275,1340,,1340r,-9xm,1070r3275,l3275,1079,,1079r,-9xm,800r3275,l3275,809,,809r,-9xm,530r3275,l3275,539,,539r,-9xm,270r3275,l3275,279,,279r,-9xm,l3275,r,9l,9,,xe" fillcolor="#898989" strokecolor="#898989" strokeweight=".45pt">
              <v:stroke joinstyle="bevel"/>
              <v:path arrowok="t"/>
              <o:lock v:ext="edit" verticies="t"/>
            </v:shape>
            <v:shape id="_x0000_s1699" style="position:absolute;left:3298;top:2615;width:2782;height:941" coordsize="2782,941" path="m,l326,r,941l,941,,xm819,615r326,l1145,941r-326,l819,615xm1638,587r325,l1963,941r-325,l1638,587xm2457,578r325,l2782,941r-325,l2457,578xe" fillcolor="#4472c4" stroked="f">
              <v:path arrowok="t"/>
              <o:lock v:ext="edit" verticies="t"/>
            </v:shape>
            <v:shape id="_x0000_s1700" style="position:absolute;left:3298;top:2215;width:2782;height:1015" coordsize="2782,1015" path="m,l326,r,400l,400,,xm819,829r326,l1145,1015r-326,l819,829xm1638,801r325,l1963,987r-325,l1638,801xm2457,773r325,l2782,978r-325,l2457,773xe" fillcolor="#ed7d31" stroked="f">
              <v:path arrowok="t"/>
              <o:lock v:ext="edit" verticies="t"/>
            </v:shape>
            <v:rect id="_x0000_s1701" style="position:absolute;left:3047;top:1959;width:9;height:1601" fillcolor="#898989" strokecolor="#898989" strokeweight=".45pt">
              <v:stroke joinstyle="bevel"/>
            </v:rect>
            <v:shape id="_x0000_s1702" style="position:absolute;left:3005;top:1955;width:47;height:1610" coordsize="47,1610" path="m,1601r47,l47,1610r-47,l,1601xm,1331r47,l47,1340r-47,l,1331xm,1070r47,l47,1079r-47,l,1070xm,800r47,l47,809,,809r,-9xm,530r47,l47,539,,539r,-9xm,270r47,l47,279,,279r,-9xm,l47,r,9l,9,,xe" fillcolor="#898989" strokecolor="#898989" strokeweight=".45pt">
              <v:stroke joinstyle="bevel"/>
              <v:path arrowok="t"/>
              <o:lock v:ext="edit" verticies="t"/>
            </v:shape>
            <v:rect id="_x0000_s1703" style="position:absolute;left:3052;top:3556;width:3275;height:9" fillcolor="#898989" strokecolor="#898989" strokeweight=".45pt">
              <v:stroke joinstyle="bevel"/>
            </v:rect>
            <v:shape id="_x0000_s1704" style="position:absolute;left:3047;top:3560;width:3284;height:37" coordsize="3284,37" path="m9,r,37l,37,,,9,xm828,r,37l819,37,819,r9,xm1647,r,37l1638,37r,-37l1647,xm2466,r,37l2456,37r,-37l2466,xm3284,r,37l3275,37r,-37l3284,xe" fillcolor="#898989" strokecolor="#898989" strokeweight=".45pt">
              <v:stroke joinstyle="bevel"/>
              <v:path arrowok="t"/>
              <o:lock v:ext="edit" verticies="t"/>
            </v:shape>
            <v:rect id="_x0000_s1705" style="position:absolute;left:2869;top:3491;width:61;height:288;mso-wrap-style:none" filled="f" stroked="f">
              <v:textbox style="mso-fit-shape-to-text:t" inset="0,0,0,0">
                <w:txbxContent>
                  <w:p w:rsidR="000B433A" w:rsidRDefault="000B433A">
                    <w:r>
                      <w:rPr>
                        <w:rFonts w:cs="Calibri"/>
                        <w:color w:val="000000"/>
                        <w:sz w:val="12"/>
                        <w:szCs w:val="12"/>
                        <w:lang w:val="en-US"/>
                      </w:rPr>
                      <w:t>0</w:t>
                    </w:r>
                  </w:p>
                </w:txbxContent>
              </v:textbox>
            </v:rect>
            <v:rect id="_x0000_s1706" style="position:absolute;left:2658;top:3223;width:271;height:288;mso-wrap-style:none" filled="f" stroked="f">
              <v:textbox style="mso-fit-shape-to-text:t" inset="0,0,0,0">
                <w:txbxContent>
                  <w:p w:rsidR="000B433A" w:rsidRDefault="000B433A">
                    <w:r>
                      <w:rPr>
                        <w:rFonts w:cs="Calibri"/>
                        <w:color w:val="000000"/>
                        <w:sz w:val="12"/>
                        <w:szCs w:val="12"/>
                        <w:lang w:val="en-US"/>
                      </w:rPr>
                      <w:t>2 000</w:t>
                    </w:r>
                  </w:p>
                </w:txbxContent>
              </v:textbox>
            </v:rect>
            <v:rect id="_x0000_s1707" style="position:absolute;left:2658;top:2957;width:271;height:288;mso-wrap-style:none" filled="f" stroked="f">
              <v:textbox style="mso-fit-shape-to-text:t" inset="0,0,0,0">
                <w:txbxContent>
                  <w:p w:rsidR="000B433A" w:rsidRDefault="000B433A">
                    <w:r>
                      <w:rPr>
                        <w:rFonts w:cs="Calibri"/>
                        <w:color w:val="000000"/>
                        <w:sz w:val="12"/>
                        <w:szCs w:val="12"/>
                        <w:lang w:val="en-US"/>
                      </w:rPr>
                      <w:t>4 000</w:t>
                    </w:r>
                  </w:p>
                </w:txbxContent>
              </v:textbox>
            </v:rect>
            <v:rect id="_x0000_s1708" style="position:absolute;left:2658;top:2691;width:271;height:288;mso-wrap-style:none" filled="f" stroked="f">
              <v:textbox style="mso-fit-shape-to-text:t" inset="0,0,0,0">
                <w:txbxContent>
                  <w:p w:rsidR="000B433A" w:rsidRDefault="000B433A">
                    <w:r>
                      <w:rPr>
                        <w:rFonts w:cs="Calibri"/>
                        <w:color w:val="000000"/>
                        <w:sz w:val="12"/>
                        <w:szCs w:val="12"/>
                        <w:lang w:val="en-US"/>
                      </w:rPr>
                      <w:t>6 000</w:t>
                    </w:r>
                  </w:p>
                </w:txbxContent>
              </v:textbox>
            </v:rect>
            <v:rect id="_x0000_s1709" style="position:absolute;left:2658;top:2425;width:271;height:288;mso-wrap-style:none" filled="f" stroked="f">
              <v:textbox style="mso-fit-shape-to-text:t" inset="0,0,0,0">
                <w:txbxContent>
                  <w:p w:rsidR="000B433A" w:rsidRDefault="000B433A">
                    <w:r>
                      <w:rPr>
                        <w:rFonts w:cs="Calibri"/>
                        <w:color w:val="000000"/>
                        <w:sz w:val="12"/>
                        <w:szCs w:val="12"/>
                        <w:lang w:val="en-US"/>
                      </w:rPr>
                      <w:t>8 000</w:t>
                    </w:r>
                  </w:p>
                </w:txbxContent>
              </v:textbox>
            </v:rect>
            <v:rect id="_x0000_s1710" style="position:absolute;left:2590;top:2160;width:332;height:288;mso-wrap-style:none" filled="f" stroked="f">
              <v:textbox style="mso-fit-shape-to-text:t" inset="0,0,0,0">
                <w:txbxContent>
                  <w:p w:rsidR="000B433A" w:rsidRDefault="000B433A">
                    <w:r>
                      <w:rPr>
                        <w:rFonts w:cs="Calibri"/>
                        <w:color w:val="000000"/>
                        <w:sz w:val="12"/>
                        <w:szCs w:val="12"/>
                        <w:lang w:val="en-US"/>
                      </w:rPr>
                      <w:t>10 000</w:t>
                    </w:r>
                  </w:p>
                </w:txbxContent>
              </v:textbox>
            </v:rect>
            <v:rect id="_x0000_s1711" style="position:absolute;left:2590;top:1894;width:332;height:288;mso-wrap-style:none" filled="f" stroked="f">
              <v:textbox style="mso-fit-shape-to-text:t" inset="0,0,0,0">
                <w:txbxContent>
                  <w:p w:rsidR="000B433A" w:rsidRDefault="000B433A">
                    <w:r>
                      <w:rPr>
                        <w:rFonts w:cs="Calibri"/>
                        <w:color w:val="000000"/>
                        <w:sz w:val="12"/>
                        <w:szCs w:val="12"/>
                        <w:lang w:val="en-US"/>
                      </w:rPr>
                      <w:t>12 000</w:t>
                    </w:r>
                  </w:p>
                </w:txbxContent>
              </v:textbox>
            </v:rect>
            <v:rect id="_x0000_s1712" style="position:absolute;left:3332;top:3651;width:244;height:288;mso-wrap-style:none" filled="f" stroked="f">
              <v:textbox style="mso-fit-shape-to-text:t" inset="0,0,0,0">
                <w:txbxContent>
                  <w:p w:rsidR="000B433A" w:rsidRDefault="000B433A">
                    <w:r>
                      <w:rPr>
                        <w:rFonts w:cs="Calibri"/>
                        <w:color w:val="000000"/>
                        <w:sz w:val="12"/>
                        <w:szCs w:val="12"/>
                        <w:lang w:val="en-US"/>
                      </w:rPr>
                      <w:t>2005</w:t>
                    </w:r>
                  </w:p>
                </w:txbxContent>
              </v:textbox>
            </v:rect>
            <v:rect id="_x0000_s1713" style="position:absolute;left:4152;top:3651;width:244;height:288;mso-wrap-style:none" filled="f" stroked="f">
              <v:textbox style="mso-fit-shape-to-text:t" inset="0,0,0,0">
                <w:txbxContent>
                  <w:p w:rsidR="000B433A" w:rsidRDefault="000B433A">
                    <w:r>
                      <w:rPr>
                        <w:rFonts w:cs="Calibri"/>
                        <w:color w:val="000000"/>
                        <w:sz w:val="12"/>
                        <w:szCs w:val="12"/>
                        <w:lang w:val="en-US"/>
                      </w:rPr>
                      <w:t>2015</w:t>
                    </w:r>
                  </w:p>
                </w:txbxContent>
              </v:textbox>
            </v:rect>
            <v:rect id="_x0000_s1714" style="position:absolute;left:4823;top:3651;width:539;height:288;mso-wrap-style:none" filled="f" stroked="f">
              <v:textbox style="mso-fit-shape-to-text:t" inset="0,0,0,0">
                <w:txbxContent>
                  <w:p w:rsidR="000B433A" w:rsidRDefault="000B433A">
                    <w:r>
                      <w:rPr>
                        <w:rFonts w:cs="Calibri"/>
                        <w:color w:val="000000"/>
                        <w:sz w:val="12"/>
                        <w:szCs w:val="12"/>
                        <w:lang w:val="en-US"/>
                      </w:rPr>
                      <w:t>2030 WEM</w:t>
                    </w:r>
                  </w:p>
                </w:txbxContent>
              </v:textbox>
            </v:rect>
            <v:rect id="_x0000_s1715" style="position:absolute;left:5634;top:3651;width:550;height:288;mso-wrap-style:none" filled="f" stroked="f">
              <v:textbox style="mso-fit-shape-to-text:t" inset="0,0,0,0">
                <w:txbxContent>
                  <w:p w:rsidR="000B433A" w:rsidRDefault="000B433A">
                    <w:r>
                      <w:rPr>
                        <w:rFonts w:cs="Calibri"/>
                        <w:color w:val="000000"/>
                        <w:sz w:val="12"/>
                        <w:szCs w:val="12"/>
                        <w:lang w:val="en-US"/>
                      </w:rPr>
                      <w:t>2030 WAM</w:t>
                    </w:r>
                  </w:p>
                </w:txbxContent>
              </v:textbox>
            </v:rect>
            <v:rect id="_x0000_s1716" style="position:absolute;left:2528;top:3009;width:79;height:148;mso-wrap-style:none" filled="f" stroked="f">
              <v:textbox style="mso-fit-shape-to-text:t" inset="0,0,0,0">
                <w:txbxContent>
                  <w:p w:rsidR="000B433A" w:rsidRDefault="000B433A">
                    <w:proofErr w:type="gramStart"/>
                    <w:r>
                      <w:rPr>
                        <w:rFonts w:cs="Calibri"/>
                        <w:b/>
                        <w:bCs/>
                        <w:color w:val="000000"/>
                        <w:sz w:val="2"/>
                        <w:szCs w:val="2"/>
                        <w:lang w:val="en-US"/>
                      </w:rPr>
                      <w:t>t</w:t>
                    </w:r>
                    <w:proofErr w:type="gramEnd"/>
                    <w:r>
                      <w:rPr>
                        <w:rFonts w:cs="Calibri"/>
                        <w:b/>
                        <w:bCs/>
                        <w:color w:val="000000"/>
                        <w:sz w:val="2"/>
                        <w:szCs w:val="2"/>
                        <w:lang w:val="en-US"/>
                      </w:rPr>
                      <w:t xml:space="preserve"> COVNM</w:t>
                    </w:r>
                  </w:p>
                </w:txbxContent>
              </v:textbox>
            </v:rect>
            <v:rect id="_x0000_s1717" style="position:absolute;left:2847;top:1438;width:3465;height:429" filled="f" stroked="f">
              <v:textbox style="mso-fit-shape-to-text:t" inset="0,0,0,0">
                <w:txbxContent>
                  <w:p w:rsidR="000B433A" w:rsidRDefault="000B433A">
                    <w:r>
                      <w:rPr>
                        <w:rFonts w:cs="Calibri"/>
                        <w:b/>
                        <w:bCs/>
                        <w:color w:val="000000"/>
                        <w:sz w:val="22"/>
                        <w:lang w:val="en-US"/>
                      </w:rPr>
                      <w:t xml:space="preserve">Entwicklung der COVNM-Emissionen </w:t>
                    </w:r>
                  </w:p>
                </w:txbxContent>
              </v:textbox>
            </v:rect>
            <v:rect id="_x0000_s1718" style="position:absolute;left:3331;top:1708;width:568;height:429;mso-wrap-style:none" filled="f" stroked="f">
              <v:textbox style="mso-fit-shape-to-text:t" inset="0,0,0,0">
                <w:txbxContent>
                  <w:p w:rsidR="000B433A" w:rsidRDefault="000B433A">
                    <w:r>
                      <w:rPr>
                        <w:rFonts w:cs="Calibri"/>
                        <w:b/>
                        <w:bCs/>
                        <w:color w:val="000000"/>
                        <w:sz w:val="22"/>
                        <w:lang w:val="en-US"/>
                      </w:rPr>
                      <w:t>(WEM</w:t>
                    </w:r>
                  </w:p>
                </w:txbxContent>
              </v:textbox>
            </v:rect>
            <v:rect id="_x0000_s1719" style="position:absolute;left:3917;top:1708;width:68;height:429;mso-wrap-style:none" filled="f" stroked="f">
              <v:textbox style="mso-fit-shape-to-text:t" inset="0,0,0,0">
                <w:txbxContent>
                  <w:p w:rsidR="000B433A" w:rsidRDefault="000B433A">
                    <w:r>
                      <w:rPr>
                        <w:rFonts w:cs="Calibri"/>
                        <w:b/>
                        <w:bCs/>
                        <w:color w:val="000000"/>
                        <w:sz w:val="22"/>
                        <w:lang w:val="en-US"/>
                      </w:rPr>
                      <w:t>-</w:t>
                    </w:r>
                  </w:p>
                </w:txbxContent>
              </v:textbox>
            </v:rect>
            <v:rect id="_x0000_s1720" style="position:absolute;left:3983;top:1708;width:594;height:429;mso-wrap-style:none" filled="f" stroked="f">
              <v:textbox style="mso-fit-shape-to-text:t" inset="0,0,0,0">
                <w:txbxContent>
                  <w:p w:rsidR="000B433A" w:rsidRDefault="000B433A">
                    <w:r>
                      <w:rPr>
                        <w:rFonts w:cs="Calibri"/>
                        <w:b/>
                        <w:bCs/>
                        <w:color w:val="000000"/>
                        <w:sz w:val="22"/>
                        <w:lang w:val="en-US"/>
                      </w:rPr>
                      <w:t xml:space="preserve">WAM) </w:t>
                    </w:r>
                  </w:p>
                </w:txbxContent>
              </v:textbox>
            </v:rect>
            <v:rect id="_x0000_s1721" style="position:absolute;left:4615;top:1708;width:68;height:429;mso-wrap-style:none" filled="f" stroked="f">
              <v:textbox style="mso-fit-shape-to-text:t" inset="0,0,0,0">
                <w:txbxContent>
                  <w:p w:rsidR="000B433A" w:rsidRDefault="000B433A">
                    <w:r>
                      <w:rPr>
                        <w:rFonts w:cs="Calibri"/>
                        <w:b/>
                        <w:bCs/>
                        <w:color w:val="000000"/>
                        <w:sz w:val="22"/>
                        <w:lang w:val="en-US"/>
                      </w:rPr>
                      <w:t>-</w:t>
                    </w:r>
                  </w:p>
                </w:txbxContent>
              </v:textbox>
            </v:rect>
            <v:rect id="_x0000_s1722" style="position:absolute;left:4727;top:1708;width:893;height:429;mso-wrap-style:none" filled="f" stroked="f">
              <v:textbox style="mso-fit-shape-to-text:t" inset="0,0,0,0">
                <w:txbxContent>
                  <w:p w:rsidR="000B433A" w:rsidRDefault="000B433A">
                    <w:r>
                      <w:rPr>
                        <w:rFonts w:cs="Calibri"/>
                        <w:b/>
                        <w:bCs/>
                        <w:color w:val="000000"/>
                        <w:sz w:val="22"/>
                        <w:lang w:val="en-US"/>
                      </w:rPr>
                      <w:t>Transport</w:t>
                    </w:r>
                  </w:p>
                </w:txbxContent>
              </v:textbox>
            </v:rect>
            <v:rect id="_x0000_s1723" style="position:absolute;left:5094;top:2066;width:84;height:84" fillcolor="#ed7d31" stroked="f"/>
            <v:rect id="_x0000_s1724" style="position:absolute;left:5200;top:2035;width:1570;height:745;mso-wrap-style:none" filled="f" stroked="f">
              <v:textbox style="mso-next-textbox:#_x0000_s1724;mso-fit-shape-to-text:t" inset="0,0,0,0">
                <w:txbxContent>
                  <w:p w:rsidR="000B433A" w:rsidRPr="00D8228E" w:rsidRDefault="000B433A" w:rsidP="001E70CD">
                    <w:proofErr w:type="gramStart"/>
                    <w:r w:rsidRPr="00D8228E">
                      <w:rPr>
                        <w:rFonts w:cs="Calibri"/>
                        <w:color w:val="000000"/>
                        <w:sz w:val="12"/>
                        <w:szCs w:val="12"/>
                        <w:lang w:val="en-US"/>
                      </w:rPr>
                      <w:t>Nicht straßengebund</w:t>
                    </w:r>
                    <w:r>
                      <w:rPr>
                        <w:rFonts w:cs="Calibri"/>
                        <w:color w:val="000000"/>
                        <w:sz w:val="12"/>
                        <w:szCs w:val="12"/>
                        <w:lang w:val="en-US"/>
                      </w:rPr>
                      <w:t>.</w:t>
                    </w:r>
                    <w:proofErr w:type="gramEnd"/>
                    <w:r>
                      <w:rPr>
                        <w:rFonts w:cs="Calibri"/>
                        <w:i/>
                        <w:color w:val="808080"/>
                        <w:sz w:val="16"/>
                        <w:lang w:val="de-DE"/>
                      </w:rPr>
                      <w:t xml:space="preserve"> </w:t>
                    </w:r>
                    <w:r w:rsidRPr="00D8228E">
                      <w:rPr>
                        <w:rFonts w:cs="Calibri"/>
                        <w:color w:val="000000"/>
                        <w:sz w:val="12"/>
                        <w:szCs w:val="12"/>
                        <w:lang w:val="en-US"/>
                      </w:rPr>
                      <w:t>Transport</w:t>
                    </w:r>
                  </w:p>
                  <w:p w:rsidR="000B433A" w:rsidRPr="001E70CD" w:rsidRDefault="000B433A" w:rsidP="001E70CD"/>
                </w:txbxContent>
              </v:textbox>
            </v:rect>
            <v:rect id="_x0000_s1725" style="position:absolute;left:5907;top:2035;width:37;height:288;mso-wrap-style:none" filled="f" stroked="f">
              <v:textbox style="mso-fit-shape-to-text:t" inset="0,0,0,0">
                <w:txbxContent>
                  <w:p w:rsidR="000B433A" w:rsidRDefault="000B433A">
                    <w:r>
                      <w:rPr>
                        <w:rFonts w:cs="Calibri"/>
                        <w:color w:val="000000"/>
                        <w:sz w:val="12"/>
                        <w:szCs w:val="12"/>
                        <w:lang w:val="en-US"/>
                      </w:rPr>
                      <w:t>-</w:t>
                    </w:r>
                  </w:p>
                </w:txbxContent>
              </v:textbox>
            </v:rect>
            <v:rect id="_x0000_s1726" style="position:absolute;left:5094;top:2308;width:84;height:75" fillcolor="#4472c4" stroked="f"/>
            <v:rect id="_x0000_s1727" style="position:absolute;left:5200;top:2269;width:839;height:745;mso-wrap-style:none" filled="f" stroked="f">
              <v:textbox style="mso-fit-shape-to-text:t" inset="0,0,0,0">
                <w:txbxContent>
                  <w:p w:rsidR="000B433A" w:rsidRPr="004F17F9" w:rsidRDefault="000B433A" w:rsidP="004F17F9">
                    <w:r>
                      <w:rPr>
                        <w:rFonts w:cs="Calibri"/>
                        <w:color w:val="000000"/>
                        <w:sz w:val="12"/>
                        <w:szCs w:val="12"/>
                        <w:lang w:val="en-US"/>
                      </w:rPr>
                      <w:t>S</w:t>
                    </w:r>
                    <w:r w:rsidRPr="00D8228E">
                      <w:rPr>
                        <w:rFonts w:cs="Calibri"/>
                        <w:color w:val="000000"/>
                        <w:sz w:val="12"/>
                        <w:szCs w:val="12"/>
                        <w:lang w:val="en-US"/>
                      </w:rPr>
                      <w:t>traßen</w:t>
                    </w:r>
                    <w:r>
                      <w:rPr>
                        <w:rFonts w:cs="Calibri"/>
                        <w:color w:val="000000"/>
                        <w:sz w:val="12"/>
                        <w:szCs w:val="12"/>
                        <w:lang w:val="en-US"/>
                      </w:rPr>
                      <w:t>t</w:t>
                    </w:r>
                    <w:r w:rsidRPr="00D8228E">
                      <w:rPr>
                        <w:rFonts w:cs="Calibri"/>
                        <w:color w:val="000000"/>
                        <w:sz w:val="12"/>
                        <w:szCs w:val="12"/>
                        <w:lang w:val="en-US"/>
                      </w:rPr>
                      <w:t>ransport</w:t>
                    </w:r>
                  </w:p>
                  <w:p w:rsidR="000B433A" w:rsidRPr="004F17F9" w:rsidRDefault="000B433A" w:rsidP="004F17F9"/>
                </w:txbxContent>
              </v:textbox>
            </v:rect>
            <v:shape id="_x0000_s1728" style="position:absolute;left:2247;top:1340;width:4475;height:2690" coordsize="7696,4624" path="m,8hdc,4,4,,8,hal7688,hdc7693,,7696,4,7696,8hal7696,4616hdc7696,4621,7693,4624,7688,4624hal8,4624hdc4,4624,,4621,,4616hal,8hdxm16,4616hal8,4608r7680,l7680,4616,7680,8r8,8l8,16,16,8r,4608hdxe" fillcolor="#898989" strokecolor="#898989" strokeweight=".05pt">
              <v:path arrowok="t"/>
              <o:lock v:ext="edit" verticies="t"/>
            </v:shape>
            <v:rect id="_x0000_s1729" style="position:absolute;left:5;top:-1340;width:4475;height:2690" stroked="f"/>
            <v:rect id="_x0000_s1730" style="position:absolute;left:805;top:-679;width:3182;height:1563" stroked="f"/>
            <v:shape id="_x0000_s1731" style="position:absolute;left:809;top:-689;width:3164;height:1350" coordsize="3164,1350" path="m,1341r3164,l3164,1350,,1350r,-9xm,1117r3164,l3164,1126,,1126r,-9xm,894r3164,l3164,903,,903r,-9xm,670r3164,l3164,680,,680,,670xm,447r3164,l3164,456,,456r,-9xm,224r3164,l3164,233,,233r,-9xm,l3164,r,10l,10,,xe" fillcolor="#898989" strokecolor="#898989" strokeweight=".45pt">
              <v:stroke joinstyle="bevel"/>
              <v:path arrowok="t"/>
              <o:lock v:ext="edit" verticies="t"/>
            </v:shape>
            <v:shape id="_x0000_s1732" style="position:absolute;left:1047;top:-400;width:2689;height:1275" coordsize="2689,1275" path="m,l316,r,1275l,1275,,xm791,716r316,l1107,1275r-316,l791,716xm1581,940r317,l1898,1275r-317,l1581,940xm2372,1014r317,l2689,1275r-317,l2372,1014xe" fillcolor="#4472c4" stroked="f">
              <v:path arrowok="t"/>
              <o:lock v:ext="edit" verticies="t"/>
            </v:shape>
            <v:shape id="_x0000_s1733" style="position:absolute;left:1047;top:-549;width:2689;height:1163" coordsize="2689,1163" path="m,l316,r,149l,149,,xm791,735r316,l1107,865r-316,l791,735xm1581,968r317,l1898,1089r-317,l1581,968xm2372,1014r317,l2689,1163r-317,l2372,1014xe" fillcolor="#ed7d31" stroked="f">
              <v:path arrowok="t"/>
              <o:lock v:ext="edit" verticies="t"/>
            </v:shape>
            <v:rect id="_x0000_s1734" style="position:absolute;left:805;top:-684;width:9;height:1564" fillcolor="#898989" strokecolor="#898989" strokeweight=".45pt">
              <v:stroke joinstyle="bevel"/>
            </v:rect>
            <v:shape id="_x0000_s1735" style="position:absolute;left:763;top:-689;width:46;height:1573" coordsize="46,1573" path="m,1564r46,l46,1573r-46,l,1564xm,1341r46,l46,1350r-46,l,1341xm,1117r46,l46,1126r-46,l,1117xm,894r46,l46,903,,903r,-9xm,670r46,l46,680,,680,,670xm,447r46,l46,456,,456r,-9xm,224r46,l46,233,,233r,-9xm,l46,r,10l,10,,xe" fillcolor="#898989" strokecolor="#898989" strokeweight=".45pt">
              <v:stroke joinstyle="bevel"/>
              <v:path arrowok="t"/>
              <o:lock v:ext="edit" verticies="t"/>
            </v:shape>
            <v:rect id="_x0000_s1736" style="position:absolute;left:809;top:875;width:3164;height:9" fillcolor="#898989" strokecolor="#898989" strokeweight=".45pt">
              <v:stroke joinstyle="bevel"/>
            </v:rect>
            <v:shape id="_x0000_s1737" style="position:absolute;left:805;top:880;width:3173;height:37" coordsize="3173,37" path="m9,r,37l,37,,,9,xm800,r,37l791,37,791,r9,xm1591,r,37l1582,37r,-37l1591,xm2382,r,37l2372,37r,-37l2382,xm3173,r,37l3163,37r,-37l3173,xe" fillcolor="#898989" strokecolor="#898989" strokeweight=".45pt">
              <v:stroke joinstyle="bevel"/>
              <v:path arrowok="t"/>
              <o:lock v:ext="edit" verticies="t"/>
            </v:shape>
            <v:rect id="_x0000_s1738" style="position:absolute;left:627;top:809;width:61;height:288;mso-wrap-style:none" filled="f" stroked="f">
              <v:textbox style="mso-fit-shape-to-text:t" inset="0,0,0,0">
                <w:txbxContent>
                  <w:p w:rsidR="000B433A" w:rsidRDefault="000B433A">
                    <w:r>
                      <w:rPr>
                        <w:rFonts w:cs="Calibri"/>
                        <w:color w:val="000000"/>
                        <w:sz w:val="12"/>
                        <w:szCs w:val="12"/>
                        <w:lang w:val="en-US"/>
                      </w:rPr>
                      <w:t>0</w:t>
                    </w:r>
                  </w:p>
                </w:txbxContent>
              </v:textbox>
            </v:rect>
            <v:rect id="_x0000_s1739" style="position:absolute;left:499;top:586;width:183;height:288;mso-wrap-style:none" filled="f" stroked="f">
              <v:textbox style="mso-fit-shape-to-text:t" inset="0,0,0,0">
                <w:txbxContent>
                  <w:p w:rsidR="000B433A" w:rsidRDefault="000B433A">
                    <w:r>
                      <w:rPr>
                        <w:rFonts w:cs="Calibri"/>
                        <w:color w:val="000000"/>
                        <w:sz w:val="12"/>
                        <w:szCs w:val="12"/>
                        <w:lang w:val="en-US"/>
                      </w:rPr>
                      <w:t>500</w:t>
                    </w:r>
                  </w:p>
                </w:txbxContent>
              </v:textbox>
            </v:rect>
            <v:rect id="_x0000_s1740" style="position:absolute;left:416;top:363;width:271;height:288;mso-wrap-style:none" filled="f" stroked="f">
              <v:textbox style="mso-fit-shape-to-text:t" inset="0,0,0,0">
                <w:txbxContent>
                  <w:p w:rsidR="000B433A" w:rsidRDefault="000B433A">
                    <w:r>
                      <w:rPr>
                        <w:rFonts w:cs="Calibri"/>
                        <w:color w:val="000000"/>
                        <w:sz w:val="12"/>
                        <w:szCs w:val="12"/>
                        <w:lang w:val="en-US"/>
                      </w:rPr>
                      <w:t>1 000</w:t>
                    </w:r>
                  </w:p>
                </w:txbxContent>
              </v:textbox>
            </v:rect>
            <v:rect id="_x0000_s1741" style="position:absolute;left:416;top:142;width:271;height:288;mso-wrap-style:none" filled="f" stroked="f">
              <v:textbox style="mso-fit-shape-to-text:t" inset="0,0,0,0">
                <w:txbxContent>
                  <w:p w:rsidR="000B433A" w:rsidRDefault="000B433A">
                    <w:r>
                      <w:rPr>
                        <w:rFonts w:cs="Calibri"/>
                        <w:color w:val="000000"/>
                        <w:sz w:val="12"/>
                        <w:szCs w:val="12"/>
                        <w:lang w:val="en-US"/>
                      </w:rPr>
                      <w:t>1 500</w:t>
                    </w:r>
                  </w:p>
                </w:txbxContent>
              </v:textbox>
            </v:rect>
            <v:rect id="_x0000_s1742" style="position:absolute;left:416;top:-81;width:271;height:288;mso-wrap-style:none" filled="f" stroked="f">
              <v:textbox style="mso-fit-shape-to-text:t" inset="0,0,0,0">
                <w:txbxContent>
                  <w:p w:rsidR="000B433A" w:rsidRDefault="000B433A">
                    <w:r>
                      <w:rPr>
                        <w:rFonts w:cs="Calibri"/>
                        <w:color w:val="000000"/>
                        <w:sz w:val="12"/>
                        <w:szCs w:val="12"/>
                        <w:lang w:val="en-US"/>
                      </w:rPr>
                      <w:t>2 000</w:t>
                    </w:r>
                  </w:p>
                </w:txbxContent>
              </v:textbox>
            </v:rect>
            <v:rect id="_x0000_s1743" style="position:absolute;left:416;top:-305;width:271;height:288;mso-wrap-style:none" filled="f" stroked="f">
              <v:textbox style="mso-fit-shape-to-text:t" inset="0,0,0,0">
                <w:txbxContent>
                  <w:p w:rsidR="000B433A" w:rsidRDefault="000B433A">
                    <w:r>
                      <w:rPr>
                        <w:rFonts w:cs="Calibri"/>
                        <w:color w:val="000000"/>
                        <w:sz w:val="12"/>
                        <w:szCs w:val="12"/>
                        <w:lang w:val="en-US"/>
                      </w:rPr>
                      <w:t>2 500</w:t>
                    </w:r>
                  </w:p>
                </w:txbxContent>
              </v:textbox>
            </v:rect>
            <v:rect id="_x0000_s1744" style="position:absolute;left:416;top:-528;width:271;height:288;mso-wrap-style:none" filled="f" stroked="f">
              <v:textbox style="mso-fit-shape-to-text:t" inset="0,0,0,0">
                <w:txbxContent>
                  <w:p w:rsidR="000B433A" w:rsidRDefault="000B433A">
                    <w:r>
                      <w:rPr>
                        <w:rFonts w:cs="Calibri"/>
                        <w:color w:val="000000"/>
                        <w:sz w:val="12"/>
                        <w:szCs w:val="12"/>
                        <w:lang w:val="en-US"/>
                      </w:rPr>
                      <w:t>3 000</w:t>
                    </w:r>
                  </w:p>
                </w:txbxContent>
              </v:textbox>
            </v:rect>
            <v:rect id="_x0000_s1745" style="position:absolute;left:416;top:-751;width:271;height:288;mso-wrap-style:none" filled="f" stroked="f">
              <v:textbox style="mso-fit-shape-to-text:t" inset="0,0,0,0">
                <w:txbxContent>
                  <w:p w:rsidR="000B433A" w:rsidRDefault="000B433A">
                    <w:r>
                      <w:rPr>
                        <w:rFonts w:cs="Calibri"/>
                        <w:color w:val="000000"/>
                        <w:sz w:val="12"/>
                        <w:szCs w:val="12"/>
                        <w:lang w:val="en-US"/>
                      </w:rPr>
                      <w:t>3 500</w:t>
                    </w:r>
                  </w:p>
                </w:txbxContent>
              </v:textbox>
            </v:rect>
            <v:rect id="_x0000_s1746" style="position:absolute;left:1071;top:970;width:244;height:288;mso-wrap-style:none" filled="f" stroked="f">
              <v:textbox style="mso-fit-shape-to-text:t" inset="0,0,0,0">
                <w:txbxContent>
                  <w:p w:rsidR="000B433A" w:rsidRDefault="000B433A">
                    <w:r>
                      <w:rPr>
                        <w:rFonts w:cs="Calibri"/>
                        <w:color w:val="000000"/>
                        <w:sz w:val="12"/>
                        <w:szCs w:val="12"/>
                        <w:lang w:val="en-US"/>
                      </w:rPr>
                      <w:t>2005</w:t>
                    </w:r>
                  </w:p>
                </w:txbxContent>
              </v:textbox>
            </v:rect>
            <v:rect id="_x0000_s1747" style="position:absolute;left:1863;top:970;width:244;height:288;mso-wrap-style:none" filled="f" stroked="f">
              <v:textbox style="mso-fit-shape-to-text:t" inset="0,0,0,0">
                <w:txbxContent>
                  <w:p w:rsidR="000B433A" w:rsidRDefault="000B433A">
                    <w:r>
                      <w:rPr>
                        <w:rFonts w:cs="Calibri"/>
                        <w:color w:val="000000"/>
                        <w:sz w:val="12"/>
                        <w:szCs w:val="12"/>
                        <w:lang w:val="en-US"/>
                      </w:rPr>
                      <w:t>2015</w:t>
                    </w:r>
                  </w:p>
                </w:txbxContent>
              </v:textbox>
            </v:rect>
            <v:rect id="_x0000_s1748" style="position:absolute;left:2516;top:970;width:539;height:288;mso-wrap-style:none" filled="f" stroked="f">
              <v:textbox style="mso-fit-shape-to-text:t" inset="0,0,0,0">
                <w:txbxContent>
                  <w:p w:rsidR="000B433A" w:rsidRDefault="000B433A">
                    <w:r>
                      <w:rPr>
                        <w:rFonts w:cs="Calibri"/>
                        <w:color w:val="000000"/>
                        <w:sz w:val="12"/>
                        <w:szCs w:val="12"/>
                        <w:lang w:val="en-US"/>
                      </w:rPr>
                      <w:t>2030 WEM</w:t>
                    </w:r>
                  </w:p>
                </w:txbxContent>
              </v:textbox>
            </v:rect>
            <v:rect id="_x0000_s1749" style="position:absolute;left:3299;top:970;width:550;height:288;mso-wrap-style:none" filled="f" stroked="f">
              <v:textbox style="mso-fit-shape-to-text:t" inset="0,0,0,0">
                <w:txbxContent>
                  <w:p w:rsidR="000B433A" w:rsidRDefault="000B433A">
                    <w:r>
                      <w:rPr>
                        <w:rFonts w:cs="Calibri"/>
                        <w:color w:val="000000"/>
                        <w:sz w:val="12"/>
                        <w:szCs w:val="12"/>
                        <w:lang w:val="en-US"/>
                      </w:rPr>
                      <w:t>2030 WAM</w:t>
                    </w:r>
                  </w:p>
                </w:txbxContent>
              </v:textbox>
            </v:rect>
            <v:rect id="_x0000_s1750" style="position:absolute;left:348;top:309;width:66;height:148;mso-wrap-style:none" filled="f" stroked="f">
              <v:textbox style="mso-fit-shape-to-text:t" inset="0,0,0,0">
                <w:txbxContent>
                  <w:p w:rsidR="000B433A" w:rsidRDefault="000B433A">
                    <w:proofErr w:type="gramStart"/>
                    <w:r>
                      <w:rPr>
                        <w:rFonts w:cs="Calibri"/>
                        <w:b/>
                        <w:bCs/>
                        <w:color w:val="000000"/>
                        <w:sz w:val="2"/>
                        <w:szCs w:val="2"/>
                        <w:lang w:val="en-US"/>
                      </w:rPr>
                      <w:t>t</w:t>
                    </w:r>
                    <w:proofErr w:type="gramEnd"/>
                    <w:r>
                      <w:rPr>
                        <w:rFonts w:cs="Calibri"/>
                        <w:b/>
                        <w:bCs/>
                        <w:color w:val="000000"/>
                        <w:sz w:val="2"/>
                        <w:szCs w:val="2"/>
                        <w:lang w:val="en-US"/>
                      </w:rPr>
                      <w:t xml:space="preserve"> PM2.5</w:t>
                    </w:r>
                  </w:p>
                </w:txbxContent>
              </v:textbox>
            </v:rect>
            <v:rect id="_x0000_s1751" style="position:absolute;left:680;top:-1243;width:3212;height:429;mso-wrap-style:none" filled="f" stroked="f">
              <v:textbox style="mso-fit-shape-to-text:t" inset="0,0,0,0">
                <w:txbxContent>
                  <w:p w:rsidR="000B433A" w:rsidRDefault="000B433A">
                    <w:r>
                      <w:rPr>
                        <w:rFonts w:cs="Calibri"/>
                        <w:b/>
                        <w:bCs/>
                        <w:color w:val="000000"/>
                        <w:sz w:val="22"/>
                        <w:lang w:val="en-US"/>
                      </w:rPr>
                      <w:t xml:space="preserve">Entwicklung der PM2.5-Emissionen </w:t>
                    </w:r>
                  </w:p>
                </w:txbxContent>
              </v:textbox>
            </v:rect>
            <v:rect id="_x0000_s1752" style="position:absolute;left:1089;top:-973;width:568;height:429;mso-wrap-style:none" filled="f" stroked="f">
              <v:textbox style="mso-fit-shape-to-text:t" inset="0,0,0,0">
                <w:txbxContent>
                  <w:p w:rsidR="000B433A" w:rsidRDefault="000B433A">
                    <w:r>
                      <w:rPr>
                        <w:rFonts w:cs="Calibri"/>
                        <w:b/>
                        <w:bCs/>
                        <w:color w:val="000000"/>
                        <w:sz w:val="22"/>
                        <w:lang w:val="en-US"/>
                      </w:rPr>
                      <w:t>(WEM</w:t>
                    </w:r>
                  </w:p>
                </w:txbxContent>
              </v:textbox>
            </v:rect>
            <v:rect id="_x0000_s1753" style="position:absolute;left:1675;top:-973;width:68;height:429;mso-wrap-style:none" filled="f" stroked="f">
              <v:textbox style="mso-fit-shape-to-text:t" inset="0,0,0,0">
                <w:txbxContent>
                  <w:p w:rsidR="000B433A" w:rsidRDefault="000B433A">
                    <w:r>
                      <w:rPr>
                        <w:rFonts w:cs="Calibri"/>
                        <w:b/>
                        <w:bCs/>
                        <w:color w:val="000000"/>
                        <w:sz w:val="22"/>
                        <w:lang w:val="en-US"/>
                      </w:rPr>
                      <w:t>-</w:t>
                    </w:r>
                  </w:p>
                </w:txbxContent>
              </v:textbox>
            </v:rect>
            <v:rect id="_x0000_s1754" style="position:absolute;left:1740;top:-973;width:594;height:429;mso-wrap-style:none" filled="f" stroked="f">
              <v:textbox style="mso-fit-shape-to-text:t" inset="0,0,0,0">
                <w:txbxContent>
                  <w:p w:rsidR="000B433A" w:rsidRDefault="000B433A">
                    <w:r>
                      <w:rPr>
                        <w:rFonts w:cs="Calibri"/>
                        <w:b/>
                        <w:bCs/>
                        <w:color w:val="000000"/>
                        <w:sz w:val="22"/>
                        <w:lang w:val="en-US"/>
                      </w:rPr>
                      <w:t xml:space="preserve">WAM) </w:t>
                    </w:r>
                  </w:p>
                </w:txbxContent>
              </v:textbox>
            </v:rect>
            <v:rect id="_x0000_s1755" style="position:absolute;left:2373;top:-973;width:68;height:429;mso-wrap-style:none" filled="f" stroked="f">
              <v:textbox style="mso-fit-shape-to-text:t" inset="0,0,0,0">
                <w:txbxContent>
                  <w:p w:rsidR="000B433A" w:rsidRDefault="000B433A">
                    <w:r>
                      <w:rPr>
                        <w:rFonts w:cs="Calibri"/>
                        <w:b/>
                        <w:bCs/>
                        <w:color w:val="000000"/>
                        <w:sz w:val="22"/>
                        <w:lang w:val="en-US"/>
                      </w:rPr>
                      <w:t>-</w:t>
                    </w:r>
                  </w:p>
                </w:txbxContent>
              </v:textbox>
            </v:rect>
            <v:rect id="_x0000_s1756" style="position:absolute;left:2485;top:-973;width:893;height:429;mso-wrap-style:none" filled="f" stroked="f">
              <v:textbox style="mso-fit-shape-to-text:t" inset="0,0,0,0">
                <w:txbxContent>
                  <w:p w:rsidR="000B433A" w:rsidRDefault="000B433A">
                    <w:r>
                      <w:rPr>
                        <w:rFonts w:cs="Calibri"/>
                        <w:b/>
                        <w:bCs/>
                        <w:color w:val="000000"/>
                        <w:sz w:val="22"/>
                        <w:lang w:val="en-US"/>
                      </w:rPr>
                      <w:t>Transport</w:t>
                    </w:r>
                  </w:p>
                </w:txbxContent>
              </v:textbox>
            </v:rect>
            <v:rect id="_x0000_s1757" style="position:absolute;left:2740;top:-586;width:84;height:74" fillcolor="#ed7d31" stroked="f"/>
            <v:rect id="_x0000_s1758" style="position:absolute;left:2846;top:-619;width:1666;height:288" filled="f" stroked="f">
              <v:textbox style="mso-fit-shape-to-text:t" inset="0,0,0,0">
                <w:txbxContent>
                  <w:p w:rsidR="000B433A" w:rsidRPr="00D8228E" w:rsidRDefault="000B433A" w:rsidP="00D8228E">
                    <w:proofErr w:type="gramStart"/>
                    <w:r w:rsidRPr="00D8228E">
                      <w:rPr>
                        <w:rFonts w:cs="Calibri"/>
                        <w:color w:val="000000"/>
                        <w:sz w:val="12"/>
                        <w:szCs w:val="12"/>
                        <w:lang w:val="en-US"/>
                      </w:rPr>
                      <w:t>Nicht straßengebund</w:t>
                    </w:r>
                    <w:r>
                      <w:rPr>
                        <w:rFonts w:cs="Calibri"/>
                        <w:color w:val="000000"/>
                        <w:sz w:val="12"/>
                        <w:szCs w:val="12"/>
                        <w:lang w:val="en-US"/>
                      </w:rPr>
                      <w:t>.</w:t>
                    </w:r>
                    <w:proofErr w:type="gramEnd"/>
                    <w:r>
                      <w:rPr>
                        <w:rFonts w:cs="Calibri"/>
                        <w:i/>
                        <w:color w:val="808080"/>
                        <w:sz w:val="16"/>
                        <w:lang w:val="de-DE"/>
                      </w:rPr>
                      <w:t xml:space="preserve"> </w:t>
                    </w:r>
                    <w:r w:rsidRPr="00D8228E">
                      <w:rPr>
                        <w:rFonts w:cs="Calibri"/>
                        <w:color w:val="000000"/>
                        <w:sz w:val="12"/>
                        <w:szCs w:val="12"/>
                        <w:lang w:val="en-US"/>
                      </w:rPr>
                      <w:t>Transport</w:t>
                    </w:r>
                  </w:p>
                </w:txbxContent>
              </v:textbox>
            </v:rect>
            <v:rect id="_x0000_s1759" style="position:absolute;left:3553;top:-619;width:37;height:288;mso-wrap-style:none" filled="f" stroked="f">
              <v:textbox style="mso-fit-shape-to-text:t" inset="0,0,0,0">
                <w:txbxContent>
                  <w:p w:rsidR="000B433A" w:rsidRDefault="000B433A">
                    <w:r>
                      <w:rPr>
                        <w:rFonts w:cs="Calibri"/>
                        <w:color w:val="000000"/>
                        <w:sz w:val="12"/>
                        <w:szCs w:val="12"/>
                        <w:lang w:val="en-US"/>
                      </w:rPr>
                      <w:t>-</w:t>
                    </w:r>
                  </w:p>
                </w:txbxContent>
              </v:textbox>
            </v:rect>
            <v:rect id="_x0000_s1760" style="position:absolute;left:2740;top:-372;width:84;height:74" fillcolor="#4472c4" stroked="f"/>
            <v:rect id="_x0000_s1761" style="position:absolute;left:2846;top:-412;width:839;height:288;mso-wrap-style:none" filled="f" stroked="f">
              <v:textbox style="mso-fit-shape-to-text:t" inset="0,0,0,0">
                <w:txbxContent>
                  <w:p w:rsidR="000B433A" w:rsidRPr="004F17F9" w:rsidRDefault="000B433A" w:rsidP="004F17F9">
                    <w:r>
                      <w:rPr>
                        <w:rFonts w:cs="Calibri"/>
                        <w:color w:val="000000"/>
                        <w:sz w:val="12"/>
                        <w:szCs w:val="12"/>
                        <w:lang w:val="en-US"/>
                      </w:rPr>
                      <w:t>S</w:t>
                    </w:r>
                    <w:r w:rsidRPr="00D8228E">
                      <w:rPr>
                        <w:rFonts w:cs="Calibri"/>
                        <w:color w:val="000000"/>
                        <w:sz w:val="12"/>
                        <w:szCs w:val="12"/>
                        <w:lang w:val="en-US"/>
                      </w:rPr>
                      <w:t>traß</w:t>
                    </w:r>
                    <w:r>
                      <w:rPr>
                        <w:rFonts w:cs="Calibri"/>
                        <w:color w:val="000000"/>
                        <w:sz w:val="12"/>
                        <w:szCs w:val="12"/>
                        <w:lang w:val="en-US"/>
                      </w:rPr>
                      <w:t>ent</w:t>
                    </w:r>
                    <w:r w:rsidRPr="00D8228E">
                      <w:rPr>
                        <w:rFonts w:cs="Calibri"/>
                        <w:color w:val="000000"/>
                        <w:sz w:val="12"/>
                        <w:szCs w:val="12"/>
                        <w:lang w:val="en-US"/>
                      </w:rPr>
                      <w:t>ransport</w:t>
                    </w:r>
                  </w:p>
                </w:txbxContent>
              </v:textbox>
            </v:rect>
            <v:shape id="_x0000_s1762" style="position:absolute;left:5;top:-1340;width:4475;height:2690" coordsize="7696,4624" path="m,8hdc,4,4,,8,hal7688,hdc7693,,7696,4,7696,8hal7696,4616hdc7696,4621,7693,4624,7688,4624hal8,4624hdc4,4624,,4621,,4616hal,8hdxm16,4616hal8,4608r7680,l7680,4616,7680,8r8,8l8,16,16,8r,4608hdxe" fillcolor="#898989" strokecolor="#898989" strokeweight=".05pt">
              <v:path arrowok="t"/>
              <o:lock v:ext="edit" verticies="t"/>
            </v:shape>
            <v:rect id="_x0000_s1763" style="position:absolute;left:4512;top:-1345;width:4475;height:2690" stroked="f"/>
            <v:rect id="_x0000_s1764" style="position:absolute;left:5345;top:-735;width:3415;height:1619" stroked="f"/>
            <v:shape id="_x0000_s1765" style="position:absolute;left:5341;top:-735;width:3405;height:1387" coordsize="3405,1387" path="m,1377r3405,l3405,1387,,1387r,-10xm,1145r3405,l3405,1154,,1154r,-9xm,921r3405,l3405,930,,930r,-9xm,688r3405,l3405,698,,698,,688xm,456r3405,l3405,465,,465r,-9xm,232r3405,l3405,242,,242,,232xm,l3405,r,9l,9,,xe" fillcolor="#898989" strokecolor="#898989" strokeweight=".45pt">
              <v:stroke joinstyle="bevel"/>
              <v:path arrowok="t"/>
              <o:lock v:ext="edit" verticies="t"/>
            </v:shape>
            <v:shape id="_x0000_s1766" style="position:absolute;left:5596;top:-354;width:2894;height:1229" coordsize="2894,1229" path="m,l345,r,1229l,1229,,xm856,531r335,l1191,1229r-335,l856,531xm1703,1006r344,l2047,1229r-344,l1703,1006xm2559,1127r335,l2894,1229r-335,l2559,1127xe" fillcolor="#4472c4" stroked="f">
              <v:path arrowok="t"/>
              <o:lock v:ext="edit" verticies="t"/>
            </v:shape>
            <v:shape id="_x0000_s1767" style="position:absolute;left:5596;top:-568;width:2894;height:1341" coordsize="2894,1341" path="m,l345,r,214l,214,,xm856,605r335,l1191,745r-335,l856,605xm1703,1061r344,l2047,1220r-344,l1703,1061xm2559,1089r335,l2894,1341r-335,l2559,1089xe" fillcolor="#ed7d31" stroked="f">
              <v:path arrowok="t"/>
              <o:lock v:ext="edit" verticies="t"/>
            </v:shape>
            <v:rect id="_x0000_s1768" style="position:absolute;left:5336;top:-731;width:9;height:1611" fillcolor="#898989" strokecolor="#898989" strokeweight=".45pt">
              <v:stroke joinstyle="bevel"/>
            </v:rect>
            <v:shape id="_x0000_s1769" style="position:absolute;left:5303;top:-735;width:38;height:1619" coordsize="38,1619" path="m,1610r38,l38,1619r-38,l,1610xm,1377r38,l38,1387r-38,l,1377xm,1145r38,l38,1154r-38,l,1145xm,921r38,l38,930,,930r,-9xm,688r38,l38,698,,698,,688xm,456r38,l38,465,,465r,-9xm,232r38,l38,242,,242,,232xm,l38,r,9l,9,,xe" fillcolor="#898989" strokecolor="#898989" strokeweight=".45pt">
              <v:stroke joinstyle="bevel"/>
              <v:path arrowok="t"/>
              <o:lock v:ext="edit" verticies="t"/>
            </v:shape>
            <v:rect id="_x0000_s1770" style="position:absolute;left:5341;top:875;width:3405;height:9" fillcolor="#898989" strokecolor="#898989" strokeweight=".45pt">
              <v:stroke joinstyle="bevel"/>
            </v:rect>
            <v:shape id="_x0000_s1771" style="position:absolute;left:5336;top:880;width:3415;height:37" coordsize="3415,37" path="m9,r,37l,37,,,9,xm865,r,37l856,37,856,r9,xm1712,r,37l1703,37r,-37l1712,xm2568,r,37l2559,37r,-37l2568,xm3415,r,37l3405,37r,-37l3415,xe" fillcolor="#898989" strokecolor="#898989" strokeweight=".45pt">
              <v:stroke joinstyle="bevel"/>
              <v:path arrowok="t"/>
              <o:lock v:ext="edit" verticies="t"/>
            </v:shape>
            <v:rect id="_x0000_s1772" style="position:absolute;left:5165;top:809;width:61;height:288;mso-wrap-style:none" filled="f" stroked="f">
              <v:textbox style="mso-fit-shape-to-text:t" inset="0,0,0,0">
                <w:txbxContent>
                  <w:p w:rsidR="000B433A" w:rsidRDefault="000B433A">
                    <w:r>
                      <w:rPr>
                        <w:rFonts w:cs="Calibri"/>
                        <w:color w:val="000000"/>
                        <w:sz w:val="12"/>
                        <w:szCs w:val="12"/>
                        <w:lang w:val="en-US"/>
                      </w:rPr>
                      <w:t>0</w:t>
                    </w:r>
                  </w:p>
                </w:txbxContent>
              </v:textbox>
            </v:rect>
            <v:rect id="_x0000_s1773" style="position:absolute;left:4886;top:579;width:332;height:288;mso-wrap-style:none" filled="f" stroked="f">
              <v:textbox style="mso-fit-shape-to-text:t" inset="0,0,0,0">
                <w:txbxContent>
                  <w:p w:rsidR="000B433A" w:rsidRDefault="000B433A">
                    <w:r>
                      <w:rPr>
                        <w:rFonts w:cs="Calibri"/>
                        <w:color w:val="000000"/>
                        <w:sz w:val="12"/>
                        <w:szCs w:val="12"/>
                        <w:lang w:val="en-US"/>
                      </w:rPr>
                      <w:t>10 000</w:t>
                    </w:r>
                  </w:p>
                </w:txbxContent>
              </v:textbox>
            </v:rect>
            <v:rect id="_x0000_s1774" style="position:absolute;left:4886;top:349;width:332;height:288;mso-wrap-style:none" filled="f" stroked="f">
              <v:textbox style="mso-fit-shape-to-text:t" inset="0,0,0,0">
                <w:txbxContent>
                  <w:p w:rsidR="000B433A" w:rsidRDefault="000B433A">
                    <w:r>
                      <w:rPr>
                        <w:rFonts w:cs="Calibri"/>
                        <w:color w:val="000000"/>
                        <w:sz w:val="12"/>
                        <w:szCs w:val="12"/>
                        <w:lang w:val="en-US"/>
                      </w:rPr>
                      <w:t>20 000</w:t>
                    </w:r>
                  </w:p>
                </w:txbxContent>
              </v:textbox>
            </v:rect>
            <v:rect id="_x0000_s1775" style="position:absolute;left:4886;top:119;width:332;height:288;mso-wrap-style:none" filled="f" stroked="f">
              <v:textbox style="mso-fit-shape-to-text:t" inset="0,0,0,0">
                <w:txbxContent>
                  <w:p w:rsidR="000B433A" w:rsidRDefault="000B433A">
                    <w:r>
                      <w:rPr>
                        <w:rFonts w:cs="Calibri"/>
                        <w:color w:val="000000"/>
                        <w:sz w:val="12"/>
                        <w:szCs w:val="12"/>
                        <w:lang w:val="en-US"/>
                      </w:rPr>
                      <w:t>30 000</w:t>
                    </w:r>
                  </w:p>
                </w:txbxContent>
              </v:textbox>
            </v:rect>
            <v:rect id="_x0000_s1776" style="position:absolute;left:4886;top:-111;width:332;height:288;mso-wrap-style:none" filled="f" stroked="f">
              <v:textbox style="mso-fit-shape-to-text:t" inset="0,0,0,0">
                <w:txbxContent>
                  <w:p w:rsidR="000B433A" w:rsidRDefault="000B433A">
                    <w:r>
                      <w:rPr>
                        <w:rFonts w:cs="Calibri"/>
                        <w:color w:val="000000"/>
                        <w:sz w:val="12"/>
                        <w:szCs w:val="12"/>
                        <w:lang w:val="en-US"/>
                      </w:rPr>
                      <w:t>40 000</w:t>
                    </w:r>
                  </w:p>
                </w:txbxContent>
              </v:textbox>
            </v:rect>
            <v:rect id="_x0000_s1777" style="position:absolute;left:4886;top:-341;width:332;height:288;mso-wrap-style:none" filled="f" stroked="f">
              <v:textbox style="mso-fit-shape-to-text:t" inset="0,0,0,0">
                <w:txbxContent>
                  <w:p w:rsidR="000B433A" w:rsidRDefault="000B433A">
                    <w:r>
                      <w:rPr>
                        <w:rFonts w:cs="Calibri"/>
                        <w:color w:val="000000"/>
                        <w:sz w:val="12"/>
                        <w:szCs w:val="12"/>
                        <w:lang w:val="en-US"/>
                      </w:rPr>
                      <w:t>50 000</w:t>
                    </w:r>
                  </w:p>
                </w:txbxContent>
              </v:textbox>
            </v:rect>
            <v:rect id="_x0000_s1778" style="position:absolute;left:4886;top:-571;width:332;height:288;mso-wrap-style:none" filled="f" stroked="f">
              <v:textbox style="mso-fit-shape-to-text:t" inset="0,0,0,0">
                <w:txbxContent>
                  <w:p w:rsidR="000B433A" w:rsidRDefault="000B433A">
                    <w:r>
                      <w:rPr>
                        <w:rFonts w:cs="Calibri"/>
                        <w:color w:val="000000"/>
                        <w:sz w:val="12"/>
                        <w:szCs w:val="12"/>
                        <w:lang w:val="en-US"/>
                      </w:rPr>
                      <w:t>60 000</w:t>
                    </w:r>
                  </w:p>
                </w:txbxContent>
              </v:textbox>
            </v:rect>
            <v:rect id="_x0000_s1779" style="position:absolute;left:4886;top:-799;width:332;height:288;mso-wrap-style:none" filled="f" stroked="f">
              <v:textbox style="mso-fit-shape-to-text:t" inset="0,0,0,0">
                <w:txbxContent>
                  <w:p w:rsidR="000B433A" w:rsidRDefault="000B433A">
                    <w:r>
                      <w:rPr>
                        <w:rFonts w:cs="Calibri"/>
                        <w:color w:val="000000"/>
                        <w:sz w:val="12"/>
                        <w:szCs w:val="12"/>
                        <w:lang w:val="en-US"/>
                      </w:rPr>
                      <w:t>70 000</w:t>
                    </w:r>
                  </w:p>
                </w:txbxContent>
              </v:textbox>
            </v:rect>
            <v:rect id="_x0000_s1780" style="position:absolute;left:5637;top:970;width:244;height:288;mso-wrap-style:none" filled="f" stroked="f">
              <v:textbox style="mso-fit-shape-to-text:t" inset="0,0,0,0">
                <w:txbxContent>
                  <w:p w:rsidR="000B433A" w:rsidRDefault="000B433A">
                    <w:r>
                      <w:rPr>
                        <w:rFonts w:cs="Calibri"/>
                        <w:color w:val="000000"/>
                        <w:sz w:val="12"/>
                        <w:szCs w:val="12"/>
                        <w:lang w:val="en-US"/>
                      </w:rPr>
                      <w:t>2005</w:t>
                    </w:r>
                  </w:p>
                </w:txbxContent>
              </v:textbox>
            </v:rect>
            <v:rect id="_x0000_s1781" style="position:absolute;left:6488;top:970;width:244;height:288;mso-wrap-style:none" filled="f" stroked="f">
              <v:textbox style="mso-fit-shape-to-text:t" inset="0,0,0,0">
                <w:txbxContent>
                  <w:p w:rsidR="000B433A" w:rsidRDefault="000B433A">
                    <w:r>
                      <w:rPr>
                        <w:rFonts w:cs="Calibri"/>
                        <w:color w:val="000000"/>
                        <w:sz w:val="12"/>
                        <w:szCs w:val="12"/>
                        <w:lang w:val="en-US"/>
                      </w:rPr>
                      <w:t>2015</w:t>
                    </w:r>
                  </w:p>
                </w:txbxContent>
              </v:textbox>
            </v:rect>
            <v:rect id="_x0000_s1782" style="position:absolute;left:7199;top:970;width:539;height:288;mso-wrap-style:none" filled="f" stroked="f">
              <v:textbox style="mso-fit-shape-to-text:t" inset="0,0,0,0">
                <w:txbxContent>
                  <w:p w:rsidR="000B433A" w:rsidRDefault="000B433A">
                    <w:r>
                      <w:rPr>
                        <w:rFonts w:cs="Calibri"/>
                        <w:color w:val="000000"/>
                        <w:sz w:val="12"/>
                        <w:szCs w:val="12"/>
                        <w:lang w:val="en-US"/>
                      </w:rPr>
                      <w:t>2030 WEM</w:t>
                    </w:r>
                  </w:p>
                </w:txbxContent>
              </v:textbox>
            </v:rect>
            <v:rect id="_x0000_s1783" style="position:absolute;left:8041;top:970;width:550;height:288;mso-wrap-style:none" filled="f" stroked="f">
              <v:textbox style="mso-fit-shape-to-text:t" inset="0,0,0,0">
                <w:txbxContent>
                  <w:p w:rsidR="000B433A" w:rsidRDefault="000B433A">
                    <w:r>
                      <w:rPr>
                        <w:rFonts w:cs="Calibri"/>
                        <w:color w:val="000000"/>
                        <w:sz w:val="12"/>
                        <w:szCs w:val="12"/>
                        <w:lang w:val="en-US"/>
                      </w:rPr>
                      <w:t>2030 WAM</w:t>
                    </w:r>
                  </w:p>
                </w:txbxContent>
              </v:textbox>
            </v:rect>
            <v:rect id="_x0000_s1784" style="position:absolute;left:4824;top:219;width:45;height:148;mso-wrap-style:none" filled="f" stroked="f">
              <v:textbox style="mso-fit-shape-to-text:t" inset="0,0,0,0">
                <w:txbxContent>
                  <w:p w:rsidR="000B433A" w:rsidRDefault="000B433A">
                    <w:proofErr w:type="gramStart"/>
                    <w:r>
                      <w:rPr>
                        <w:rFonts w:cs="Calibri"/>
                        <w:b/>
                        <w:bCs/>
                        <w:color w:val="000000"/>
                        <w:sz w:val="2"/>
                        <w:szCs w:val="2"/>
                        <w:lang w:val="en-US"/>
                      </w:rPr>
                      <w:t>t</w:t>
                    </w:r>
                    <w:proofErr w:type="gramEnd"/>
                    <w:r>
                      <w:rPr>
                        <w:rFonts w:cs="Calibri"/>
                        <w:b/>
                        <w:bCs/>
                        <w:color w:val="000000"/>
                        <w:sz w:val="2"/>
                        <w:szCs w:val="2"/>
                        <w:lang w:val="en-US"/>
                      </w:rPr>
                      <w:t xml:space="preserve"> Nox</w:t>
                    </w:r>
                  </w:p>
                </w:txbxContent>
              </v:textbox>
            </v:rect>
            <v:rect id="_x0000_s1785" style="position:absolute;left:4872;top:-1243;width:3120;height:429" filled="f" stroked="f">
              <v:textbox style="mso-fit-shape-to-text:t" inset="0,0,0,0">
                <w:txbxContent>
                  <w:p w:rsidR="000B433A" w:rsidRPr="005B4E7D" w:rsidRDefault="000B433A">
                    <w:pPr>
                      <w:rPr>
                        <w:sz w:val="22"/>
                      </w:rPr>
                    </w:pPr>
                    <w:r>
                      <w:rPr>
                        <w:rFonts w:cs="Calibri"/>
                        <w:b/>
                        <w:bCs/>
                        <w:color w:val="000000"/>
                        <w:sz w:val="22"/>
                        <w:lang w:val="en-US"/>
                      </w:rPr>
                      <w:t>Entwicklung der NO</w:t>
                    </w:r>
                    <w:r>
                      <w:rPr>
                        <w:rFonts w:cs="Calibri"/>
                        <w:b/>
                        <w:bCs/>
                        <w:color w:val="000000"/>
                        <w:sz w:val="16"/>
                        <w:szCs w:val="16"/>
                        <w:lang w:val="en-US"/>
                      </w:rPr>
                      <w:t>x</w:t>
                    </w:r>
                    <w:r>
                      <w:rPr>
                        <w:rFonts w:cs="Calibri"/>
                        <w:b/>
                        <w:bCs/>
                        <w:color w:val="000000"/>
                        <w:sz w:val="22"/>
                        <w:lang w:val="en-US"/>
                      </w:rPr>
                      <w:t>-Emissionen</w:t>
                    </w:r>
                  </w:p>
                </w:txbxContent>
              </v:textbox>
            </v:rect>
            <v:rect id="_x0000_s1786" style="position:absolute;left:5564;top:-973;width:568;height:429;mso-wrap-style:none" filled="f" stroked="f">
              <v:textbox style="mso-fit-shape-to-text:t" inset="0,0,0,0">
                <w:txbxContent>
                  <w:p w:rsidR="000B433A" w:rsidRDefault="000B433A">
                    <w:r>
                      <w:rPr>
                        <w:rFonts w:cs="Calibri"/>
                        <w:b/>
                        <w:bCs/>
                        <w:color w:val="000000"/>
                        <w:sz w:val="22"/>
                        <w:lang w:val="en-US"/>
                      </w:rPr>
                      <w:t>(WEM</w:t>
                    </w:r>
                  </w:p>
                </w:txbxContent>
              </v:textbox>
            </v:rect>
            <v:rect id="_x0000_s1787" style="position:absolute;left:6150;top:-973;width:68;height:429;mso-wrap-style:none" filled="f" stroked="f">
              <v:textbox style="mso-fit-shape-to-text:t" inset="0,0,0,0">
                <w:txbxContent>
                  <w:p w:rsidR="000B433A" w:rsidRDefault="000B433A">
                    <w:r>
                      <w:rPr>
                        <w:rFonts w:cs="Calibri"/>
                        <w:b/>
                        <w:bCs/>
                        <w:color w:val="000000"/>
                        <w:sz w:val="22"/>
                        <w:lang w:val="en-US"/>
                      </w:rPr>
                      <w:t>-</w:t>
                    </w:r>
                  </w:p>
                </w:txbxContent>
              </v:textbox>
            </v:rect>
            <v:rect id="_x0000_s1788" style="position:absolute;left:6216;top:-973;width:594;height:429;mso-wrap-style:none" filled="f" stroked="f">
              <v:textbox style="mso-fit-shape-to-text:t" inset="0,0,0,0">
                <w:txbxContent>
                  <w:p w:rsidR="000B433A" w:rsidRDefault="000B433A">
                    <w:r>
                      <w:rPr>
                        <w:rFonts w:cs="Calibri"/>
                        <w:b/>
                        <w:bCs/>
                        <w:color w:val="000000"/>
                        <w:sz w:val="22"/>
                        <w:lang w:val="en-US"/>
                      </w:rPr>
                      <w:t xml:space="preserve">WAM) </w:t>
                    </w:r>
                  </w:p>
                </w:txbxContent>
              </v:textbox>
            </v:rect>
            <v:rect id="_x0000_s1789" style="position:absolute;left:6848;top:-973;width:68;height:429;mso-wrap-style:none" filled="f" stroked="f">
              <v:textbox style="mso-fit-shape-to-text:t" inset="0,0,0,0">
                <w:txbxContent>
                  <w:p w:rsidR="000B433A" w:rsidRDefault="000B433A">
                    <w:r>
                      <w:rPr>
                        <w:rFonts w:cs="Calibri"/>
                        <w:b/>
                        <w:bCs/>
                        <w:color w:val="000000"/>
                        <w:sz w:val="22"/>
                        <w:lang w:val="en-US"/>
                      </w:rPr>
                      <w:t>-</w:t>
                    </w:r>
                  </w:p>
                </w:txbxContent>
              </v:textbox>
            </v:rect>
            <v:rect id="_x0000_s1790" style="position:absolute;left:6960;top:-973;width:893;height:429;mso-wrap-style:none" filled="f" stroked="f">
              <v:textbox style="mso-fit-shape-to-text:t" inset="0,0,0,0">
                <w:txbxContent>
                  <w:p w:rsidR="000B433A" w:rsidRDefault="000B433A">
                    <w:r>
                      <w:rPr>
                        <w:rFonts w:cs="Calibri"/>
                        <w:b/>
                        <w:bCs/>
                        <w:color w:val="000000"/>
                        <w:sz w:val="22"/>
                        <w:lang w:val="en-US"/>
                      </w:rPr>
                      <w:t>Transport</w:t>
                    </w:r>
                  </w:p>
                </w:txbxContent>
              </v:textbox>
            </v:rect>
            <v:rect id="_x0000_s1791" style="position:absolute;left:7476;top:-614;width:84;height:74" fillcolor="#ed7d31" stroked="f"/>
            <v:rect id="_x0000_s1792" style="position:absolute;left:7582;top:-650;width:1570;height:745;mso-wrap-style:none" filled="f" stroked="f">
              <v:textbox style="mso-fit-shape-to-text:t" inset="0,0,0,0">
                <w:txbxContent>
                  <w:p w:rsidR="000B433A" w:rsidRPr="00D8228E" w:rsidRDefault="000B433A" w:rsidP="004F17F9">
                    <w:proofErr w:type="gramStart"/>
                    <w:r w:rsidRPr="00D8228E">
                      <w:rPr>
                        <w:rFonts w:cs="Calibri"/>
                        <w:color w:val="000000"/>
                        <w:sz w:val="12"/>
                        <w:szCs w:val="12"/>
                        <w:lang w:val="en-US"/>
                      </w:rPr>
                      <w:t>Nicht straßengebund</w:t>
                    </w:r>
                    <w:r>
                      <w:rPr>
                        <w:rFonts w:cs="Calibri"/>
                        <w:color w:val="000000"/>
                        <w:sz w:val="12"/>
                        <w:szCs w:val="12"/>
                        <w:lang w:val="en-US"/>
                      </w:rPr>
                      <w:t>.</w:t>
                    </w:r>
                    <w:proofErr w:type="gramEnd"/>
                    <w:r>
                      <w:rPr>
                        <w:rFonts w:cs="Calibri"/>
                        <w:i/>
                        <w:color w:val="808080"/>
                        <w:sz w:val="16"/>
                        <w:lang w:val="de-DE"/>
                      </w:rPr>
                      <w:t xml:space="preserve"> </w:t>
                    </w:r>
                    <w:r w:rsidRPr="00D8228E">
                      <w:rPr>
                        <w:rFonts w:cs="Calibri"/>
                        <w:color w:val="000000"/>
                        <w:sz w:val="12"/>
                        <w:szCs w:val="12"/>
                        <w:lang w:val="en-US"/>
                      </w:rPr>
                      <w:t>Transport</w:t>
                    </w:r>
                  </w:p>
                  <w:p w:rsidR="000B433A" w:rsidRPr="004F17F9" w:rsidRDefault="000B433A" w:rsidP="004F17F9"/>
                </w:txbxContent>
              </v:textbox>
            </v:rect>
            <v:rect id="_x0000_s1793" style="position:absolute;left:8289;top:-650;width:37;height:288;mso-wrap-style:none" filled="f" stroked="f">
              <v:textbox style="mso-fit-shape-to-text:t" inset="0,0,0,0">
                <w:txbxContent>
                  <w:p w:rsidR="000B433A" w:rsidRDefault="000B433A">
                    <w:r>
                      <w:rPr>
                        <w:rFonts w:cs="Calibri"/>
                        <w:color w:val="000000"/>
                        <w:sz w:val="12"/>
                        <w:szCs w:val="12"/>
                        <w:lang w:val="en-US"/>
                      </w:rPr>
                      <w:t>-</w:t>
                    </w:r>
                  </w:p>
                </w:txbxContent>
              </v:textbox>
            </v:rect>
            <v:rect id="_x0000_s1794" style="position:absolute;left:7476;top:-372;width:84;height:83" fillcolor="#4472c4" stroked="f"/>
            <v:rect id="_x0000_s1795" style="position:absolute;left:7582;top:-404;width:839;height:745;mso-wrap-style:none" filled="f" stroked="f">
              <v:textbox style="mso-fit-shape-to-text:t" inset="0,0,0,0">
                <w:txbxContent>
                  <w:p w:rsidR="000B433A" w:rsidRPr="004F17F9" w:rsidRDefault="000B433A" w:rsidP="004F17F9">
                    <w:r>
                      <w:rPr>
                        <w:rFonts w:cs="Calibri"/>
                        <w:color w:val="000000"/>
                        <w:sz w:val="12"/>
                        <w:szCs w:val="12"/>
                        <w:lang w:val="en-US"/>
                      </w:rPr>
                      <w:t>S</w:t>
                    </w:r>
                    <w:r w:rsidRPr="00D8228E">
                      <w:rPr>
                        <w:rFonts w:cs="Calibri"/>
                        <w:color w:val="000000"/>
                        <w:sz w:val="12"/>
                        <w:szCs w:val="12"/>
                        <w:lang w:val="en-US"/>
                      </w:rPr>
                      <w:t>traßen</w:t>
                    </w:r>
                    <w:r>
                      <w:rPr>
                        <w:rFonts w:cs="Calibri"/>
                        <w:color w:val="000000"/>
                        <w:sz w:val="12"/>
                        <w:szCs w:val="12"/>
                        <w:lang w:val="en-US"/>
                      </w:rPr>
                      <w:t>t</w:t>
                    </w:r>
                    <w:r w:rsidRPr="00D8228E">
                      <w:rPr>
                        <w:rFonts w:cs="Calibri"/>
                        <w:color w:val="000000"/>
                        <w:sz w:val="12"/>
                        <w:szCs w:val="12"/>
                        <w:lang w:val="en-US"/>
                      </w:rPr>
                      <w:t>ransport</w:t>
                    </w:r>
                  </w:p>
                  <w:p w:rsidR="000B433A" w:rsidRPr="004F17F9" w:rsidRDefault="000B433A" w:rsidP="004F17F9"/>
                </w:txbxContent>
              </v:textbox>
            </v:rect>
            <v:shape id="_x0000_s1796" style="position:absolute;left:4480;top:-1340;width:4475;height:2690" coordsize="7696,4624" path="m,8hdc,4,4,,8,hal7688,hdc7693,,7696,4,7696,8hal7696,4616hdc7696,4621,7693,4624,7688,4624hal8,4624hdc4,4624,,4621,,4616hal,8hdxm16,4616hal8,4608r7680,l7680,4616,7680,8r8,8l8,16,16,8r,4608hdxe" fillcolor="#898989" strokecolor="#898989" strokeweight=".05pt">
              <v:path arrowok="t"/>
              <o:lock v:ext="edit" verticies="t"/>
            </v:shape>
            <w10:wrap type="none"/>
            <w10:anchorlock/>
          </v:group>
        </w:pict>
      </w:r>
    </w:p>
    <w:p w:rsidR="000B433A" w:rsidRPr="00F434D3" w:rsidRDefault="000B433A" w:rsidP="00F434D3">
      <w:pPr>
        <w:pStyle w:val="TEXTEI7"/>
        <w:spacing w:after="0"/>
        <w:rPr>
          <w:rFonts w:ascii="Calibri" w:hAnsi="Calibri" w:cs="Calibri"/>
          <w:i/>
          <w:color w:val="808080"/>
          <w:sz w:val="16"/>
          <w:szCs w:val="18"/>
          <w:lang w:val="de-DE"/>
        </w:rPr>
      </w:pPr>
      <w:r>
        <w:rPr>
          <w:rFonts w:ascii="Calibri" w:hAnsi="Calibri" w:cs="Calibri"/>
          <w:i/>
          <w:color w:val="808080"/>
          <w:sz w:val="16"/>
          <w:lang w:val="de-DE"/>
        </w:rPr>
        <w:t>Entwicklung der Emissionen von X (WEM-WAM) – Transport</w:t>
      </w:r>
    </w:p>
    <w:p w:rsidR="000B433A" w:rsidRPr="00F434D3" w:rsidRDefault="000B433A" w:rsidP="00F434D3">
      <w:pPr>
        <w:pStyle w:val="TEXTEI7"/>
        <w:spacing w:after="0"/>
        <w:rPr>
          <w:rFonts w:ascii="Calibri" w:hAnsi="Calibri" w:cs="Calibri"/>
          <w:i/>
          <w:color w:val="808080"/>
          <w:sz w:val="16"/>
          <w:szCs w:val="18"/>
          <w:lang w:val="de-DE"/>
        </w:rPr>
      </w:pPr>
      <w:r>
        <w:rPr>
          <w:rFonts w:ascii="Calibri" w:hAnsi="Calibri" w:cs="Calibri"/>
          <w:i/>
          <w:color w:val="808080"/>
          <w:sz w:val="16"/>
          <w:lang w:val="de-DE"/>
        </w:rPr>
        <w:t>Nicht straßengebundener Transport</w:t>
      </w:r>
    </w:p>
    <w:p w:rsidR="000B433A" w:rsidRPr="00F434D3" w:rsidRDefault="000B433A" w:rsidP="00F434D3">
      <w:pPr>
        <w:pStyle w:val="TEXTEI7"/>
        <w:spacing w:after="0"/>
        <w:rPr>
          <w:rFonts w:ascii="Calibri" w:hAnsi="Calibri" w:cs="Calibri"/>
          <w:i/>
          <w:color w:val="808080"/>
          <w:sz w:val="16"/>
          <w:szCs w:val="18"/>
          <w:lang w:val="de-DE"/>
        </w:rPr>
      </w:pPr>
      <w:r>
        <w:rPr>
          <w:rFonts w:ascii="Calibri" w:hAnsi="Calibri" w:cs="Calibri"/>
          <w:i/>
          <w:color w:val="808080"/>
          <w:sz w:val="16"/>
          <w:lang w:val="de-DE"/>
        </w:rPr>
        <w:t>Straßentransport</w:t>
      </w:r>
    </w:p>
    <w:p w:rsidR="000B433A" w:rsidRPr="007C47CC" w:rsidRDefault="000B433A" w:rsidP="006124BE">
      <w:pPr>
        <w:pStyle w:val="TEXTEI7"/>
        <w:rPr>
          <w:rFonts w:ascii="Calibri" w:hAnsi="Calibri" w:cs="Calibri"/>
          <w:i/>
          <w:color w:val="1F497D"/>
          <w:sz w:val="18"/>
          <w:szCs w:val="18"/>
          <w:lang w:val="de-DE"/>
        </w:rPr>
      </w:pPr>
      <w:r>
        <w:rPr>
          <w:rFonts w:ascii="Calibri" w:hAnsi="Calibri" w:cs="Calibri"/>
          <w:i/>
          <w:color w:val="1F497D"/>
          <w:sz w:val="18"/>
          <w:lang w:val="de-DE"/>
        </w:rPr>
        <w:t>Abbildung 22: Entwicklung der PM</w:t>
      </w:r>
      <w:r w:rsidRPr="007C47CC">
        <w:rPr>
          <w:rFonts w:ascii="Calibri" w:hAnsi="Calibri" w:cs="Calibri"/>
          <w:i/>
          <w:color w:val="1F497D"/>
          <w:sz w:val="18"/>
          <w:szCs w:val="18"/>
          <w:vertAlign w:val="subscript"/>
          <w:lang w:val="de-DE"/>
        </w:rPr>
        <w:t>2,5</w:t>
      </w:r>
      <w:r>
        <w:rPr>
          <w:rFonts w:ascii="Calibri" w:hAnsi="Calibri" w:cs="Calibri"/>
          <w:i/>
          <w:color w:val="1F497D"/>
          <w:sz w:val="18"/>
          <w:lang w:val="de-DE"/>
        </w:rPr>
        <w:t xml:space="preserve">, NOx- und VOC-Emissionen gemäß den Referenzszenarien und mit Messungen (WEM und WAM) in Tonnen. </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Die Hauptreduktion betrifft die NO</w:t>
      </w:r>
      <w:r w:rsidRPr="007C47CC">
        <w:rPr>
          <w:rFonts w:ascii="Calibri" w:hAnsi="Calibri" w:cs="Calibri"/>
          <w:sz w:val="24"/>
          <w:szCs w:val="24"/>
          <w:vertAlign w:val="subscript"/>
          <w:lang w:val="de-DE"/>
        </w:rPr>
        <w:t>x</w:t>
      </w:r>
      <w:r>
        <w:rPr>
          <w:rFonts w:ascii="Calibri" w:hAnsi="Calibri" w:cs="Calibri"/>
          <w:sz w:val="24"/>
          <w:lang w:val="de-DE"/>
        </w:rPr>
        <w:t>- und PM</w:t>
      </w:r>
      <w:r w:rsidRPr="007C47CC">
        <w:rPr>
          <w:rFonts w:ascii="Calibri" w:hAnsi="Calibri" w:cs="Calibri"/>
          <w:sz w:val="24"/>
          <w:szCs w:val="24"/>
          <w:vertAlign w:val="subscript"/>
          <w:lang w:val="de-DE"/>
        </w:rPr>
        <w:t>2</w:t>
      </w:r>
      <w:proofErr w:type="gramStart"/>
      <w:r w:rsidRPr="007C47CC">
        <w:rPr>
          <w:rFonts w:ascii="Calibri" w:hAnsi="Calibri" w:cs="Calibri"/>
          <w:sz w:val="24"/>
          <w:szCs w:val="24"/>
          <w:vertAlign w:val="subscript"/>
          <w:lang w:val="de-DE"/>
        </w:rPr>
        <w:t>,5</w:t>
      </w:r>
      <w:proofErr w:type="gramEnd"/>
      <w:r>
        <w:rPr>
          <w:rFonts w:ascii="Calibri" w:hAnsi="Calibri" w:cs="Calibri"/>
          <w:sz w:val="24"/>
          <w:lang w:val="de-DE"/>
        </w:rPr>
        <w:t>-Emissionen. Man kann davon ausgehen, dass die Auswirkungen der Maßnahmen des Erlasses, insbesondere die Verringerung des Dieselverbrauchs im Straßenpersonenverkehr, technologische Entwicklungen, die auf NO</w:t>
      </w:r>
      <w:r w:rsidRPr="007C47CC">
        <w:rPr>
          <w:rFonts w:ascii="Calibri" w:hAnsi="Calibri" w:cs="Calibri"/>
          <w:sz w:val="24"/>
          <w:szCs w:val="24"/>
          <w:vertAlign w:val="subscript"/>
          <w:lang w:val="de-DE"/>
        </w:rPr>
        <w:t>x</w:t>
      </w:r>
      <w:r>
        <w:rPr>
          <w:rFonts w:ascii="Calibri" w:hAnsi="Calibri" w:cs="Calibri"/>
          <w:sz w:val="24"/>
          <w:lang w:val="de-DE"/>
        </w:rPr>
        <w:t xml:space="preserve"> abzielen, und die Erneuerung des Fahrzeugparks, zwischen 2005 und 2030 zu einer Verringerung des NO</w:t>
      </w:r>
      <w:r w:rsidRPr="007C47CC">
        <w:rPr>
          <w:rFonts w:ascii="Calibri" w:hAnsi="Calibri" w:cs="Calibri"/>
          <w:sz w:val="24"/>
          <w:szCs w:val="24"/>
          <w:vertAlign w:val="subscript"/>
          <w:lang w:val="de-DE"/>
        </w:rPr>
        <w:t>x</w:t>
      </w:r>
      <w:r>
        <w:rPr>
          <w:rFonts w:ascii="Calibri" w:hAnsi="Calibri" w:cs="Calibri"/>
          <w:sz w:val="24"/>
          <w:lang w:val="de-DE"/>
        </w:rPr>
        <w:t xml:space="preserve"> um etwa 75 % und des PM</w:t>
      </w:r>
      <w:r w:rsidRPr="00E076E0">
        <w:rPr>
          <w:rFonts w:ascii="Calibri" w:hAnsi="Calibri" w:cs="Calibri"/>
          <w:sz w:val="24"/>
          <w:szCs w:val="24"/>
          <w:vertAlign w:val="subscript"/>
          <w:lang w:val="de-DE"/>
        </w:rPr>
        <w:t>2,5</w:t>
      </w:r>
      <w:r>
        <w:rPr>
          <w:rFonts w:ascii="Calibri" w:hAnsi="Calibri" w:cs="Calibri"/>
          <w:sz w:val="24"/>
          <w:lang w:val="de-DE"/>
        </w:rPr>
        <w:t xml:space="preserve"> um 71 % führen werden. Zu diesen Leistungen gehören auch die Auswirkungen von Maßnahmen zur Verbesserung der Mobilität, die darauf abzielen, die Anzahl der zurückgelegten Kilometer zu reduzieren.</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Die Größenordnungen für Partikel unterscheiden sich deutlich von NO</w:t>
      </w:r>
      <w:r w:rsidRPr="007C47CC">
        <w:rPr>
          <w:rFonts w:ascii="Calibri" w:hAnsi="Calibri" w:cs="Calibri"/>
          <w:sz w:val="24"/>
          <w:szCs w:val="24"/>
          <w:vertAlign w:val="subscript"/>
          <w:lang w:val="de-DE"/>
        </w:rPr>
        <w:t>x</w:t>
      </w:r>
      <w:r>
        <w:rPr>
          <w:rFonts w:ascii="Calibri" w:hAnsi="Calibri" w:cs="Calibri"/>
          <w:sz w:val="24"/>
          <w:lang w:val="de-DE"/>
        </w:rPr>
        <w:t>, da die Motoremissionen (Abgasemissionen) nur einen kleinen Teil der Emissionen eines Fahrzeugs ausmachen. Die meisten Feinstaubemissionen entstehen durch Straßenabrieb, Reifenreibung und das Bremssystem (Nicht-Abgas-Emissionen). Ab der Euro-5-Norm machen die PM-Abgase nur 10 % der gesamten PM-Emissionen eines Fahrzeugs aus (90 % Nicht-Abgas-Emissionen). Es sei darauf hingewiesen, dass die Reduzierung der zurückgelegten Kilometer zu einer bedeutenderen Verringerung der Feinstaubbelastung führt als andere Maßnahmen, da sie Abgas- und Nicht-Abgasemissionen berücksichtigt, auch bei Elektro- oder CNG-Fahrzeugen (die alle 4 Räder und Bremsen besitzen).</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 xml:space="preserve">Die Verringerung der VOCs ist weniger signifikant, da der Benzinverbrauch weniger stark sinkt als der von Diesel, da es wahrscheinlich ist, dass eine große Anzahl an Hybridfahrzeugen in Betrieb ist und weil der Anstieg des CNG-Verbrauchs und des Biokraftstoffverbrauchs berücksichtigt werden muss. </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Die SO</w:t>
      </w:r>
      <w:r w:rsidRPr="007C47CC">
        <w:rPr>
          <w:rFonts w:ascii="Calibri" w:hAnsi="Calibri" w:cs="Calibri"/>
          <w:sz w:val="24"/>
          <w:szCs w:val="24"/>
          <w:vertAlign w:val="subscript"/>
          <w:lang w:val="de-DE"/>
        </w:rPr>
        <w:t>2</w:t>
      </w:r>
      <w:r>
        <w:rPr>
          <w:rFonts w:ascii="Calibri" w:hAnsi="Calibri" w:cs="Calibri"/>
          <w:sz w:val="24"/>
          <w:lang w:val="de-DE"/>
        </w:rPr>
        <w:t>-Emissionen hingegen sind im Jahr 2030 im Straßenverkehr nahezu Null.</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Es kann sinnvoll sein, die Maßnahme zum Abstellen des Motors bei stehendem Fahrzeug zu berücksichtigen. Schweizerische oder englische Studien, Schätzungen des Touring Club de Belgique und Tests in Japan zeigen, dass der ökologische und wirtschaftliche Gewinn signifikant ist, da vor allem in Städten Kraftstoffeinsparungen von 3 bis 14 % zu erwarten sind.</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Die Einführung von Kriterien für Luftschadstoffe zusätzlich zu CO</w:t>
      </w:r>
      <w:r w:rsidRPr="007C47CC">
        <w:rPr>
          <w:rFonts w:ascii="Calibri" w:hAnsi="Calibri" w:cs="Calibri"/>
          <w:sz w:val="24"/>
          <w:szCs w:val="24"/>
          <w:vertAlign w:val="subscript"/>
          <w:lang w:val="de-DE"/>
        </w:rPr>
        <w:t>2</w:t>
      </w:r>
      <w:r>
        <w:rPr>
          <w:rFonts w:ascii="Calibri" w:hAnsi="Calibri" w:cs="Calibri"/>
          <w:sz w:val="24"/>
          <w:lang w:val="de-DE"/>
        </w:rPr>
        <w:t xml:space="preserve"> in die Kraftfahrzeugsteuer wird dazu beitragen, die Entscheidung des Einzelnen auf umweltfreundlichere Fahrzeuge zu richten. Es handelt sich um eine Beihilfe zur Verbesserung des Fuhrparks, deren Auswirkungen gemessen werden können, sobald die Parameter dieser Politik festgelegt sind. </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Theoretisch könnte die Installation eines Partikelabsaugsystems bei allen Fahrzeugtypen 80 bis 90 % der Partikel im Zusammenhang mit Bremsvorgängen sammeln und die PM</w:t>
      </w:r>
      <w:r w:rsidRPr="007C47CC">
        <w:rPr>
          <w:rFonts w:ascii="Calibri" w:hAnsi="Calibri" w:cs="Calibri"/>
          <w:sz w:val="24"/>
          <w:szCs w:val="24"/>
          <w:vertAlign w:val="subscript"/>
          <w:lang w:val="de-DE"/>
        </w:rPr>
        <w:t>10</w:t>
      </w:r>
      <w:r>
        <w:rPr>
          <w:rFonts w:ascii="Calibri" w:hAnsi="Calibri" w:cs="Calibri"/>
          <w:sz w:val="24"/>
          <w:lang w:val="de-DE"/>
        </w:rPr>
        <w:t>-Emissionen um ca. 25 % und die PM</w:t>
      </w:r>
      <w:r w:rsidRPr="007C47CC">
        <w:rPr>
          <w:rFonts w:ascii="Calibri" w:hAnsi="Calibri" w:cs="Calibri"/>
          <w:sz w:val="24"/>
          <w:szCs w:val="24"/>
          <w:vertAlign w:val="subscript"/>
          <w:lang w:val="de-DE"/>
        </w:rPr>
        <w:t>2,5</w:t>
      </w:r>
      <w:r>
        <w:rPr>
          <w:rFonts w:ascii="Calibri" w:hAnsi="Calibri" w:cs="Calibri"/>
          <w:sz w:val="24"/>
          <w:lang w:val="de-DE"/>
        </w:rPr>
        <w:t xml:space="preserve">-Emissionen um 20 % reduzieren. Die Prozentsätze sind für alle Fahrzeugtypen (Lieferwagen, Lastwagen, Züge, Busse, U-Bahnen) ähnlich. </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Bei den Prognosen für diese Maßnahme, die zum jetzigen Zeitpunkt darin besteht, die Entwicklung einer solchen Technologie bei den Herstellern auf europäischer Ebene zu unterstützen, wurden keine Auswirkungen berücksichtigt.</w:t>
      </w:r>
    </w:p>
    <w:p w:rsidR="000B433A" w:rsidRPr="00A40602" w:rsidRDefault="000B433A" w:rsidP="00197E1F">
      <w:pPr>
        <w:pStyle w:val="Titre2"/>
        <w:numPr>
          <w:ilvl w:val="1"/>
          <w:numId w:val="1"/>
        </w:numPr>
        <w:ind w:left="851" w:hanging="851"/>
        <w:rPr>
          <w:rFonts w:ascii="Calibri" w:hAnsi="Calibri" w:cs="Calibri"/>
          <w:color w:val="1F497D"/>
          <w:sz w:val="28"/>
          <w:szCs w:val="28"/>
          <w:lang w:val="de-DE"/>
        </w:rPr>
      </w:pPr>
      <w:bookmarkStart w:id="58" w:name="_Toc7802470"/>
      <w:r>
        <w:rPr>
          <w:rFonts w:ascii="Calibri" w:hAnsi="Calibri" w:cs="Calibri"/>
          <w:color w:val="1F497D"/>
          <w:sz w:val="28"/>
          <w:lang w:val="de-DE"/>
        </w:rPr>
        <w:t>Energiesektor</w:t>
      </w:r>
      <w:bookmarkEnd w:id="58"/>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Bei der Verbrennung, die die Stromerzeugung und die Verbrennung in der Industrie sowie im Wohnungs- und Dienstleistungssektorumfasst, basieren die Schätzungen auch auf dem Energieverbrauch, der im Szenario in Hinblick auf den Nationalen Energie-Klima-Plan (NEKP) berücksichtigt wird.</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 xml:space="preserve">Darin wird ein starker Anstieg des Erdgasverbrauchs für die Stromerzeugung nach der Schließung von Kernkraftwerken und ein Anstieg des Biomasseverbrauchs für die Kraft-Wärme-Kopplung, in der Industrie und im Wohn-/Dienstleistungssektor prognostiziert. </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Zwei wichtige Hypothesen werden berücksichtigt:</w:t>
      </w:r>
    </w:p>
    <w:p w:rsidR="000B433A" w:rsidRDefault="000B433A">
      <w:pPr>
        <w:pStyle w:val="TEXTEI7"/>
        <w:numPr>
          <w:ilvl w:val="0"/>
          <w:numId w:val="56"/>
        </w:numPr>
        <w:rPr>
          <w:rFonts w:ascii="Calibri" w:hAnsi="Calibri" w:cs="Calibri"/>
          <w:sz w:val="24"/>
          <w:szCs w:val="24"/>
          <w:lang w:val="de-DE"/>
        </w:rPr>
      </w:pPr>
      <w:r>
        <w:rPr>
          <w:rFonts w:ascii="Calibri" w:hAnsi="Calibri" w:cs="Calibri"/>
          <w:sz w:val="24"/>
          <w:lang w:val="de-DE"/>
        </w:rPr>
        <w:t>Um die Kernenergie zu ersetzen, ist neben der erhöhten Produktion erneuerbarer Energien auch der Betrieb des bestehenden Produktionsparks von Erdgaskraftwerken mit voller Leistung und der Bau einer neuen 400-MW-Anlage mit den besten verfügbaren Technologien geplant.</w:t>
      </w:r>
    </w:p>
    <w:p w:rsidR="000B433A" w:rsidRDefault="000B433A">
      <w:pPr>
        <w:pStyle w:val="TEXTEI7"/>
        <w:numPr>
          <w:ilvl w:val="0"/>
          <w:numId w:val="56"/>
        </w:numPr>
        <w:rPr>
          <w:rFonts w:ascii="Calibri" w:hAnsi="Calibri" w:cs="Calibri"/>
          <w:sz w:val="24"/>
          <w:szCs w:val="24"/>
          <w:lang w:val="de-DE"/>
        </w:rPr>
      </w:pPr>
      <w:r>
        <w:rPr>
          <w:rFonts w:ascii="Calibri" w:hAnsi="Calibri" w:cs="Calibri"/>
          <w:sz w:val="24"/>
          <w:lang w:val="de-DE"/>
        </w:rPr>
        <w:t>Im Bereich der Hauswärme würde die Erneuerungsrate des Anlagenparks, der mit Scheitholz oder Kohle betrieben wird, 4 % pro Jahr betragen, und um die Emissionsminderungsziele für die PM</w:t>
      </w:r>
      <w:r w:rsidRPr="00B23640">
        <w:rPr>
          <w:rFonts w:ascii="Calibri" w:hAnsi="Calibri" w:cs="Calibri"/>
          <w:sz w:val="24"/>
          <w:szCs w:val="24"/>
          <w:vertAlign w:val="subscript"/>
          <w:lang w:val="de-DE"/>
        </w:rPr>
        <w:t>2,5</w:t>
      </w:r>
      <w:r>
        <w:rPr>
          <w:rFonts w:ascii="Calibri" w:hAnsi="Calibri" w:cs="Calibri"/>
          <w:sz w:val="24"/>
          <w:lang w:val="de-DE"/>
        </w:rPr>
        <w:t xml:space="preserve"> zu erreichen, wird vorgeschlagen, sie nur durch neue Anlagen mit hoher Umweltleistung (PM2,5-Emissionsfaktor unter 100g/Gj) oder leistungsstarke Pelletsanlagen zu ersetzen. Trotz der Vorbehalte aufgrund mangelnder Kenntnis des Heizungsparks können wir von einer positiven Auswirkung in Bezug auf die Feinstaubbelastung ausgehen. </w:t>
      </w:r>
    </w:p>
    <w:p w:rsidR="000B433A" w:rsidRPr="00AD33D3" w:rsidRDefault="000B433A" w:rsidP="006124BE">
      <w:pPr>
        <w:pStyle w:val="TEXTEI7"/>
        <w:ind w:left="720"/>
        <w:rPr>
          <w:rFonts w:ascii="Calibri" w:hAnsi="Calibri" w:cs="Calibri"/>
          <w:sz w:val="24"/>
          <w:szCs w:val="24"/>
          <w:lang w:val="de-DE"/>
        </w:rPr>
      </w:pPr>
      <w:r>
        <w:rPr>
          <w:rFonts w:ascii="Calibri" w:hAnsi="Calibri" w:cs="Calibri"/>
          <w:sz w:val="24"/>
          <w:lang w:val="de-DE"/>
        </w:rPr>
        <w:t>Durch die Anwendung dieser unterschiedlichen Hypothesen auf den Wohn- und Dienstleistungssektor kann davon ausgegangen werden, dass die PM</w:t>
      </w:r>
      <w:r w:rsidRPr="00AD33D3">
        <w:rPr>
          <w:rFonts w:ascii="Calibri" w:hAnsi="Calibri" w:cs="Calibri"/>
          <w:sz w:val="24"/>
          <w:szCs w:val="24"/>
          <w:vertAlign w:val="subscript"/>
          <w:lang w:val="de-DE"/>
        </w:rPr>
        <w:t>2</w:t>
      </w:r>
      <w:proofErr w:type="gramStart"/>
      <w:r w:rsidRPr="00AD33D3">
        <w:rPr>
          <w:rFonts w:ascii="Calibri" w:hAnsi="Calibri" w:cs="Calibri"/>
          <w:sz w:val="24"/>
          <w:szCs w:val="24"/>
          <w:vertAlign w:val="subscript"/>
          <w:lang w:val="de-DE"/>
        </w:rPr>
        <w:t>,5</w:t>
      </w:r>
      <w:proofErr w:type="gramEnd"/>
      <w:r>
        <w:rPr>
          <w:rFonts w:ascii="Calibri" w:hAnsi="Calibri" w:cs="Calibri"/>
          <w:sz w:val="24"/>
          <w:lang w:val="de-DE"/>
        </w:rPr>
        <w:t>-Emissionen um 17 % der Emissionen des Sektors zwischen 2005 und 2030 und die VOC-Emissionen um 5,5 % zwischen 2005 und 2030 gesenkt werden können. Ähnlich positive Auswirkungen hätte dies auch auf die Emissionen von schwarzem Kohlenstoff (Ruß) und PAK (polyzyklische aromatische Kohlenwasserstoffe), die extrem giftige Schadstoffe sind. Andererseits könnten die NO</w:t>
      </w:r>
      <w:r w:rsidRPr="00AD33D3">
        <w:rPr>
          <w:rFonts w:ascii="Calibri" w:hAnsi="Calibri" w:cs="Calibri"/>
          <w:sz w:val="24"/>
          <w:szCs w:val="24"/>
          <w:vertAlign w:val="subscript"/>
          <w:lang w:val="de-DE"/>
        </w:rPr>
        <w:t>x</w:t>
      </w:r>
      <w:r>
        <w:rPr>
          <w:rFonts w:ascii="Calibri" w:hAnsi="Calibri" w:cs="Calibri"/>
          <w:sz w:val="24"/>
          <w:lang w:val="de-DE"/>
        </w:rPr>
        <w:t xml:space="preserve">-Emissionen im Vergleich zu 2005 leicht ansteigen, vorbehaltlich technologischer Verbesserungen an den Anlagen in dieser Hinsicht. </w:t>
      </w:r>
    </w:p>
    <w:p w:rsidR="000B433A" w:rsidRPr="007C47CC" w:rsidRDefault="000B433A" w:rsidP="006124BE">
      <w:pPr>
        <w:pStyle w:val="TEXTEI7"/>
        <w:ind w:left="720"/>
        <w:rPr>
          <w:rFonts w:ascii="Calibri" w:hAnsi="Calibri" w:cs="Calibri"/>
          <w:sz w:val="24"/>
          <w:szCs w:val="24"/>
          <w:lang w:val="de-DE"/>
        </w:rPr>
      </w:pPr>
      <w:r>
        <w:rPr>
          <w:rFonts w:ascii="Calibri" w:hAnsi="Calibri" w:cs="Calibri"/>
          <w:sz w:val="24"/>
          <w:lang w:val="de-DE"/>
        </w:rPr>
        <w:t>Unter den verschiedenen Hypothesen scheint die Erneuerung des Parks mit Öfen mit hoher Umweltleistung unerlässlich, um die Obergrenze von 2030 für PM</w:t>
      </w:r>
      <w:r w:rsidRPr="007C47CC">
        <w:rPr>
          <w:rFonts w:ascii="Calibri" w:hAnsi="Calibri" w:cs="Calibri"/>
          <w:sz w:val="24"/>
          <w:szCs w:val="24"/>
          <w:vertAlign w:val="subscript"/>
          <w:lang w:val="de-DE"/>
        </w:rPr>
        <w:t>2</w:t>
      </w:r>
      <w:proofErr w:type="gramStart"/>
      <w:r w:rsidRPr="007C47CC">
        <w:rPr>
          <w:rFonts w:ascii="Calibri" w:hAnsi="Calibri" w:cs="Calibri"/>
          <w:sz w:val="24"/>
          <w:szCs w:val="24"/>
          <w:vertAlign w:val="subscript"/>
          <w:lang w:val="de-DE"/>
        </w:rPr>
        <w:t>,5</w:t>
      </w:r>
      <w:proofErr w:type="gramEnd"/>
      <w:r>
        <w:rPr>
          <w:rFonts w:ascii="Calibri" w:hAnsi="Calibri" w:cs="Calibri"/>
          <w:sz w:val="24"/>
          <w:lang w:val="de-DE"/>
        </w:rPr>
        <w:t xml:space="preserve">-Emissionen zu erreichen. </w:t>
      </w:r>
    </w:p>
    <w:p w:rsidR="000B433A" w:rsidRDefault="000B433A" w:rsidP="006124BE">
      <w:pPr>
        <w:pStyle w:val="TEXTEI7"/>
        <w:rPr>
          <w:rFonts w:ascii="Calibri" w:hAnsi="Calibri" w:cs="Calibri"/>
          <w:sz w:val="24"/>
          <w:szCs w:val="24"/>
          <w:lang w:val="de-DE"/>
        </w:rPr>
      </w:pP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Die Anwendung von Maßnahmen für Großfeuerungsanlagen (Richtlinie 2010/75 über Industrieemissionen), mittelgroße Feuerungsanlagen (Richtlinie 2015/2193) und kleine Anlagen, die unter die Richtlinie 2009/125 „Ecodesign“ fallen, ist in den unveränderten politischen Referenzszenarien enthalten.</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Dieser LKPE 2030 schlägt zwei zusätzliche Maßnahmen zur Bekämpfung von Luftschadstoffen vor, nämlich:</w:t>
      </w:r>
    </w:p>
    <w:p w:rsidR="000B433A" w:rsidRDefault="000B433A">
      <w:pPr>
        <w:pStyle w:val="TEXTEI7"/>
        <w:numPr>
          <w:ilvl w:val="0"/>
          <w:numId w:val="18"/>
        </w:numPr>
        <w:rPr>
          <w:rFonts w:ascii="Calibri" w:hAnsi="Calibri" w:cs="Calibri"/>
          <w:sz w:val="24"/>
          <w:szCs w:val="24"/>
          <w:lang w:val="de-DE"/>
        </w:rPr>
      </w:pPr>
      <w:r>
        <w:rPr>
          <w:rFonts w:ascii="Calibri" w:hAnsi="Calibri" w:cs="Calibri"/>
          <w:sz w:val="24"/>
          <w:lang w:val="de-DE"/>
        </w:rPr>
        <w:t>Alle klassifizierten Verbrennungsanlagen, die mit festen, flüssigen oder gasförmigen Brennstoffen mit einer thermischen Leistung zwischen 100 kW und 1 MW betrieben werden, müssen registriert und mit verbindlichen Emissionsgrenzwerten für NO</w:t>
      </w:r>
      <w:r w:rsidRPr="007C47CC">
        <w:rPr>
          <w:rFonts w:ascii="Calibri" w:hAnsi="Calibri" w:cs="Calibri"/>
          <w:sz w:val="24"/>
          <w:szCs w:val="24"/>
          <w:vertAlign w:val="subscript"/>
          <w:lang w:val="de-DE"/>
        </w:rPr>
        <w:t>x</w:t>
      </w:r>
      <w:r>
        <w:rPr>
          <w:rFonts w:ascii="Calibri" w:hAnsi="Calibri" w:cs="Calibri"/>
          <w:sz w:val="24"/>
          <w:lang w:val="de-DE"/>
        </w:rPr>
        <w:t>, SO</w:t>
      </w:r>
      <w:r w:rsidRPr="007C47CC">
        <w:rPr>
          <w:rFonts w:ascii="Calibri" w:hAnsi="Calibri" w:cs="Calibri"/>
          <w:sz w:val="24"/>
          <w:szCs w:val="24"/>
          <w:vertAlign w:val="subscript"/>
          <w:lang w:val="de-DE"/>
        </w:rPr>
        <w:t>2</w:t>
      </w:r>
      <w:r>
        <w:rPr>
          <w:rFonts w:ascii="Calibri" w:hAnsi="Calibri" w:cs="Calibri"/>
          <w:sz w:val="24"/>
          <w:lang w:val="de-DE"/>
        </w:rPr>
        <w:t>, CO und PM</w:t>
      </w:r>
      <w:r w:rsidRPr="007C47CC">
        <w:rPr>
          <w:rFonts w:ascii="Calibri" w:hAnsi="Calibri" w:cs="Calibri"/>
          <w:sz w:val="24"/>
          <w:szCs w:val="24"/>
          <w:vertAlign w:val="subscript"/>
          <w:lang w:val="de-DE"/>
        </w:rPr>
        <w:t>2,5</w:t>
      </w:r>
      <w:r>
        <w:rPr>
          <w:rFonts w:ascii="Calibri" w:hAnsi="Calibri" w:cs="Calibri"/>
          <w:sz w:val="24"/>
          <w:lang w:val="de-DE"/>
        </w:rPr>
        <w:t xml:space="preserve"> versehen werden. Durch diese Maßnahme dürften die PM</w:t>
      </w:r>
      <w:r w:rsidRPr="009D2AC7">
        <w:rPr>
          <w:rFonts w:ascii="Calibri" w:hAnsi="Calibri" w:cs="Calibri"/>
          <w:sz w:val="24"/>
          <w:szCs w:val="24"/>
          <w:vertAlign w:val="subscript"/>
          <w:lang w:val="de-DE"/>
        </w:rPr>
        <w:t>2</w:t>
      </w:r>
      <w:proofErr w:type="gramStart"/>
      <w:r w:rsidRPr="009D2AC7">
        <w:rPr>
          <w:rFonts w:ascii="Calibri" w:hAnsi="Calibri" w:cs="Calibri"/>
          <w:sz w:val="24"/>
          <w:szCs w:val="24"/>
          <w:vertAlign w:val="subscript"/>
          <w:lang w:val="de-DE"/>
        </w:rPr>
        <w:t>,5</w:t>
      </w:r>
      <w:proofErr w:type="gramEnd"/>
      <w:r>
        <w:rPr>
          <w:rFonts w:ascii="Calibri" w:hAnsi="Calibri" w:cs="Calibri"/>
          <w:sz w:val="24"/>
          <w:lang w:val="de-DE"/>
        </w:rPr>
        <w:t>-Emissionen des Sektors um fast 20 % und die NO</w:t>
      </w:r>
      <w:r w:rsidRPr="009D2AC7">
        <w:rPr>
          <w:rFonts w:ascii="Calibri" w:hAnsi="Calibri" w:cs="Calibri"/>
          <w:sz w:val="24"/>
          <w:szCs w:val="24"/>
          <w:vertAlign w:val="subscript"/>
          <w:lang w:val="de-DE"/>
        </w:rPr>
        <w:t>x</w:t>
      </w:r>
      <w:r>
        <w:rPr>
          <w:rFonts w:ascii="Calibri" w:hAnsi="Calibri" w:cs="Calibri"/>
          <w:sz w:val="24"/>
          <w:lang w:val="de-DE"/>
        </w:rPr>
        <w:t xml:space="preserve">-Emissionen um 15 % reduziert werden. </w:t>
      </w:r>
    </w:p>
    <w:p w:rsidR="000B433A" w:rsidRDefault="000B433A">
      <w:pPr>
        <w:pStyle w:val="TEXTEI7"/>
        <w:numPr>
          <w:ilvl w:val="0"/>
          <w:numId w:val="18"/>
        </w:numPr>
        <w:rPr>
          <w:rFonts w:ascii="Calibri" w:hAnsi="Calibri" w:cs="Calibri"/>
          <w:sz w:val="24"/>
          <w:szCs w:val="24"/>
          <w:lang w:val="de-DE"/>
        </w:rPr>
      </w:pPr>
      <w:r>
        <w:rPr>
          <w:rFonts w:ascii="Calibri" w:hAnsi="Calibri" w:cs="Calibri"/>
          <w:sz w:val="24"/>
          <w:lang w:val="de-DE"/>
        </w:rPr>
        <w:t>Für die Erneuerung des Parks von mit Holz betriebenen Wohnheizungsanlagen sensibilisieren und diese im Rahmen eines Green Deals zur Verringerung der Emissionen aus Biomasse fördern. So könnte beispielsweise die potenzielle Reduzierung signifikant sein, wenn alle Nutzer von Scheitholz trockenes Holz mit weniger als 20 % Feuchtigkeit verwenden würden. Es ist zu beachten, dass die Holzverbrennung (Heizung und Warmwasser) im Haushalt derzeit 63 % der PM</w:t>
      </w:r>
      <w:r w:rsidRPr="007C47CC">
        <w:rPr>
          <w:rFonts w:ascii="Calibri" w:hAnsi="Calibri" w:cs="Calibri"/>
          <w:sz w:val="24"/>
          <w:szCs w:val="24"/>
          <w:vertAlign w:val="subscript"/>
          <w:lang w:val="de-DE"/>
        </w:rPr>
        <w:t>2</w:t>
      </w:r>
      <w:proofErr w:type="gramStart"/>
      <w:r w:rsidRPr="007C47CC">
        <w:rPr>
          <w:rFonts w:ascii="Calibri" w:hAnsi="Calibri" w:cs="Calibri"/>
          <w:sz w:val="24"/>
          <w:szCs w:val="24"/>
          <w:vertAlign w:val="subscript"/>
          <w:lang w:val="de-DE"/>
        </w:rPr>
        <w:t>,5</w:t>
      </w:r>
      <w:proofErr w:type="gramEnd"/>
      <w:r>
        <w:rPr>
          <w:rFonts w:ascii="Calibri" w:hAnsi="Calibri" w:cs="Calibri"/>
          <w:sz w:val="24"/>
          <w:lang w:val="de-DE"/>
        </w:rPr>
        <w:t>-Emissionen ausmacht.</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Die Auswirkungen der oben beschriebenen Maßnahmen und Hypothesen werden durch die folgenden Grafiken für die Sektoren Energieerzeugung, Wohnen/Dienstleistungen und Industrie (nur Verbrennung) veranschaulicht.</w:t>
      </w:r>
    </w:p>
    <w:p w:rsidR="000B433A" w:rsidRPr="00D07F58" w:rsidRDefault="000B433A" w:rsidP="006124BE">
      <w:pPr>
        <w:pStyle w:val="TEXTEI7"/>
        <w:rPr>
          <w:lang w:val="de-DE"/>
        </w:rPr>
      </w:pPr>
    </w:p>
    <w:p w:rsidR="000B433A" w:rsidRPr="00D07F58" w:rsidRDefault="000B433A" w:rsidP="006124BE">
      <w:pPr>
        <w:spacing w:after="160" w:line="259" w:lineRule="auto"/>
        <w:jc w:val="left"/>
        <w:rPr>
          <w:lang w:val="de-DE"/>
        </w:rPr>
      </w:pPr>
    </w:p>
    <w:p w:rsidR="000B433A" w:rsidRDefault="005A6B21" w:rsidP="006124BE">
      <w:pPr>
        <w:spacing w:after="160" w:line="259" w:lineRule="auto"/>
        <w:jc w:val="left"/>
      </w:pPr>
      <w:r>
        <w:pict>
          <v:group id="_x0000_s1798" editas="canvas" style="width:463.55pt;height:182.7pt;mso-position-horizontal-relative:char;mso-position-vertical-relative:line" coordorigin=",-1345" coordsize="9271,3654">
            <o:lock v:ext="edit" aspectratio="t"/>
            <v:shape id="_x0000_s1799" type="#_x0000_t75" style="position:absolute;top:-1345;width:9271;height:3654" o:preferrelative="f">
              <v:fill o:detectmouseclick="t"/>
              <v:path o:extrusionok="t" o:connecttype="none"/>
              <o:lock v:ext="edit" text="t"/>
            </v:shape>
            <v:rect id="_x0000_s1800" style="position:absolute;left:3;top:-1342;width:2958;height:1778" stroked="f"/>
            <v:rect id="_x0000_s1801" style="position:absolute;left:532;top:-923;width:1494;height:1052" stroked="f"/>
            <v:shape id="_x0000_s1802" style="position:absolute;left:535;top:-923;width:1482;height:904" coordsize="1482,904" path="m,898r1482,l1482,904,,904r,-6xm,744r1482,l1482,750,,750r,-6xm,596r1482,l1482,603,,603r,-7xm,449r1482,l1482,455,,455r,-6xm,295r1482,l1482,301,,301r,-6xm,147r1482,l1482,153,,153r,-6xm,l1482,r,6l,6,,xe" fillcolor="#898989" strokecolor="#898989" strokeweight=".3pt">
              <v:stroke joinstyle="bevel"/>
              <v:path arrowok="t"/>
              <o:lock v:ext="edit" verticies="t"/>
            </v:shape>
            <v:shape id="_x0000_s1803" style="position:absolute;left:643;top:-154;width:1266;height:277" coordsize="1266,277" path="m,l147,r,277l,277,,xm375,270r147,l522,277r-147,l375,270xm744,270r147,l891,277r-147,l744,270xm1119,270r147,l1266,277r-147,l1119,270xe" fillcolor="#4472c4" stroked="f">
              <v:path arrowok="t"/>
              <o:lock v:ext="edit" verticies="t"/>
            </v:shape>
            <v:shape id="_x0000_s1804" style="position:absolute;left:643;top:-413;width:1266;height:529" coordsize="1266,529" path="m,l147,r,259l,259,,xm375,431r147,l522,529r-147,l375,431xm744,394r147,l891,529r-147,l744,394xm1119,406r147,l1266,529r-147,l1119,406xe" fillcolor="#ed7d31" stroked="f">
              <v:path arrowok="t"/>
              <o:lock v:ext="edit" verticies="t"/>
            </v:shape>
            <v:shape id="_x0000_s1805" style="position:absolute;left:643;top:-843;width:1266;height:861" coordsize="1266,861" path="m,l147,r,430l,430,,xm375,806r147,l522,861r-147,l375,806xm744,763r147,l891,824r-147,l744,763xm1119,775r147,l1266,836r-147,l1119,775xe" fillcolor="#a5a5a5" stroked="f">
              <v:path arrowok="t"/>
              <o:lock v:ext="edit" verticies="t"/>
            </v:shape>
            <v:rect id="_x0000_s1806" style="position:absolute;left:532;top:-920;width:6;height:1046" fillcolor="#898989" strokecolor="#898989" strokeweight=".3pt">
              <v:stroke joinstyle="bevel"/>
            </v:rect>
            <v:shape id="_x0000_s1807" style="position:absolute;left:504;top:-923;width:31;height:1052" coordsize="31,1052" path="m,1046r31,l31,1052r-31,l,1046xm,898r31,l31,904,,904r,-6xm,744r31,l31,750,,750r,-6xm,596r31,l31,603,,603r,-7xm,449r31,l31,455,,455r,-6xm,295r31,l31,301,,301r,-6xm,147r31,l31,153,,153r,-6xm,l31,r,6l,6,,xe" fillcolor="#898989" strokecolor="#898989" strokeweight=".3pt">
              <v:stroke joinstyle="bevel"/>
              <v:path arrowok="t"/>
              <o:lock v:ext="edit" verticies="t"/>
            </v:shape>
            <v:rect id="_x0000_s1808" style="position:absolute;left:535;top:123;width:1482;height:6" fillcolor="#898989" strokecolor="#898989" strokeweight=".3pt">
              <v:stroke joinstyle="bevel"/>
            </v:rect>
            <v:shape id="_x0000_s1809" style="position:absolute;left:532;top:126;width:1488;height:24" coordsize="1488,24" path="m6,r,24l,24,,,6,xm375,r,24l369,24,369,r6,xm750,r,24l744,24,744,r6,xm1119,r,24l1113,24r,-24l1119,xm1488,r,24l1482,24r,-24l1488,xe" fillcolor="#898989" strokecolor="#898989" strokeweight=".3pt">
              <v:stroke joinstyle="bevel"/>
              <v:path arrowok="t"/>
              <o:lock v:ext="edit" verticies="t"/>
            </v:shape>
            <v:rect id="_x0000_s1810" style="position:absolute;left:414;top:79;width:41;height:232;mso-wrap-style:none" filled="f" stroked="f">
              <v:textbox style="mso-fit-shape-to-text:t" inset="0,0,0,0">
                <w:txbxContent>
                  <w:p w:rsidR="000B433A" w:rsidRDefault="000B433A">
                    <w:r>
                      <w:rPr>
                        <w:rFonts w:cs="Calibri"/>
                        <w:color w:val="000000"/>
                        <w:sz w:val="8"/>
                        <w:szCs w:val="8"/>
                        <w:lang w:val="en-US"/>
                      </w:rPr>
                      <w:t>0</w:t>
                    </w:r>
                  </w:p>
                </w:txbxContent>
              </v:textbox>
            </v:rect>
            <v:rect id="_x0000_s1811" style="position:absolute;left:275;top:-71;width:181;height:232;mso-wrap-style:none" filled="f" stroked="f">
              <v:textbox style="mso-fit-shape-to-text:t" inset="0,0,0,0">
                <w:txbxContent>
                  <w:p w:rsidR="000B433A" w:rsidRDefault="000B433A">
                    <w:r>
                      <w:rPr>
                        <w:rFonts w:cs="Calibri"/>
                        <w:color w:val="000000"/>
                        <w:sz w:val="8"/>
                        <w:szCs w:val="8"/>
                        <w:lang w:val="en-US"/>
                      </w:rPr>
                      <w:t>5 000</w:t>
                    </w:r>
                  </w:p>
                </w:txbxContent>
              </v:textbox>
            </v:rect>
            <v:rect id="_x0000_s1812" style="position:absolute;left:230;top:-220;width:221;height:232;mso-wrap-style:none" filled="f" stroked="f">
              <v:textbox style="mso-fit-shape-to-text:t" inset="0,0,0,0">
                <w:txbxContent>
                  <w:p w:rsidR="000B433A" w:rsidRDefault="000B433A">
                    <w:r>
                      <w:rPr>
                        <w:rFonts w:cs="Calibri"/>
                        <w:color w:val="000000"/>
                        <w:sz w:val="8"/>
                        <w:szCs w:val="8"/>
                        <w:lang w:val="en-US"/>
                      </w:rPr>
                      <w:t>10 000</w:t>
                    </w:r>
                  </w:p>
                </w:txbxContent>
              </v:textbox>
            </v:rect>
            <v:rect id="_x0000_s1813" style="position:absolute;left:230;top:-370;width:221;height:232;mso-wrap-style:none" filled="f" stroked="f">
              <v:textbox style="mso-fit-shape-to-text:t" inset="0,0,0,0">
                <w:txbxContent>
                  <w:p w:rsidR="000B433A" w:rsidRDefault="000B433A">
                    <w:r>
                      <w:rPr>
                        <w:rFonts w:cs="Calibri"/>
                        <w:color w:val="000000"/>
                        <w:sz w:val="8"/>
                        <w:szCs w:val="8"/>
                        <w:lang w:val="en-US"/>
                      </w:rPr>
                      <w:t>15 000</w:t>
                    </w:r>
                  </w:p>
                </w:txbxContent>
              </v:textbox>
            </v:rect>
            <v:rect id="_x0000_s1814" style="position:absolute;left:230;top:-520;width:221;height:232;mso-wrap-style:none" filled="f" stroked="f">
              <v:textbox style="mso-fit-shape-to-text:t" inset="0,0,0,0">
                <w:txbxContent>
                  <w:p w:rsidR="000B433A" w:rsidRDefault="000B433A">
                    <w:r>
                      <w:rPr>
                        <w:rFonts w:cs="Calibri"/>
                        <w:color w:val="000000"/>
                        <w:sz w:val="8"/>
                        <w:szCs w:val="8"/>
                        <w:lang w:val="en-US"/>
                      </w:rPr>
                      <w:t>20 000</w:t>
                    </w:r>
                  </w:p>
                </w:txbxContent>
              </v:textbox>
            </v:rect>
            <v:rect id="_x0000_s1815" style="position:absolute;left:230;top:-669;width:221;height:232;mso-wrap-style:none" filled="f" stroked="f">
              <v:textbox style="mso-fit-shape-to-text:t" inset="0,0,0,0">
                <w:txbxContent>
                  <w:p w:rsidR="000B433A" w:rsidRDefault="000B433A">
                    <w:r>
                      <w:rPr>
                        <w:rFonts w:cs="Calibri"/>
                        <w:color w:val="000000"/>
                        <w:sz w:val="8"/>
                        <w:szCs w:val="8"/>
                        <w:lang w:val="en-US"/>
                      </w:rPr>
                      <w:t>25 000</w:t>
                    </w:r>
                  </w:p>
                </w:txbxContent>
              </v:textbox>
            </v:rect>
            <v:rect id="_x0000_s1816" style="position:absolute;left:230;top:-819;width:221;height:232;mso-wrap-style:none" filled="f" stroked="f">
              <v:textbox style="mso-fit-shape-to-text:t" inset="0,0,0,0">
                <w:txbxContent>
                  <w:p w:rsidR="000B433A" w:rsidRDefault="000B433A">
                    <w:r>
                      <w:rPr>
                        <w:rFonts w:cs="Calibri"/>
                        <w:color w:val="000000"/>
                        <w:sz w:val="8"/>
                        <w:szCs w:val="8"/>
                        <w:lang w:val="en-US"/>
                      </w:rPr>
                      <w:t>30 000</w:t>
                    </w:r>
                  </w:p>
                </w:txbxContent>
              </v:textbox>
            </v:rect>
            <v:rect id="_x0000_s1817" style="position:absolute;left:230;top:-969;width:221;height:232;mso-wrap-style:none" filled="f" stroked="f">
              <v:textbox style="mso-fit-shape-to-text:t" inset="0,0,0,0">
                <w:txbxContent>
                  <w:p w:rsidR="000B433A" w:rsidRDefault="000B433A">
                    <w:r>
                      <w:rPr>
                        <w:rFonts w:cs="Calibri"/>
                        <w:color w:val="000000"/>
                        <w:sz w:val="8"/>
                        <w:szCs w:val="8"/>
                        <w:lang w:val="en-US"/>
                      </w:rPr>
                      <w:t>35 000</w:t>
                    </w:r>
                  </w:p>
                </w:txbxContent>
              </v:textbox>
            </v:rect>
            <v:rect id="_x0000_s1818" style="position:absolute;left:634;top:186;width:163;height:232;mso-wrap-style:none" filled="f" stroked="f">
              <v:textbox style="mso-fit-shape-to-text:t" inset="0,0,0,0">
                <w:txbxContent>
                  <w:p w:rsidR="000B433A" w:rsidRDefault="000B433A">
                    <w:r>
                      <w:rPr>
                        <w:rFonts w:cs="Calibri"/>
                        <w:color w:val="000000"/>
                        <w:sz w:val="8"/>
                        <w:szCs w:val="8"/>
                        <w:lang w:val="en-US"/>
                      </w:rPr>
                      <w:t>2005</w:t>
                    </w:r>
                  </w:p>
                </w:txbxContent>
              </v:textbox>
            </v:rect>
            <v:rect id="_x0000_s1819" style="position:absolute;left:1006;top:186;width:163;height:232;mso-wrap-style:none" filled="f" stroked="f">
              <v:textbox style="mso-fit-shape-to-text:t" inset="0,0,0,0">
                <w:txbxContent>
                  <w:p w:rsidR="000B433A" w:rsidRDefault="000B433A">
                    <w:r>
                      <w:rPr>
                        <w:rFonts w:cs="Calibri"/>
                        <w:color w:val="000000"/>
                        <w:sz w:val="8"/>
                        <w:szCs w:val="8"/>
                        <w:lang w:val="en-US"/>
                      </w:rPr>
                      <w:t>2015</w:t>
                    </w:r>
                  </w:p>
                </w:txbxContent>
              </v:textbox>
            </v:rect>
            <v:rect id="_x0000_s1820" style="position:absolute;left:1280;top:186;width:359;height:232;mso-wrap-style:none" filled="f" stroked="f">
              <v:textbox style="mso-fit-shape-to-text:t" inset="0,0,0,0">
                <w:txbxContent>
                  <w:p w:rsidR="000B433A" w:rsidRDefault="000B433A">
                    <w:r>
                      <w:rPr>
                        <w:rFonts w:cs="Calibri"/>
                        <w:color w:val="000000"/>
                        <w:sz w:val="8"/>
                        <w:szCs w:val="8"/>
                        <w:lang w:val="en-US"/>
                      </w:rPr>
                      <w:t>2030 WEM</w:t>
                    </w:r>
                  </w:p>
                </w:txbxContent>
              </v:textbox>
            </v:rect>
            <v:rect id="_x0000_s1821" style="position:absolute;left:1750;top:186;width:163;height:232;mso-wrap-style:none" filled="f" stroked="f">
              <v:textbox style="mso-fit-shape-to-text:t" inset="0,0,0,0">
                <w:txbxContent>
                  <w:p w:rsidR="000B433A" w:rsidRDefault="000B433A">
                    <w:r>
                      <w:rPr>
                        <w:rFonts w:cs="Calibri"/>
                        <w:color w:val="000000"/>
                        <w:sz w:val="8"/>
                        <w:szCs w:val="8"/>
                        <w:lang w:val="en-US"/>
                      </w:rPr>
                      <w:t xml:space="preserve">2030 </w:t>
                    </w:r>
                  </w:p>
                </w:txbxContent>
              </v:textbox>
            </v:rect>
            <v:rect id="_x0000_s1822" style="position:absolute;left:1737;top:284;width:186;height:232;mso-wrap-style:none" filled="f" stroked="f">
              <v:textbox style="mso-fit-shape-to-text:t" inset="0,0,0,0">
                <w:txbxContent>
                  <w:p w:rsidR="000B433A" w:rsidRDefault="000B433A">
                    <w:r>
                      <w:rPr>
                        <w:rFonts w:cs="Calibri"/>
                        <w:color w:val="000000"/>
                        <w:sz w:val="8"/>
                        <w:szCs w:val="8"/>
                        <w:lang w:val="en-US"/>
                      </w:rPr>
                      <w:t>WAM</w:t>
                    </w:r>
                  </w:p>
                </w:txbxContent>
              </v:textbox>
            </v:rect>
            <v:rect id="_x0000_s1823" style="position:absolute;left:189;top:-303;width:45;height:148;mso-wrap-style:none" filled="f" stroked="f">
              <v:textbox style="mso-fit-shape-to-text:t" inset="0,0,0,0">
                <w:txbxContent>
                  <w:p w:rsidR="000B433A" w:rsidRDefault="000B433A">
                    <w:proofErr w:type="gramStart"/>
                    <w:r>
                      <w:rPr>
                        <w:rFonts w:cs="Calibri"/>
                        <w:b/>
                        <w:bCs/>
                        <w:color w:val="000000"/>
                        <w:sz w:val="2"/>
                        <w:szCs w:val="2"/>
                        <w:lang w:val="en-US"/>
                      </w:rPr>
                      <w:t>t</w:t>
                    </w:r>
                    <w:proofErr w:type="gramEnd"/>
                    <w:r>
                      <w:rPr>
                        <w:rFonts w:cs="Calibri"/>
                        <w:b/>
                        <w:bCs/>
                        <w:color w:val="000000"/>
                        <w:sz w:val="2"/>
                        <w:szCs w:val="2"/>
                        <w:lang w:val="en-US"/>
                      </w:rPr>
                      <w:t xml:space="preserve"> SO2</w:t>
                    </w:r>
                  </w:p>
                </w:txbxContent>
              </v:textbox>
            </v:rect>
            <v:rect id="_x0000_s1824" style="position:absolute;left:535;top:-1277;width:1880;height:317;mso-wrap-style:none" filled="f" stroked="f">
              <v:textbox style="mso-fit-shape-to-text:t" inset="0,0,0,0">
                <w:txbxContent>
                  <w:p w:rsidR="000B433A" w:rsidRPr="008832C3" w:rsidRDefault="000B433A">
                    <w:pPr>
                      <w:rPr>
                        <w:lang w:val="de-DE"/>
                      </w:rPr>
                    </w:pPr>
                    <w:r w:rsidRPr="008832C3">
                      <w:rPr>
                        <w:rFonts w:cs="Calibri"/>
                        <w:b/>
                        <w:bCs/>
                        <w:color w:val="000000"/>
                        <w:sz w:val="14"/>
                        <w:szCs w:val="14"/>
                        <w:lang w:val="de-DE"/>
                      </w:rPr>
                      <w:t>Entwicklung der SO</w:t>
                    </w:r>
                    <w:r w:rsidRPr="00535BA6">
                      <w:rPr>
                        <w:rFonts w:cs="Calibri"/>
                        <w:b/>
                        <w:bCs/>
                        <w:color w:val="000000"/>
                        <w:sz w:val="10"/>
                        <w:szCs w:val="10"/>
                        <w:lang w:val="de-DE"/>
                      </w:rPr>
                      <w:t>2</w:t>
                    </w:r>
                    <w:r>
                      <w:rPr>
                        <w:rFonts w:cs="Calibri"/>
                        <w:b/>
                        <w:bCs/>
                        <w:color w:val="000000"/>
                        <w:sz w:val="14"/>
                        <w:szCs w:val="14"/>
                        <w:lang w:val="de-DE"/>
                      </w:rPr>
                      <w:t>-Emissionen</w:t>
                    </w:r>
                  </w:p>
                </w:txbxContent>
              </v:textbox>
            </v:rect>
            <v:rect id="_x0000_s1825" style="position:absolute;left:1064;top:-1099;width:362;height:317;mso-wrap-style:none" filled="f" stroked="f">
              <v:textbox style="mso-fit-shape-to-text:t" inset="0,0,0,0">
                <w:txbxContent>
                  <w:p w:rsidR="000B433A" w:rsidRDefault="000B433A">
                    <w:r>
                      <w:rPr>
                        <w:rFonts w:cs="Calibri"/>
                        <w:b/>
                        <w:bCs/>
                        <w:color w:val="000000"/>
                        <w:sz w:val="14"/>
                        <w:szCs w:val="14"/>
                        <w:lang w:val="en-US"/>
                      </w:rPr>
                      <w:t>(WEM</w:t>
                    </w:r>
                  </w:p>
                </w:txbxContent>
              </v:textbox>
            </v:rect>
            <v:rect id="_x0000_s1826" style="position:absolute;left:1451;top:-1099;width:43;height:317;mso-wrap-style:none" filled="f" stroked="f">
              <v:textbox style="mso-fit-shape-to-text:t" inset="0,0,0,0">
                <w:txbxContent>
                  <w:p w:rsidR="000B433A" w:rsidRDefault="000B433A">
                    <w:r>
                      <w:rPr>
                        <w:rFonts w:cs="Calibri"/>
                        <w:b/>
                        <w:bCs/>
                        <w:color w:val="000000"/>
                        <w:sz w:val="14"/>
                        <w:szCs w:val="14"/>
                        <w:lang w:val="en-US"/>
                      </w:rPr>
                      <w:t>-</w:t>
                    </w:r>
                  </w:p>
                </w:txbxContent>
              </v:textbox>
            </v:rect>
            <v:rect id="_x0000_s1827" style="position:absolute;left:1494;top:-1099;width:378;height:317;mso-wrap-style:none" filled="f" stroked="f">
              <v:textbox style="mso-fit-shape-to-text:t" inset="0,0,0,0">
                <w:txbxContent>
                  <w:p w:rsidR="000B433A" w:rsidRDefault="000B433A">
                    <w:r>
                      <w:rPr>
                        <w:rFonts w:cs="Calibri"/>
                        <w:b/>
                        <w:bCs/>
                        <w:color w:val="000000"/>
                        <w:sz w:val="14"/>
                        <w:szCs w:val="14"/>
                        <w:lang w:val="en-US"/>
                      </w:rPr>
                      <w:t>WAM)</w:t>
                    </w:r>
                  </w:p>
                </w:txbxContent>
              </v:textbox>
            </v:rect>
            <v:rect id="_x0000_s1828" style="position:absolute;left:2045;top:-893;width:49;height:56" fillcolor="#a5a5a5" stroked="f"/>
            <v:rect id="_x0000_s1829" style="position:absolute;left:2110;top:-914;width:291;height:232;mso-wrap-style:none" filled="f" stroked="f">
              <v:textbox style="mso-fit-shape-to-text:t" inset="0,0,0,0">
                <w:txbxContent>
                  <w:p w:rsidR="000B433A" w:rsidRDefault="000B433A">
                    <w:r>
                      <w:rPr>
                        <w:rFonts w:cs="Calibri"/>
                        <w:color w:val="000000"/>
                        <w:sz w:val="8"/>
                        <w:szCs w:val="8"/>
                        <w:lang w:val="en-US"/>
                      </w:rPr>
                      <w:t xml:space="preserve">Industrie </w:t>
                    </w:r>
                  </w:p>
                </w:txbxContent>
              </v:textbox>
            </v:rect>
            <v:rect id="_x0000_s1830" style="position:absolute;left:2110;top:-814;width:478;height:232;mso-wrap-style:none" filled="f" stroked="f">
              <v:textbox style="mso-fit-shape-to-text:t" inset="0,0,0,0">
                <w:txbxContent>
                  <w:p w:rsidR="000B433A" w:rsidRDefault="000B433A">
                    <w:r>
                      <w:rPr>
                        <w:rFonts w:cs="Calibri"/>
                        <w:color w:val="000000"/>
                        <w:sz w:val="8"/>
                        <w:szCs w:val="8"/>
                        <w:lang w:val="en-US"/>
                      </w:rPr>
                      <w:t>(Verbrennung)</w:t>
                    </w:r>
                  </w:p>
                </w:txbxContent>
              </v:textbox>
            </v:rect>
            <v:rect id="_x0000_s1831" style="position:absolute;left:2045;top:-653;width:49;height:56" fillcolor="#ed7d31" stroked="f"/>
            <v:rect id="_x0000_s1832" style="position:absolute;left:2110;top:-674;width:733;height:232;mso-wrap-style:none" filled="f" stroked="f">
              <v:textbox style="mso-fit-shape-to-text:t" inset="0,0,0,0">
                <w:txbxContent>
                  <w:p w:rsidR="000B433A" w:rsidRDefault="000B433A">
                    <w:proofErr w:type="gramStart"/>
                    <w:r>
                      <w:rPr>
                        <w:rFonts w:cs="Calibri"/>
                        <w:color w:val="000000"/>
                        <w:sz w:val="8"/>
                        <w:szCs w:val="8"/>
                        <w:lang w:val="en-US"/>
                      </w:rPr>
                      <w:t>Wohnen &amp; Dienstleist.</w:t>
                    </w:r>
                    <w:proofErr w:type="gramEnd"/>
                  </w:p>
                </w:txbxContent>
              </v:textbox>
            </v:rect>
            <v:rect id="_x0000_s1833" style="position:absolute;left:2045;top:-413;width:49;height:56" fillcolor="#4472c4" stroked="f"/>
            <v:rect id="_x0000_s1834" style="position:absolute;left:2110;top:-433;width:245;height:232;mso-wrap-style:none" filled="f" stroked="f">
              <v:textbox style="mso-fit-shape-to-text:t" inset="0,0,0,0">
                <w:txbxContent>
                  <w:p w:rsidR="000B433A" w:rsidRDefault="000B433A">
                    <w:r>
                      <w:rPr>
                        <w:rFonts w:cs="Calibri"/>
                        <w:color w:val="000000"/>
                        <w:sz w:val="8"/>
                        <w:szCs w:val="8"/>
                        <w:lang w:val="en-US"/>
                      </w:rPr>
                      <w:t>Energie</w:t>
                    </w:r>
                  </w:p>
                </w:txbxContent>
              </v:textbox>
            </v:rect>
            <v:shape id="_x0000_s1835" style="position:absolute;left:3;top:-1342;width:2958;height:1778" coordsize="7696,4624" path="m,8hdc,4,4,,8,hal7688,hdc7693,,7696,4,7696,8hal7696,4616hdc7696,4621,7693,4624,7688,4624hal8,4624hdc4,4624,,4621,,4616hal,8hdxm16,4616hal8,4608r7680,l7680,4616,7680,8r8,8l8,16,16,8r,4608hdxe" fillcolor="#898989" strokecolor="#898989" strokeweight="0">
              <v:path arrowok="t"/>
              <o:lock v:ext="edit" verticies="t"/>
            </v:shape>
            <v:rect id="_x0000_s1836" style="position:absolute;left:1442;top:436;width:2958;height:1779" stroked="f"/>
            <v:rect id="_x0000_s1837" style="position:absolute;left:2014;top:836;width:1543;height:1071" stroked="f"/>
            <v:shape id="_x0000_s1838" style="position:absolute;left:2011;top:836;width:1537;height:936" coordsize="1537,936" path="m,930r1537,l1537,936,,936r,-6xm,800r1537,l1537,807,,807r,-7xm,665r1537,l1537,671,,671r,-6xm,530r1537,l1537,536,,536r,-6xm,400r1537,l1537,407,,407r,-7xm,265r1537,l1537,271,,271r,-6xm,136r1537,l1537,142,,142r,-6xm,l1537,r,7l,7,,xe" fillcolor="#898989" strokecolor="#898989" strokeweight=".3pt">
              <v:stroke joinstyle="bevel"/>
              <v:path arrowok="t"/>
              <o:lock v:ext="edit" verticies="t"/>
            </v:shape>
            <v:shape id="_x0000_s1839" style="position:absolute;left:2131;top:1618;width:1303;height:283" coordsize="1303,283" path="m,l153,r,283l,283,,xm381,197r154,l535,283r-154,l381,197xm762,160r154,l916,283r-154,l762,160xm1150,160r153,l1303,283r-153,l1150,160xe" fillcolor="#4472c4" stroked="f">
              <v:path arrowok="t"/>
              <o:lock v:ext="edit" verticies="t"/>
            </v:shape>
            <v:shape id="_x0000_s1840" style="position:absolute;left:2131;top:1470;width:1303;height:345" coordsize="1303,345" path="m,l153,r,148l,148,,xm381,222r154,l535,345r-154,l381,222xm762,197r154,l916,308r-154,l762,197xm1150,222r153,l1303,308r-153,l1150,222xe" fillcolor="#ed7d31" stroked="f">
              <v:path arrowok="t"/>
              <o:lock v:ext="edit" verticies="t"/>
            </v:shape>
            <v:shape id="_x0000_s1841" style="position:absolute;left:2131;top:935;width:1303;height:757" coordsize="1303,757" path="m,l153,r,535l,535,,xm381,548r154,l535,757r-154,l381,548xm762,572r154,l916,732r-154,l762,572xm1150,603r153,l1303,757r-153,l1150,603xe" fillcolor="#a5a5a5" stroked="f">
              <v:path arrowok="t"/>
              <o:lock v:ext="edit" verticies="t"/>
            </v:shape>
            <v:rect id="_x0000_s1842" style="position:absolute;left:2008;top:840;width:6;height:1064" fillcolor="#898989" strokecolor="#898989" strokeweight=".3pt">
              <v:stroke joinstyle="bevel"/>
            </v:rect>
            <v:shape id="_x0000_s1843" style="position:absolute;left:1986;top:836;width:25;height:1071" coordsize="25,1071" path="m,1065r25,l25,1071r-25,l,1065xm,930r25,l25,936,,936r,-6xm,800r25,l25,807,,807r,-7xm,665r25,l25,671,,671r,-6xm,530r25,l25,536,,536r,-6xm,400r25,l25,407,,407r,-7xm,265r25,l25,271,,271r,-6xm,136r25,l25,142,,142r,-6xm,l25,r,7l,7,,xe" fillcolor="#898989" strokecolor="#898989" strokeweight=".3pt">
              <v:stroke joinstyle="bevel"/>
              <v:path arrowok="t"/>
              <o:lock v:ext="edit" verticies="t"/>
            </v:shape>
            <v:rect id="_x0000_s1844" style="position:absolute;left:2011;top:1901;width:1537;height:6" fillcolor="#898989" strokecolor="#898989" strokeweight=".3pt">
              <v:stroke joinstyle="bevel"/>
            </v:rect>
            <v:shape id="_x0000_s1845" style="position:absolute;left:2008;top:1904;width:1543;height:25" coordsize="1543,25" path="m6,r,25l,25,,,6,xm393,r,25l387,25,387,r6,xm774,r,25l768,25,768,r6,xm1162,r,25l1156,25r,-25l1162,xm1543,r,25l1537,25r,-25l1543,xe" fillcolor="#898989" strokecolor="#898989" strokeweight=".3pt">
              <v:stroke joinstyle="bevel"/>
              <v:path arrowok="t"/>
              <o:lock v:ext="edit" verticies="t"/>
            </v:shape>
            <v:rect id="_x0000_s1846" style="position:absolute;left:1895;top:1859;width:41;height:232;mso-wrap-style:none" filled="f" stroked="f">
              <v:textbox style="mso-fit-shape-to-text:t" inset="0,0,0,0">
                <w:txbxContent>
                  <w:p w:rsidR="000B433A" w:rsidRDefault="000B433A">
                    <w:r>
                      <w:rPr>
                        <w:rFonts w:cs="Calibri"/>
                        <w:color w:val="000000"/>
                        <w:sz w:val="8"/>
                        <w:szCs w:val="8"/>
                        <w:lang w:val="en-US"/>
                      </w:rPr>
                      <w:t>0</w:t>
                    </w:r>
                  </w:p>
                </w:txbxContent>
              </v:textbox>
            </v:rect>
            <v:rect id="_x0000_s1847" style="position:absolute;left:1755;top:1725;width:181;height:232;mso-wrap-style:none" filled="f" stroked="f">
              <v:textbox style="mso-fit-shape-to-text:t" inset="0,0,0,0">
                <w:txbxContent>
                  <w:p w:rsidR="000B433A" w:rsidRDefault="000B433A">
                    <w:r>
                      <w:rPr>
                        <w:rFonts w:cs="Calibri"/>
                        <w:color w:val="000000"/>
                        <w:sz w:val="8"/>
                        <w:szCs w:val="8"/>
                        <w:lang w:val="en-US"/>
                      </w:rPr>
                      <w:t>5 000</w:t>
                    </w:r>
                  </w:p>
                </w:txbxContent>
              </v:textbox>
            </v:rect>
            <v:rect id="_x0000_s1848" style="position:absolute;left:1710;top:1592;width:221;height:232;mso-wrap-style:none" filled="f" stroked="f">
              <v:textbox style="mso-fit-shape-to-text:t" inset="0,0,0,0">
                <w:txbxContent>
                  <w:p w:rsidR="000B433A" w:rsidRDefault="000B433A">
                    <w:r>
                      <w:rPr>
                        <w:rFonts w:cs="Calibri"/>
                        <w:color w:val="000000"/>
                        <w:sz w:val="8"/>
                        <w:szCs w:val="8"/>
                        <w:lang w:val="en-US"/>
                      </w:rPr>
                      <w:t>10 000</w:t>
                    </w:r>
                  </w:p>
                </w:txbxContent>
              </v:textbox>
            </v:rect>
            <v:rect id="_x0000_s1849" style="position:absolute;left:1710;top:1459;width:221;height:232;mso-wrap-style:none" filled="f" stroked="f">
              <v:textbox style="mso-fit-shape-to-text:t" inset="0,0,0,0">
                <w:txbxContent>
                  <w:p w:rsidR="000B433A" w:rsidRDefault="000B433A">
                    <w:r>
                      <w:rPr>
                        <w:rFonts w:cs="Calibri"/>
                        <w:color w:val="000000"/>
                        <w:sz w:val="8"/>
                        <w:szCs w:val="8"/>
                        <w:lang w:val="en-US"/>
                      </w:rPr>
                      <w:t>15 000</w:t>
                    </w:r>
                  </w:p>
                </w:txbxContent>
              </v:textbox>
            </v:rect>
            <v:rect id="_x0000_s1850" style="position:absolute;left:1710;top:1326;width:221;height:232;mso-wrap-style:none" filled="f" stroked="f">
              <v:textbox style="mso-fit-shape-to-text:t" inset="0,0,0,0">
                <w:txbxContent>
                  <w:p w:rsidR="000B433A" w:rsidRDefault="000B433A">
                    <w:r>
                      <w:rPr>
                        <w:rFonts w:cs="Calibri"/>
                        <w:color w:val="000000"/>
                        <w:sz w:val="8"/>
                        <w:szCs w:val="8"/>
                        <w:lang w:val="en-US"/>
                      </w:rPr>
                      <w:t>20 000</w:t>
                    </w:r>
                  </w:p>
                </w:txbxContent>
              </v:textbox>
            </v:rect>
            <v:rect id="_x0000_s1851" style="position:absolute;left:1710;top:1193;width:221;height:232;mso-wrap-style:none" filled="f" stroked="f">
              <v:textbox style="mso-fit-shape-to-text:t" inset="0,0,0,0">
                <w:txbxContent>
                  <w:p w:rsidR="000B433A" w:rsidRDefault="000B433A">
                    <w:r>
                      <w:rPr>
                        <w:rFonts w:cs="Calibri"/>
                        <w:color w:val="000000"/>
                        <w:sz w:val="8"/>
                        <w:szCs w:val="8"/>
                        <w:lang w:val="en-US"/>
                      </w:rPr>
                      <w:t>25 000</w:t>
                    </w:r>
                  </w:p>
                </w:txbxContent>
              </v:textbox>
            </v:rect>
            <v:rect id="_x0000_s1852" style="position:absolute;left:1710;top:1059;width:221;height:232;mso-wrap-style:none" filled="f" stroked="f">
              <v:textbox style="mso-fit-shape-to-text:t" inset="0,0,0,0">
                <w:txbxContent>
                  <w:p w:rsidR="000B433A" w:rsidRDefault="000B433A">
                    <w:r>
                      <w:rPr>
                        <w:rFonts w:cs="Calibri"/>
                        <w:color w:val="000000"/>
                        <w:sz w:val="8"/>
                        <w:szCs w:val="8"/>
                        <w:lang w:val="en-US"/>
                      </w:rPr>
                      <w:t>30 000</w:t>
                    </w:r>
                  </w:p>
                </w:txbxContent>
              </v:textbox>
            </v:rect>
            <v:rect id="_x0000_s1853" style="position:absolute;left:1710;top:926;width:221;height:232;mso-wrap-style:none" filled="f" stroked="f">
              <v:textbox style="mso-fit-shape-to-text:t" inset="0,0,0,0">
                <w:txbxContent>
                  <w:p w:rsidR="000B433A" w:rsidRDefault="000B433A">
                    <w:r>
                      <w:rPr>
                        <w:rFonts w:cs="Calibri"/>
                        <w:color w:val="000000"/>
                        <w:sz w:val="8"/>
                        <w:szCs w:val="8"/>
                        <w:lang w:val="en-US"/>
                      </w:rPr>
                      <w:t>35 000</w:t>
                    </w:r>
                  </w:p>
                </w:txbxContent>
              </v:textbox>
            </v:rect>
            <v:rect id="_x0000_s1854" style="position:absolute;left:1710;top:793;width:221;height:232;mso-wrap-style:none" filled="f" stroked="f">
              <v:textbox style="mso-fit-shape-to-text:t" inset="0,0,0,0">
                <w:txbxContent>
                  <w:p w:rsidR="000B433A" w:rsidRDefault="000B433A">
                    <w:r>
                      <w:rPr>
                        <w:rFonts w:cs="Calibri"/>
                        <w:color w:val="000000"/>
                        <w:sz w:val="8"/>
                        <w:szCs w:val="8"/>
                        <w:lang w:val="en-US"/>
                      </w:rPr>
                      <w:t>40 000</w:t>
                    </w:r>
                  </w:p>
                </w:txbxContent>
              </v:textbox>
            </v:rect>
            <v:rect id="_x0000_s1855" style="position:absolute;left:2121;top:1964;width:163;height:232;mso-wrap-style:none" filled="f" stroked="f">
              <v:textbox style="mso-fit-shape-to-text:t" inset="0,0,0,0">
                <w:txbxContent>
                  <w:p w:rsidR="000B433A" w:rsidRDefault="000B433A">
                    <w:r>
                      <w:rPr>
                        <w:rFonts w:cs="Calibri"/>
                        <w:color w:val="000000"/>
                        <w:sz w:val="8"/>
                        <w:szCs w:val="8"/>
                        <w:lang w:val="en-US"/>
                      </w:rPr>
                      <w:t>2005</w:t>
                    </w:r>
                  </w:p>
                </w:txbxContent>
              </v:textbox>
            </v:rect>
            <v:rect id="_x0000_s1856" style="position:absolute;left:2505;top:1964;width:163;height:232;mso-wrap-style:none" filled="f" stroked="f">
              <v:textbox style="mso-fit-shape-to-text:t" inset="0,0,0,0">
                <w:txbxContent>
                  <w:p w:rsidR="000B433A" w:rsidRDefault="000B433A">
                    <w:r>
                      <w:rPr>
                        <w:rFonts w:cs="Calibri"/>
                        <w:color w:val="000000"/>
                        <w:sz w:val="8"/>
                        <w:szCs w:val="8"/>
                        <w:lang w:val="en-US"/>
                      </w:rPr>
                      <w:t>2015</w:t>
                    </w:r>
                  </w:p>
                </w:txbxContent>
              </v:textbox>
            </v:rect>
            <v:rect id="_x0000_s1857" style="position:absolute;left:2790;top:1964;width:359;height:232;mso-wrap-style:none" filled="f" stroked="f">
              <v:textbox style="mso-fit-shape-to-text:t" inset="0,0,0,0">
                <w:txbxContent>
                  <w:p w:rsidR="000B433A" w:rsidRDefault="000B433A">
                    <w:r>
                      <w:rPr>
                        <w:rFonts w:cs="Calibri"/>
                        <w:color w:val="000000"/>
                        <w:sz w:val="8"/>
                        <w:szCs w:val="8"/>
                        <w:lang w:val="en-US"/>
                      </w:rPr>
                      <w:t>2030 WEM</w:t>
                    </w:r>
                  </w:p>
                </w:txbxContent>
              </v:textbox>
            </v:rect>
            <v:rect id="_x0000_s1858" style="position:absolute;left:3168;top:1964;width:367;height:232;mso-wrap-style:none" filled="f" stroked="f">
              <v:textbox style="mso-fit-shape-to-text:t" inset="0,0,0,0">
                <w:txbxContent>
                  <w:p w:rsidR="000B433A" w:rsidRDefault="000B433A">
                    <w:r>
                      <w:rPr>
                        <w:rFonts w:cs="Calibri"/>
                        <w:color w:val="000000"/>
                        <w:sz w:val="8"/>
                        <w:szCs w:val="8"/>
                        <w:lang w:val="en-US"/>
                      </w:rPr>
                      <w:t>2030 WAM</w:t>
                    </w:r>
                  </w:p>
                </w:txbxContent>
              </v:textbox>
            </v:rect>
            <v:rect id="_x0000_s1859" style="position:absolute;left:1669;top:1468;width:45;height:148;mso-wrap-style:none" filled="f" stroked="f">
              <v:textbox style="mso-fit-shape-to-text:t" inset="0,0,0,0">
                <w:txbxContent>
                  <w:p w:rsidR="000B433A" w:rsidRDefault="000B433A">
                    <w:proofErr w:type="gramStart"/>
                    <w:r>
                      <w:rPr>
                        <w:rFonts w:cs="Calibri"/>
                        <w:b/>
                        <w:bCs/>
                        <w:color w:val="000000"/>
                        <w:sz w:val="2"/>
                        <w:szCs w:val="2"/>
                        <w:lang w:val="en-US"/>
                      </w:rPr>
                      <w:t>t</w:t>
                    </w:r>
                    <w:proofErr w:type="gramEnd"/>
                    <w:r>
                      <w:rPr>
                        <w:rFonts w:cs="Calibri"/>
                        <w:b/>
                        <w:bCs/>
                        <w:color w:val="000000"/>
                        <w:sz w:val="2"/>
                        <w:szCs w:val="2"/>
                        <w:lang w:val="en-US"/>
                      </w:rPr>
                      <w:t xml:space="preserve"> Nox</w:t>
                    </w:r>
                  </w:p>
                </w:txbxContent>
              </v:textbox>
            </v:rect>
            <v:rect id="_x0000_s1860" style="position:absolute;left:1962;top:501;width:1901;height:317;mso-wrap-style:none" filled="f" stroked="f">
              <v:textbox style="mso-fit-shape-to-text:t" inset="0,0,0,0">
                <w:txbxContent>
                  <w:p w:rsidR="000B433A" w:rsidRDefault="000B433A">
                    <w:r>
                      <w:rPr>
                        <w:rFonts w:cs="Calibri"/>
                        <w:b/>
                        <w:bCs/>
                        <w:color w:val="000000"/>
                        <w:sz w:val="14"/>
                        <w:szCs w:val="14"/>
                        <w:lang w:val="en-US"/>
                      </w:rPr>
                      <w:t>Entwicklung der NO</w:t>
                    </w:r>
                    <w:r w:rsidRPr="002775F3">
                      <w:rPr>
                        <w:rFonts w:cs="Calibri"/>
                        <w:b/>
                        <w:bCs/>
                        <w:color w:val="000000"/>
                        <w:sz w:val="10"/>
                        <w:szCs w:val="10"/>
                        <w:lang w:val="en-US"/>
                      </w:rPr>
                      <w:t>x</w:t>
                    </w:r>
                    <w:r>
                      <w:rPr>
                        <w:rFonts w:cs="Calibri"/>
                        <w:b/>
                        <w:bCs/>
                        <w:color w:val="000000"/>
                        <w:sz w:val="14"/>
                        <w:szCs w:val="14"/>
                        <w:lang w:val="en-US"/>
                      </w:rPr>
                      <w:t>-Emissionen</w:t>
                    </w:r>
                  </w:p>
                </w:txbxContent>
              </v:textbox>
            </v:rect>
            <v:rect id="_x0000_s1861" style="position:absolute;left:2503;top:680;width:362;height:317;mso-wrap-style:none" filled="f" stroked="f">
              <v:textbox style="mso-fit-shape-to-text:t" inset="0,0,0,0">
                <w:txbxContent>
                  <w:p w:rsidR="000B433A" w:rsidRDefault="000B433A">
                    <w:r>
                      <w:rPr>
                        <w:rFonts w:cs="Calibri"/>
                        <w:b/>
                        <w:bCs/>
                        <w:color w:val="000000"/>
                        <w:sz w:val="14"/>
                        <w:szCs w:val="14"/>
                        <w:lang w:val="en-US"/>
                      </w:rPr>
                      <w:t>(WEM</w:t>
                    </w:r>
                  </w:p>
                </w:txbxContent>
              </v:textbox>
            </v:rect>
            <v:rect id="_x0000_s1862" style="position:absolute;left:2890;top:680;width:43;height:317;mso-wrap-style:none" filled="f" stroked="f">
              <v:textbox style="mso-fit-shape-to-text:t" inset="0,0,0,0">
                <w:txbxContent>
                  <w:p w:rsidR="000B433A" w:rsidRDefault="000B433A">
                    <w:r>
                      <w:rPr>
                        <w:rFonts w:cs="Calibri"/>
                        <w:b/>
                        <w:bCs/>
                        <w:color w:val="000000"/>
                        <w:sz w:val="14"/>
                        <w:szCs w:val="14"/>
                        <w:lang w:val="en-US"/>
                      </w:rPr>
                      <w:t>-</w:t>
                    </w:r>
                  </w:p>
                </w:txbxContent>
              </v:textbox>
            </v:rect>
            <v:rect id="_x0000_s1863" style="position:absolute;left:2933;top:680;width:378;height:317;mso-wrap-style:none" filled="f" stroked="f">
              <v:textbox style="mso-fit-shape-to-text:t" inset="0,0,0,0">
                <w:txbxContent>
                  <w:p w:rsidR="000B433A" w:rsidRDefault="000B433A">
                    <w:r>
                      <w:rPr>
                        <w:rFonts w:cs="Calibri"/>
                        <w:b/>
                        <w:bCs/>
                        <w:color w:val="000000"/>
                        <w:sz w:val="14"/>
                        <w:szCs w:val="14"/>
                        <w:lang w:val="en-US"/>
                      </w:rPr>
                      <w:t>WAM)</w:t>
                    </w:r>
                  </w:p>
                </w:txbxContent>
              </v:textbox>
            </v:rect>
            <v:rect id="_x0000_s1864" style="position:absolute;left:3570;top:880;width:55;height:55" fillcolor="#a5a5a5" stroked="f"/>
            <v:rect id="_x0000_s1865" style="position:absolute;left:3639;top:858;width:291;height:232;mso-wrap-style:none" filled="f" stroked="f">
              <v:textbox style="mso-fit-shape-to-text:t" inset="0,0,0,0">
                <w:txbxContent>
                  <w:p w:rsidR="000B433A" w:rsidRDefault="000B433A">
                    <w:r>
                      <w:rPr>
                        <w:rFonts w:cs="Calibri"/>
                        <w:color w:val="000000"/>
                        <w:sz w:val="8"/>
                        <w:szCs w:val="8"/>
                        <w:lang w:val="en-US"/>
                      </w:rPr>
                      <w:t xml:space="preserve">Industrie </w:t>
                    </w:r>
                  </w:p>
                </w:txbxContent>
              </v:textbox>
            </v:rect>
            <v:rect id="_x0000_s1866" style="position:absolute;left:3639;top:956;width:478;height:232;mso-wrap-style:none" filled="f" stroked="f">
              <v:textbox style="mso-fit-shape-to-text:t" inset="0,0,0,0">
                <w:txbxContent>
                  <w:p w:rsidR="000B433A" w:rsidRDefault="000B433A">
                    <w:r>
                      <w:rPr>
                        <w:rFonts w:cs="Calibri"/>
                        <w:color w:val="000000"/>
                        <w:sz w:val="8"/>
                        <w:szCs w:val="8"/>
                        <w:lang w:val="en-US"/>
                      </w:rPr>
                      <w:t>(Verbrennung)</w:t>
                    </w:r>
                  </w:p>
                </w:txbxContent>
              </v:textbox>
            </v:rect>
            <v:rect id="_x0000_s1867" style="position:absolute;left:3570;top:1107;width:55;height:49" fillcolor="#ed7d31" stroked="f"/>
            <v:rect id="_x0000_s1868" style="position:absolute;left:3639;top:1084;width:733;height:689;mso-wrap-style:none" filled="f" stroked="f">
              <v:textbox style="mso-fit-shape-to-text:t" inset="0,0,0,0">
                <w:txbxContent>
                  <w:p w:rsidR="000B433A" w:rsidRDefault="000B433A" w:rsidP="00EA6924">
                    <w:proofErr w:type="gramStart"/>
                    <w:r>
                      <w:rPr>
                        <w:rFonts w:cs="Calibri"/>
                        <w:color w:val="000000"/>
                        <w:sz w:val="8"/>
                        <w:szCs w:val="8"/>
                        <w:lang w:val="en-US"/>
                      </w:rPr>
                      <w:t>Wohnen &amp; Dienstleist.</w:t>
                    </w:r>
                    <w:proofErr w:type="gramEnd"/>
                  </w:p>
                  <w:p w:rsidR="000B433A" w:rsidRPr="00EA6924" w:rsidRDefault="000B433A" w:rsidP="00EA6924"/>
                </w:txbxContent>
              </v:textbox>
            </v:rect>
            <v:rect id="_x0000_s1869" style="position:absolute;left:3570;top:1335;width:55;height:49" fillcolor="#4472c4" stroked="f"/>
            <v:rect id="_x0000_s1870" style="position:absolute;left:3639;top:1310;width:245;height:232;mso-wrap-style:none" filled="f" stroked="f">
              <v:textbox style="mso-fit-shape-to-text:t" inset="0,0,0,0">
                <w:txbxContent>
                  <w:p w:rsidR="000B433A" w:rsidRDefault="000B433A">
                    <w:r>
                      <w:rPr>
                        <w:rFonts w:cs="Calibri"/>
                        <w:color w:val="000000"/>
                        <w:sz w:val="8"/>
                        <w:szCs w:val="8"/>
                        <w:lang w:val="en-US"/>
                      </w:rPr>
                      <w:t>Energie</w:t>
                    </w:r>
                  </w:p>
                </w:txbxContent>
              </v:textbox>
            </v:rect>
            <v:shape id="_x0000_s1871" style="position:absolute;left:1442;top:436;width:2958;height:1779" coordsize="7696,4624" path="m,8hdc,4,4,,8,hal7688,hdc7693,,7696,4,7696,8hal7696,4616hdc7696,4621,7693,4624,7688,4624hal8,4624hdc4,4624,,4621,,4616hal,8hdxm16,4616hal8,4608r7680,l7680,4616,7680,8r8,8l8,16,16,8r,4608hdxe" fillcolor="#898989" strokecolor="#898989" strokeweight="0">
              <v:path arrowok="t"/>
              <o:lock v:ext="edit" verticies="t"/>
            </v:shape>
            <v:rect id="_x0000_s1872" style="position:absolute;left:2955;top:-1342;width:2957;height:1778" stroked="f"/>
            <v:rect id="_x0000_s1873" style="position:absolute;left:3483;top:-930;width:1489;height:1059" stroked="f"/>
            <v:shape id="_x0000_s1874" style="position:absolute;left:3487;top:-936;width:1475;height:886" coordsize="1475,886" path="m,880r1475,l1475,886,,886r,-6xm,708r1475,l1475,714,,714r,-6xm,529r1475,l1475,536,,536r,-7xm,351r1475,l1475,357,,357r,-6xm,179r1475,l1475,185,,185r,-6xm,l1475,r,6l,6,,xe" fillcolor="#898989" strokecolor="#898989" strokeweight=".3pt">
              <v:stroke joinstyle="bevel"/>
              <v:path arrowok="t"/>
              <o:lock v:ext="edit" verticies="t"/>
            </v:shape>
            <v:shape id="_x0000_s1875" style="position:absolute;left:3594;top:-93;width:1261;height:216" coordsize="1261,216" path="m,154r148,l148,216,,216,,154xm369,74r148,l517,216r-148,l369,74xm738,l886,r,216l738,216,738,xm1113,56r148,l1261,216r-148,l1113,56xe" fillcolor="#4472c4" stroked="f">
              <v:path arrowok="t"/>
              <o:lock v:ext="edit" verticies="t"/>
            </v:shape>
            <v:shape id="_x0000_s1876" style="position:absolute;left:3594;top:-665;width:1261;height:726" coordsize="1261,726" path="m,338r148,l148,726,,726,,338xm369,123r148,l517,646r-148,l369,123xm738,l886,r,572l738,572,738,xm1113,172r148,l1261,628r-148,l1113,172xe" fillcolor="#ed7d31" stroked="f">
              <v:path arrowok="t"/>
              <o:lock v:ext="edit" verticies="t"/>
            </v:shape>
            <v:shape id="_x0000_s1877" style="position:absolute;left:3594;top:-831;width:1261;height:504" coordsize="1261,504" path="m,240r148,l148,504,,504,,240xm369,129r148,l517,289r-148,l369,129xm738,l886,r,166l738,166,738,xm1113,154r148,l1261,338r-148,l1113,154xe" fillcolor="#a5a5a5" stroked="f">
              <v:path arrowok="t"/>
              <o:lock v:ext="edit" verticies="t"/>
            </v:shape>
            <v:rect id="_x0000_s1878" style="position:absolute;left:3483;top:-933;width:7;height:1059" fillcolor="#898989" strokecolor="#898989" strokeweight=".3pt">
              <v:stroke joinstyle="bevel"/>
            </v:rect>
            <v:shape id="_x0000_s1879" style="position:absolute;left:3456;top:-936;width:31;height:1065" coordsize="31,1065" path="m,1059r31,l31,1065r-31,l,1059xm,880r31,l31,886,,886r,-6xm,708r31,l31,714,,714r,-6xm,529r31,l31,536,,536r,-7xm,351r31,l31,357,,357r,-6xm,179r31,l31,185,,185r,-6xm,l31,r,6l,6,,xe" fillcolor="#898989" strokecolor="#898989" strokeweight=".3pt">
              <v:stroke joinstyle="bevel"/>
              <v:path arrowok="t"/>
              <o:lock v:ext="edit" verticies="t"/>
            </v:shape>
            <v:rect id="_x0000_s1880" style="position:absolute;left:3487;top:123;width:1475;height:6" fillcolor="#898989" strokecolor="#898989" strokeweight=".3pt">
              <v:stroke joinstyle="bevel"/>
            </v:rect>
            <v:shape id="_x0000_s1881" style="position:absolute;left:3483;top:126;width:1482;height:24" coordsize="1482,24" path="m7,r,24l,24,,,7,xm376,r,24l369,24,369,r7,xm744,r,24l738,24,738,r6,xm1113,r,24l1107,24r,-24l1113,xm1482,r,24l1476,24r,-24l1482,xe" fillcolor="#898989" strokecolor="#898989" strokeweight=".3pt">
              <v:stroke joinstyle="bevel"/>
              <v:path arrowok="t"/>
              <o:lock v:ext="edit" verticies="t"/>
            </v:shape>
            <v:rect id="_x0000_s1882" style="position:absolute;left:3366;top:79;width:41;height:232;mso-wrap-style:none" filled="f" stroked="f">
              <v:textbox style="mso-fit-shape-to-text:t" inset="0,0,0,0">
                <w:txbxContent>
                  <w:p w:rsidR="000B433A" w:rsidRDefault="000B433A">
                    <w:r>
                      <w:rPr>
                        <w:rFonts w:cs="Calibri"/>
                        <w:color w:val="000000"/>
                        <w:sz w:val="8"/>
                        <w:szCs w:val="8"/>
                        <w:lang w:val="en-US"/>
                      </w:rPr>
                      <w:t>0</w:t>
                    </w:r>
                  </w:p>
                </w:txbxContent>
              </v:textbox>
            </v:rect>
            <v:rect id="_x0000_s1883" style="position:absolute;left:3281;top:-97;width:122;height:232;mso-wrap-style:none" filled="f" stroked="f">
              <v:textbox style="mso-fit-shape-to-text:t" inset="0,0,0,0">
                <w:txbxContent>
                  <w:p w:rsidR="000B433A" w:rsidRDefault="000B433A">
                    <w:r>
                      <w:rPr>
                        <w:rFonts w:cs="Calibri"/>
                        <w:color w:val="000000"/>
                        <w:sz w:val="8"/>
                        <w:szCs w:val="8"/>
                        <w:lang w:val="en-US"/>
                      </w:rPr>
                      <w:t>200</w:t>
                    </w:r>
                  </w:p>
                </w:txbxContent>
              </v:textbox>
            </v:rect>
            <v:rect id="_x0000_s1884" style="position:absolute;left:3281;top:-273;width:122;height:232;mso-wrap-style:none" filled="f" stroked="f">
              <v:textbox style="mso-fit-shape-to-text:t" inset="0,0,0,0">
                <w:txbxContent>
                  <w:p w:rsidR="000B433A" w:rsidRDefault="000B433A">
                    <w:r>
                      <w:rPr>
                        <w:rFonts w:cs="Calibri"/>
                        <w:color w:val="000000"/>
                        <w:sz w:val="8"/>
                        <w:szCs w:val="8"/>
                        <w:lang w:val="en-US"/>
                      </w:rPr>
                      <w:t>400</w:t>
                    </w:r>
                  </w:p>
                </w:txbxContent>
              </v:textbox>
            </v:rect>
            <v:rect id="_x0000_s1885" style="position:absolute;left:3281;top:-449;width:122;height:232;mso-wrap-style:none" filled="f" stroked="f">
              <v:textbox style="mso-fit-shape-to-text:t" inset="0,0,0,0">
                <w:txbxContent>
                  <w:p w:rsidR="000B433A" w:rsidRDefault="000B433A">
                    <w:r>
                      <w:rPr>
                        <w:rFonts w:cs="Calibri"/>
                        <w:color w:val="000000"/>
                        <w:sz w:val="8"/>
                        <w:szCs w:val="8"/>
                        <w:lang w:val="en-US"/>
                      </w:rPr>
                      <w:t>600</w:t>
                    </w:r>
                  </w:p>
                </w:txbxContent>
              </v:textbox>
            </v:rect>
            <v:rect id="_x0000_s1886" style="position:absolute;left:3281;top:-625;width:122;height:232;mso-wrap-style:none" filled="f" stroked="f">
              <v:textbox style="mso-fit-shape-to-text:t" inset="0,0,0,0">
                <w:txbxContent>
                  <w:p w:rsidR="000B433A" w:rsidRDefault="000B433A">
                    <w:r>
                      <w:rPr>
                        <w:rFonts w:cs="Calibri"/>
                        <w:color w:val="000000"/>
                        <w:sz w:val="8"/>
                        <w:szCs w:val="8"/>
                        <w:lang w:val="en-US"/>
                      </w:rPr>
                      <w:t>800</w:t>
                    </w:r>
                  </w:p>
                </w:txbxContent>
              </v:textbox>
            </v:rect>
            <v:rect id="_x0000_s1887" style="position:absolute;left:3227;top:-801;width:181;height:232;mso-wrap-style:none" filled="f" stroked="f">
              <v:textbox style="mso-fit-shape-to-text:t" inset="0,0,0,0">
                <w:txbxContent>
                  <w:p w:rsidR="000B433A" w:rsidRDefault="000B433A">
                    <w:r>
                      <w:rPr>
                        <w:rFonts w:cs="Calibri"/>
                        <w:color w:val="000000"/>
                        <w:sz w:val="8"/>
                        <w:szCs w:val="8"/>
                        <w:lang w:val="en-US"/>
                      </w:rPr>
                      <w:t>1 000</w:t>
                    </w:r>
                  </w:p>
                </w:txbxContent>
              </v:textbox>
            </v:rect>
            <v:rect id="_x0000_s1888" style="position:absolute;left:3227;top:-977;width:181;height:232;mso-wrap-style:none" filled="f" stroked="f">
              <v:textbox style="mso-fit-shape-to-text:t" inset="0,0,0,0">
                <w:txbxContent>
                  <w:p w:rsidR="000B433A" w:rsidRDefault="000B433A">
                    <w:r>
                      <w:rPr>
                        <w:rFonts w:cs="Calibri"/>
                        <w:color w:val="000000"/>
                        <w:sz w:val="8"/>
                        <w:szCs w:val="8"/>
                        <w:lang w:val="en-US"/>
                      </w:rPr>
                      <w:t>1 200</w:t>
                    </w:r>
                  </w:p>
                </w:txbxContent>
              </v:textbox>
            </v:rect>
            <v:rect id="_x0000_s1889" style="position:absolute;left:3586;top:186;width:163;height:232;mso-wrap-style:none" filled="f" stroked="f">
              <v:textbox style="mso-fit-shape-to-text:t" inset="0,0,0,0">
                <w:txbxContent>
                  <w:p w:rsidR="000B433A" w:rsidRDefault="000B433A">
                    <w:r>
                      <w:rPr>
                        <w:rFonts w:cs="Calibri"/>
                        <w:color w:val="000000"/>
                        <w:sz w:val="8"/>
                        <w:szCs w:val="8"/>
                        <w:lang w:val="en-US"/>
                      </w:rPr>
                      <w:t>2005</w:t>
                    </w:r>
                  </w:p>
                </w:txbxContent>
              </v:textbox>
            </v:rect>
            <v:rect id="_x0000_s1890" style="position:absolute;left:3956;top:186;width:163;height:232;mso-wrap-style:none" filled="f" stroked="f">
              <v:textbox style="mso-fit-shape-to-text:t" inset="0,0,0,0">
                <w:txbxContent>
                  <w:p w:rsidR="000B433A" w:rsidRDefault="000B433A">
                    <w:r>
                      <w:rPr>
                        <w:rFonts w:cs="Calibri"/>
                        <w:color w:val="000000"/>
                        <w:sz w:val="8"/>
                        <w:szCs w:val="8"/>
                        <w:lang w:val="en-US"/>
                      </w:rPr>
                      <w:t>2015</w:t>
                    </w:r>
                  </w:p>
                </w:txbxContent>
              </v:textbox>
            </v:rect>
            <v:rect id="_x0000_s1891" style="position:absolute;left:4227;top:186;width:359;height:232;mso-wrap-style:none" filled="f" stroked="f">
              <v:textbox style="mso-fit-shape-to-text:t" inset="0,0,0,0">
                <w:txbxContent>
                  <w:p w:rsidR="000B433A" w:rsidRDefault="000B433A">
                    <w:r>
                      <w:rPr>
                        <w:rFonts w:cs="Calibri"/>
                        <w:color w:val="000000"/>
                        <w:sz w:val="8"/>
                        <w:szCs w:val="8"/>
                        <w:lang w:val="en-US"/>
                      </w:rPr>
                      <w:t>2030 WEM</w:t>
                    </w:r>
                  </w:p>
                </w:txbxContent>
              </v:textbox>
            </v:rect>
            <v:rect id="_x0000_s1892" style="position:absolute;left:4695;top:186;width:163;height:232;mso-wrap-style:none" filled="f" stroked="f">
              <v:textbox style="mso-fit-shape-to-text:t" inset="0,0,0,0">
                <w:txbxContent>
                  <w:p w:rsidR="000B433A" w:rsidRDefault="000B433A">
                    <w:r>
                      <w:rPr>
                        <w:rFonts w:cs="Calibri"/>
                        <w:color w:val="000000"/>
                        <w:sz w:val="8"/>
                        <w:szCs w:val="8"/>
                        <w:lang w:val="en-US"/>
                      </w:rPr>
                      <w:t xml:space="preserve">2030 </w:t>
                    </w:r>
                  </w:p>
                </w:txbxContent>
              </v:textbox>
            </v:rect>
            <v:rect id="_x0000_s1893" style="position:absolute;left:4683;top:284;width:186;height:232;mso-wrap-style:none" filled="f" stroked="f">
              <v:textbox style="mso-fit-shape-to-text:t" inset="0,0,0,0">
                <w:txbxContent>
                  <w:p w:rsidR="000B433A" w:rsidRDefault="000B433A">
                    <w:r>
                      <w:rPr>
                        <w:rFonts w:cs="Calibri"/>
                        <w:color w:val="000000"/>
                        <w:sz w:val="8"/>
                        <w:szCs w:val="8"/>
                        <w:lang w:val="en-US"/>
                      </w:rPr>
                      <w:t>WAM</w:t>
                    </w:r>
                  </w:p>
                </w:txbxContent>
              </v:textbox>
            </v:rect>
            <v:rect id="_x0000_s1894" style="position:absolute;left:3182;top:-300;width:48;height:148;mso-wrap-style:none" filled="f" stroked="f">
              <v:textbox style="mso-fit-shape-to-text:t" inset="0,0,0,0">
                <w:txbxContent>
                  <w:p w:rsidR="000B433A" w:rsidRDefault="000B433A">
                    <w:proofErr w:type="gramStart"/>
                    <w:r>
                      <w:rPr>
                        <w:rFonts w:cs="Calibri"/>
                        <w:b/>
                        <w:bCs/>
                        <w:color w:val="000000"/>
                        <w:sz w:val="2"/>
                        <w:szCs w:val="2"/>
                        <w:lang w:val="en-US"/>
                      </w:rPr>
                      <w:t>t</w:t>
                    </w:r>
                    <w:proofErr w:type="gramEnd"/>
                    <w:r>
                      <w:rPr>
                        <w:rFonts w:cs="Calibri"/>
                        <w:b/>
                        <w:bCs/>
                        <w:color w:val="000000"/>
                        <w:sz w:val="2"/>
                        <w:szCs w:val="2"/>
                        <w:lang w:val="en-US"/>
                      </w:rPr>
                      <w:t xml:space="preserve"> NH3</w:t>
                    </w:r>
                  </w:p>
                </w:txbxContent>
              </v:textbox>
            </v:rect>
            <v:rect id="_x0000_s1895" style="position:absolute;left:3474;top:-1277;width:1899;height:317;mso-wrap-style:none" filled="f" stroked="f">
              <v:textbox style="mso-fit-shape-to-text:t" inset="0,0,0,0">
                <w:txbxContent>
                  <w:p w:rsidR="000B433A" w:rsidRPr="00535BA6" w:rsidRDefault="000B433A">
                    <w:pPr>
                      <w:rPr>
                        <w:lang w:val="de-DE"/>
                      </w:rPr>
                    </w:pPr>
                    <w:r w:rsidRPr="00535BA6">
                      <w:rPr>
                        <w:rFonts w:cs="Calibri"/>
                        <w:b/>
                        <w:bCs/>
                        <w:color w:val="000000"/>
                        <w:sz w:val="14"/>
                        <w:szCs w:val="14"/>
                        <w:lang w:val="de-DE"/>
                      </w:rPr>
                      <w:t>Entwicklung der NH</w:t>
                    </w:r>
                    <w:r w:rsidRPr="00535BA6">
                      <w:rPr>
                        <w:rFonts w:cs="Calibri"/>
                        <w:b/>
                        <w:bCs/>
                        <w:color w:val="000000"/>
                        <w:sz w:val="10"/>
                        <w:szCs w:val="10"/>
                        <w:lang w:val="de-DE"/>
                      </w:rPr>
                      <w:t>3</w:t>
                    </w:r>
                    <w:r>
                      <w:rPr>
                        <w:rFonts w:cs="Calibri"/>
                        <w:b/>
                        <w:bCs/>
                        <w:color w:val="000000"/>
                        <w:sz w:val="14"/>
                        <w:szCs w:val="14"/>
                        <w:lang w:val="de-DE"/>
                      </w:rPr>
                      <w:t>-Emissionen</w:t>
                    </w:r>
                  </w:p>
                </w:txbxContent>
              </v:textbox>
            </v:rect>
            <v:rect id="_x0000_s1896" style="position:absolute;left:4016;top:-1099;width:362;height:317;mso-wrap-style:none" filled="f" stroked="f">
              <v:textbox style="mso-fit-shape-to-text:t" inset="0,0,0,0">
                <w:txbxContent>
                  <w:p w:rsidR="000B433A" w:rsidRDefault="000B433A">
                    <w:r>
                      <w:rPr>
                        <w:rFonts w:cs="Calibri"/>
                        <w:b/>
                        <w:bCs/>
                        <w:color w:val="000000"/>
                        <w:sz w:val="14"/>
                        <w:szCs w:val="14"/>
                        <w:lang w:val="en-US"/>
                      </w:rPr>
                      <w:t>(WEM</w:t>
                    </w:r>
                  </w:p>
                </w:txbxContent>
              </v:textbox>
            </v:rect>
            <v:rect id="_x0000_s1897" style="position:absolute;left:4403;top:-1099;width:43;height:317;mso-wrap-style:none" filled="f" stroked="f">
              <v:textbox style="mso-fit-shape-to-text:t" inset="0,0,0,0">
                <w:txbxContent>
                  <w:p w:rsidR="000B433A" w:rsidRDefault="000B433A">
                    <w:r>
                      <w:rPr>
                        <w:rFonts w:cs="Calibri"/>
                        <w:b/>
                        <w:bCs/>
                        <w:color w:val="000000"/>
                        <w:sz w:val="14"/>
                        <w:szCs w:val="14"/>
                        <w:lang w:val="en-US"/>
                      </w:rPr>
                      <w:t>-</w:t>
                    </w:r>
                  </w:p>
                </w:txbxContent>
              </v:textbox>
            </v:rect>
            <v:rect id="_x0000_s1898" style="position:absolute;left:4446;top:-1099;width:378;height:317;mso-wrap-style:none" filled="f" stroked="f">
              <v:textbox style="mso-fit-shape-to-text:t" inset="0,0,0,0">
                <w:txbxContent>
                  <w:p w:rsidR="000B433A" w:rsidRDefault="000B433A">
                    <w:r>
                      <w:rPr>
                        <w:rFonts w:cs="Calibri"/>
                        <w:b/>
                        <w:bCs/>
                        <w:color w:val="000000"/>
                        <w:sz w:val="14"/>
                        <w:szCs w:val="14"/>
                        <w:lang w:val="en-US"/>
                      </w:rPr>
                      <w:t>WAM)</w:t>
                    </w:r>
                  </w:p>
                </w:txbxContent>
              </v:textbox>
            </v:rect>
            <v:rect id="_x0000_s1899" style="position:absolute;left:5033;top:-880;width:55;height:55" fillcolor="#a5a5a5" stroked="f"/>
            <v:rect id="_x0000_s1900" style="position:absolute;left:5102;top:-902;width:291;height:232;mso-wrap-style:none" filled="f" stroked="f">
              <v:textbox style="mso-fit-shape-to-text:t" inset="0,0,0,0">
                <w:txbxContent>
                  <w:p w:rsidR="000B433A" w:rsidRDefault="000B433A">
                    <w:r>
                      <w:rPr>
                        <w:rFonts w:cs="Calibri"/>
                        <w:color w:val="000000"/>
                        <w:sz w:val="8"/>
                        <w:szCs w:val="8"/>
                        <w:lang w:val="en-US"/>
                      </w:rPr>
                      <w:t xml:space="preserve">Industrie </w:t>
                    </w:r>
                  </w:p>
                </w:txbxContent>
              </v:textbox>
            </v:rect>
            <v:rect id="_x0000_s1901" style="position:absolute;left:5102;top:-803;width:478;height:232;mso-wrap-style:none" filled="f" stroked="f">
              <v:textbox style="mso-fit-shape-to-text:t" inset="0,0,0,0">
                <w:txbxContent>
                  <w:p w:rsidR="000B433A" w:rsidRDefault="000B433A">
                    <w:r>
                      <w:rPr>
                        <w:rFonts w:cs="Calibri"/>
                        <w:color w:val="000000"/>
                        <w:sz w:val="8"/>
                        <w:szCs w:val="8"/>
                        <w:lang w:val="en-US"/>
                      </w:rPr>
                      <w:t>(Verbrennung)</w:t>
                    </w:r>
                  </w:p>
                </w:txbxContent>
              </v:textbox>
            </v:rect>
            <v:rect id="_x0000_s1902" style="position:absolute;left:5033;top:-628;width:55;height:49" fillcolor="#ed7d31" stroked="f"/>
            <v:rect id="_x0000_s1903" style="position:absolute;left:5102;top:-654;width:733;height:689;mso-wrap-style:none" filled="f" stroked="f">
              <v:textbox style="mso-fit-shape-to-text:t" inset="0,0,0,0">
                <w:txbxContent>
                  <w:p w:rsidR="000B433A" w:rsidRDefault="000B433A" w:rsidP="00EA6924">
                    <w:proofErr w:type="gramStart"/>
                    <w:r>
                      <w:rPr>
                        <w:rFonts w:cs="Calibri"/>
                        <w:color w:val="000000"/>
                        <w:sz w:val="8"/>
                        <w:szCs w:val="8"/>
                        <w:lang w:val="en-US"/>
                      </w:rPr>
                      <w:t>Wohnen &amp; Dienstleist.</w:t>
                    </w:r>
                    <w:proofErr w:type="gramEnd"/>
                  </w:p>
                  <w:p w:rsidR="000B433A" w:rsidRPr="00EA6924" w:rsidRDefault="000B433A" w:rsidP="00EA6924"/>
                </w:txbxContent>
              </v:textbox>
            </v:rect>
            <v:rect id="_x0000_s1904" style="position:absolute;left:5033;top:-382;width:55;height:49" fillcolor="#4472c4" stroked="f"/>
            <v:rect id="_x0000_s1905" style="position:absolute;left:5102;top:-406;width:245;height:232;mso-wrap-style:none" filled="f" stroked="f">
              <v:textbox style="mso-fit-shape-to-text:t" inset="0,0,0,0">
                <w:txbxContent>
                  <w:p w:rsidR="000B433A" w:rsidRDefault="000B433A">
                    <w:r>
                      <w:rPr>
                        <w:rFonts w:cs="Calibri"/>
                        <w:color w:val="000000"/>
                        <w:sz w:val="8"/>
                        <w:szCs w:val="8"/>
                        <w:lang w:val="en-US"/>
                      </w:rPr>
                      <w:t>Energie</w:t>
                    </w:r>
                  </w:p>
                </w:txbxContent>
              </v:textbox>
            </v:rect>
            <v:shape id="_x0000_s1906" style="position:absolute;left:2955;top:-1342;width:2957;height:1778" coordsize="7696,4624" path="m,8hdc,4,4,,8,hal7688,hdc7693,,7696,4,7696,8hal7696,4616hdc7696,4621,7693,4624,7688,4624hal8,4624hdc4,4624,,4621,,4616hal,8hdxm16,4616hal8,4608r7680,l7680,4616,7680,8r8,8l8,16,16,8r,4608hdxe" fillcolor="#898989" strokecolor="#898989" strokeweight="0">
              <v:path arrowok="t"/>
              <o:lock v:ext="edit" verticies="t"/>
            </v:shape>
            <v:rect id="_x0000_s1907" style="position:absolute;left:5912;top:-1342;width:2958;height:1778" stroked="f"/>
            <v:rect id="_x0000_s1908" style="position:absolute;left:6441;top:-930;width:1537;height:1059" stroked="f"/>
            <v:shape id="_x0000_s1909" style="position:absolute;left:6444;top:-936;width:1525;height:948" coordsize="1525,948" path="m,942r1525,l1525,948,,948r,-6xm,825r1525,l1525,831,,831r,-6xm,708r1525,l1525,714,,714r,-6xm,591r1525,l1525,597,,597r,-6xm,468r1525,l1525,474,,474r,-6xm,351r1525,l1525,357,,357r,-6xm,234r1525,l1525,240,,240r,-6xm,117r1525,l1525,123,,123r,-6xm,l1525,r,6l,6,,xe" fillcolor="#898989" strokecolor="#898989" strokeweight=".3pt">
              <v:stroke joinstyle="bevel"/>
              <v:path arrowok="t"/>
              <o:lock v:ext="edit" verticies="t"/>
            </v:shape>
            <v:shape id="_x0000_s1910" style="position:absolute;left:6558;top:-13;width:1297;height:136" coordsize="1297,136" path="m,l154,r,136l,136,,xm381,111r154,l535,136r-154,l381,111xm762,99r154,l916,136r-154,l762,99xm1144,111r153,l1297,136r-153,l1144,111xe" fillcolor="#4472c4" stroked="f">
              <v:path arrowok="t"/>
              <o:lock v:ext="edit" verticies="t"/>
            </v:shape>
            <v:shape id="_x0000_s1911" style="position:absolute;left:6558;top:-653;width:1297;height:751" coordsize="1297,751" path="m,86r154,l154,640,,640,,86xm381,179r154,l535,751r-154,l381,179xm762,l916,r,739l762,739,762,xm1144,234r153,l1297,751r-153,l1144,234xe" fillcolor="#ed7d31" stroked="f">
              <v:path arrowok="t"/>
              <o:lock v:ext="edit" verticies="t"/>
            </v:shape>
            <v:shape id="_x0000_s1912" style="position:absolute;left:6558;top:-788;width:1297;height:369" coordsize="1297,369" path="m,l154,r,221l,221,,xm381,209r154,l535,314r-154,l381,209xm762,31r154,l916,135r-154,l762,31xm1144,258r153,l1297,369r-153,l1144,258xe" fillcolor="#a5a5a5" stroked="f">
              <v:path arrowok="t"/>
              <o:lock v:ext="edit" verticies="t"/>
            </v:shape>
            <v:rect id="_x0000_s1913" style="position:absolute;left:6441;top:-933;width:6;height:1059" fillcolor="#898989" strokecolor="#898989" strokeweight=".3pt">
              <v:stroke joinstyle="bevel"/>
            </v:rect>
            <v:shape id="_x0000_s1914" style="position:absolute;left:6413;top:-936;width:31;height:1065" coordsize="31,1065" path="m,1059r31,l31,1065r-31,l,1059xm,942r31,l31,948,,948r,-6xm,825r31,l31,831,,831r,-6xm,708r31,l31,714,,714r,-6xm,591r31,l31,597,,597r,-6xm,468r31,l31,474,,474r,-6xm,351r31,l31,357,,357r,-6xm,234r31,l31,240,,240r,-6xm,117r31,l31,123,,123r,-6xm,l31,r,6l,6,,xe" fillcolor="#898989" strokecolor="#898989" strokeweight=".3pt">
              <v:stroke joinstyle="bevel"/>
              <v:path arrowok="t"/>
              <o:lock v:ext="edit" verticies="t"/>
            </v:shape>
            <v:rect id="_x0000_s1915" style="position:absolute;left:6444;top:123;width:1525;height:6" fillcolor="#898989" strokecolor="#898989" strokeweight=".3pt">
              <v:stroke joinstyle="bevel"/>
            </v:rect>
            <v:shape id="_x0000_s1916" style="position:absolute;left:6441;top:126;width:1531;height:24" coordsize="1531,24" path="m6,r,24l,24,,,6,xm388,r,24l381,24,381,r7,xm769,r,24l763,24,763,r6,xm1150,r,24l1144,24r,-24l1150,xm1531,r,24l1525,24r,-24l1531,xe" fillcolor="#898989" strokecolor="#898989" strokeweight=".3pt">
              <v:stroke joinstyle="bevel"/>
              <v:path arrowok="t"/>
              <o:lock v:ext="edit" verticies="t"/>
            </v:shape>
            <v:rect id="_x0000_s1917" style="position:absolute;left:6324;top:79;width:41;height:232;mso-wrap-style:none" filled="f" stroked="f">
              <v:textbox style="mso-fit-shape-to-text:t" inset="0,0,0,0">
                <w:txbxContent>
                  <w:p w:rsidR="000B433A" w:rsidRDefault="000B433A">
                    <w:r>
                      <w:rPr>
                        <w:rFonts w:cs="Calibri"/>
                        <w:color w:val="000000"/>
                        <w:sz w:val="8"/>
                        <w:szCs w:val="8"/>
                        <w:lang w:val="en-US"/>
                      </w:rPr>
                      <w:t>0</w:t>
                    </w:r>
                  </w:p>
                </w:txbxContent>
              </v:textbox>
            </v:rect>
            <v:rect id="_x0000_s1918" style="position:absolute;left:6184;top:-38;width:181;height:232;mso-wrap-style:none" filled="f" stroked="f">
              <v:textbox style="mso-fit-shape-to-text:t" inset="0,0,0,0">
                <w:txbxContent>
                  <w:p w:rsidR="000B433A" w:rsidRDefault="000B433A">
                    <w:r>
                      <w:rPr>
                        <w:rFonts w:cs="Calibri"/>
                        <w:color w:val="000000"/>
                        <w:sz w:val="8"/>
                        <w:szCs w:val="8"/>
                        <w:lang w:val="en-US"/>
                      </w:rPr>
                      <w:t>1 000</w:t>
                    </w:r>
                  </w:p>
                </w:txbxContent>
              </v:textbox>
            </v:rect>
            <v:rect id="_x0000_s1919" style="position:absolute;left:6184;top:-155;width:181;height:232;mso-wrap-style:none" filled="f" stroked="f">
              <v:textbox style="mso-fit-shape-to-text:t" inset="0,0,0,0">
                <w:txbxContent>
                  <w:p w:rsidR="000B433A" w:rsidRDefault="000B433A">
                    <w:r>
                      <w:rPr>
                        <w:rFonts w:cs="Calibri"/>
                        <w:color w:val="000000"/>
                        <w:sz w:val="8"/>
                        <w:szCs w:val="8"/>
                        <w:lang w:val="en-US"/>
                      </w:rPr>
                      <w:t>2 000</w:t>
                    </w:r>
                  </w:p>
                </w:txbxContent>
              </v:textbox>
            </v:rect>
            <v:rect id="_x0000_s1920" style="position:absolute;left:6184;top:-273;width:181;height:232;mso-wrap-style:none" filled="f" stroked="f">
              <v:textbox style="mso-fit-shape-to-text:t" inset="0,0,0,0">
                <w:txbxContent>
                  <w:p w:rsidR="000B433A" w:rsidRDefault="000B433A">
                    <w:r>
                      <w:rPr>
                        <w:rFonts w:cs="Calibri"/>
                        <w:color w:val="000000"/>
                        <w:sz w:val="8"/>
                        <w:szCs w:val="8"/>
                        <w:lang w:val="en-US"/>
                      </w:rPr>
                      <w:t>3 000</w:t>
                    </w:r>
                  </w:p>
                </w:txbxContent>
              </v:textbox>
            </v:rect>
            <v:rect id="_x0000_s1921" style="position:absolute;left:6184;top:-390;width:181;height:232;mso-wrap-style:none" filled="f" stroked="f">
              <v:textbox style="mso-fit-shape-to-text:t" inset="0,0,0,0">
                <w:txbxContent>
                  <w:p w:rsidR="000B433A" w:rsidRDefault="000B433A">
                    <w:r>
                      <w:rPr>
                        <w:rFonts w:cs="Calibri"/>
                        <w:color w:val="000000"/>
                        <w:sz w:val="8"/>
                        <w:szCs w:val="8"/>
                        <w:lang w:val="en-US"/>
                      </w:rPr>
                      <w:t>4 000</w:t>
                    </w:r>
                  </w:p>
                </w:txbxContent>
              </v:textbox>
            </v:rect>
            <v:rect id="_x0000_s1922" style="position:absolute;left:6184;top:-507;width:181;height:232;mso-wrap-style:none" filled="f" stroked="f">
              <v:textbox style="mso-fit-shape-to-text:t" inset="0,0,0,0">
                <w:txbxContent>
                  <w:p w:rsidR="000B433A" w:rsidRDefault="000B433A">
                    <w:r>
                      <w:rPr>
                        <w:rFonts w:cs="Calibri"/>
                        <w:color w:val="000000"/>
                        <w:sz w:val="8"/>
                        <w:szCs w:val="8"/>
                        <w:lang w:val="en-US"/>
                      </w:rPr>
                      <w:t>5 000</w:t>
                    </w:r>
                  </w:p>
                </w:txbxContent>
              </v:textbox>
            </v:rect>
            <v:rect id="_x0000_s1923" style="position:absolute;left:6184;top:-625;width:181;height:232;mso-wrap-style:none" filled="f" stroked="f">
              <v:textbox style="mso-fit-shape-to-text:t" inset="0,0,0,0">
                <w:txbxContent>
                  <w:p w:rsidR="000B433A" w:rsidRDefault="000B433A">
                    <w:r>
                      <w:rPr>
                        <w:rFonts w:cs="Calibri"/>
                        <w:color w:val="000000"/>
                        <w:sz w:val="8"/>
                        <w:szCs w:val="8"/>
                        <w:lang w:val="en-US"/>
                      </w:rPr>
                      <w:t>6 000</w:t>
                    </w:r>
                  </w:p>
                </w:txbxContent>
              </v:textbox>
            </v:rect>
            <v:rect id="_x0000_s1924" style="position:absolute;left:6184;top:-742;width:181;height:232;mso-wrap-style:none" filled="f" stroked="f">
              <v:textbox style="mso-fit-shape-to-text:t" inset="0,0,0,0">
                <w:txbxContent>
                  <w:p w:rsidR="000B433A" w:rsidRDefault="000B433A">
                    <w:r>
                      <w:rPr>
                        <w:rFonts w:cs="Calibri"/>
                        <w:color w:val="000000"/>
                        <w:sz w:val="8"/>
                        <w:szCs w:val="8"/>
                        <w:lang w:val="en-US"/>
                      </w:rPr>
                      <w:t>7 000</w:t>
                    </w:r>
                  </w:p>
                </w:txbxContent>
              </v:textbox>
            </v:rect>
            <v:rect id="_x0000_s1925" style="position:absolute;left:6184;top:-858;width:181;height:232;mso-wrap-style:none" filled="f" stroked="f">
              <v:textbox style="mso-fit-shape-to-text:t" inset="0,0,0,0">
                <w:txbxContent>
                  <w:p w:rsidR="000B433A" w:rsidRDefault="000B433A">
                    <w:r>
                      <w:rPr>
                        <w:rFonts w:cs="Calibri"/>
                        <w:color w:val="000000"/>
                        <w:sz w:val="8"/>
                        <w:szCs w:val="8"/>
                        <w:lang w:val="en-US"/>
                      </w:rPr>
                      <w:t>8 000</w:t>
                    </w:r>
                  </w:p>
                </w:txbxContent>
              </v:textbox>
            </v:rect>
            <v:rect id="_x0000_s1926" style="position:absolute;left:6184;top:-977;width:181;height:232;mso-wrap-style:none" filled="f" stroked="f">
              <v:textbox style="mso-fit-shape-to-text:t" inset="0,0,0,0">
                <w:txbxContent>
                  <w:p w:rsidR="000B433A" w:rsidRDefault="000B433A">
                    <w:r>
                      <w:rPr>
                        <w:rFonts w:cs="Calibri"/>
                        <w:color w:val="000000"/>
                        <w:sz w:val="8"/>
                        <w:szCs w:val="8"/>
                        <w:lang w:val="en-US"/>
                      </w:rPr>
                      <w:t>9 000</w:t>
                    </w:r>
                  </w:p>
                </w:txbxContent>
              </v:textbox>
            </v:rect>
            <v:rect id="_x0000_s1927" style="position:absolute;left:6550;top:186;width:163;height:232;mso-wrap-style:none" filled="f" stroked="f">
              <v:textbox style="mso-fit-shape-to-text:t" inset="0,0,0,0">
                <w:txbxContent>
                  <w:p w:rsidR="000B433A" w:rsidRDefault="000B433A">
                    <w:r>
                      <w:rPr>
                        <w:rFonts w:cs="Calibri"/>
                        <w:color w:val="000000"/>
                        <w:sz w:val="8"/>
                        <w:szCs w:val="8"/>
                        <w:lang w:val="en-US"/>
                      </w:rPr>
                      <w:t>2005</w:t>
                    </w:r>
                  </w:p>
                </w:txbxContent>
              </v:textbox>
            </v:rect>
            <v:rect id="_x0000_s1928" style="position:absolute;left:6932;top:186;width:163;height:232;mso-wrap-style:none" filled="f" stroked="f">
              <v:textbox style="mso-fit-shape-to-text:t" inset="0,0,0,0">
                <w:txbxContent>
                  <w:p w:rsidR="000B433A" w:rsidRDefault="000B433A">
                    <w:r>
                      <w:rPr>
                        <w:rFonts w:cs="Calibri"/>
                        <w:color w:val="000000"/>
                        <w:sz w:val="8"/>
                        <w:szCs w:val="8"/>
                        <w:lang w:val="en-US"/>
                      </w:rPr>
                      <w:t>2015</w:t>
                    </w:r>
                  </w:p>
                </w:txbxContent>
              </v:textbox>
            </v:rect>
            <v:rect id="_x0000_s1929" style="position:absolute;left:7215;top:186;width:359;height:232;mso-wrap-style:none" filled="f" stroked="f">
              <v:textbox style="mso-fit-shape-to-text:t" inset="0,0,0,0">
                <w:txbxContent>
                  <w:p w:rsidR="000B433A" w:rsidRDefault="000B433A">
                    <w:r>
                      <w:rPr>
                        <w:rFonts w:cs="Calibri"/>
                        <w:color w:val="000000"/>
                        <w:sz w:val="8"/>
                        <w:szCs w:val="8"/>
                        <w:lang w:val="en-US"/>
                      </w:rPr>
                      <w:t>2030 WEM</w:t>
                    </w:r>
                  </w:p>
                </w:txbxContent>
              </v:textbox>
            </v:rect>
            <v:rect id="_x0000_s1930" style="position:absolute;left:7591;top:186;width:367;height:232;mso-wrap-style:none" filled="f" stroked="f">
              <v:textbox style="mso-fit-shape-to-text:t" inset="0,0,0,0">
                <w:txbxContent>
                  <w:p w:rsidR="000B433A" w:rsidRDefault="000B433A">
                    <w:r>
                      <w:rPr>
                        <w:rFonts w:cs="Calibri"/>
                        <w:color w:val="000000"/>
                        <w:sz w:val="8"/>
                        <w:szCs w:val="8"/>
                        <w:lang w:val="en-US"/>
                      </w:rPr>
                      <w:t>2030 WAM</w:t>
                    </w:r>
                  </w:p>
                </w:txbxContent>
              </v:textbox>
            </v:rect>
            <v:rect id="_x0000_s1931" style="position:absolute;left:6139;top:-239;width:79;height:148;mso-wrap-style:none" filled="f" stroked="f">
              <v:textbox style="mso-fit-shape-to-text:t" inset="0,0,0,0">
                <w:txbxContent>
                  <w:p w:rsidR="000B433A" w:rsidRDefault="000B433A">
                    <w:proofErr w:type="gramStart"/>
                    <w:r>
                      <w:rPr>
                        <w:rFonts w:cs="Calibri"/>
                        <w:b/>
                        <w:bCs/>
                        <w:color w:val="000000"/>
                        <w:sz w:val="2"/>
                        <w:szCs w:val="2"/>
                        <w:lang w:val="en-US"/>
                      </w:rPr>
                      <w:t>t</w:t>
                    </w:r>
                    <w:proofErr w:type="gramEnd"/>
                    <w:r>
                      <w:rPr>
                        <w:rFonts w:cs="Calibri"/>
                        <w:b/>
                        <w:bCs/>
                        <w:color w:val="000000"/>
                        <w:sz w:val="2"/>
                        <w:szCs w:val="2"/>
                        <w:lang w:val="en-US"/>
                      </w:rPr>
                      <w:t xml:space="preserve"> COVNM</w:t>
                    </w:r>
                  </w:p>
                </w:txbxContent>
              </v:textbox>
            </v:rect>
            <v:rect id="_x0000_s1932" style="position:absolute;left:6309;top:-1277;width:2134;height:317;mso-wrap-style:none" filled="f" stroked="f">
              <v:textbox style="mso-fit-shape-to-text:t" inset="0,0,0,0">
                <w:txbxContent>
                  <w:p w:rsidR="000B433A" w:rsidRDefault="000B433A">
                    <w:r>
                      <w:rPr>
                        <w:rFonts w:cs="Calibri"/>
                        <w:b/>
                        <w:bCs/>
                        <w:color w:val="000000"/>
                        <w:sz w:val="14"/>
                        <w:szCs w:val="14"/>
                        <w:lang w:val="en-US"/>
                      </w:rPr>
                      <w:t xml:space="preserve">Entwicklung der COVNM-Emissionen </w:t>
                    </w:r>
                  </w:p>
                </w:txbxContent>
              </v:textbox>
            </v:rect>
            <v:rect id="_x0000_s1933" style="position:absolute;left:6973;top:-1099;width:362;height:317;mso-wrap-style:none" filled="f" stroked="f">
              <v:textbox style="mso-fit-shape-to-text:t" inset="0,0,0,0">
                <w:txbxContent>
                  <w:p w:rsidR="000B433A" w:rsidRDefault="000B433A">
                    <w:r>
                      <w:rPr>
                        <w:rFonts w:cs="Calibri"/>
                        <w:b/>
                        <w:bCs/>
                        <w:color w:val="000000"/>
                        <w:sz w:val="14"/>
                        <w:szCs w:val="14"/>
                        <w:lang w:val="en-US"/>
                      </w:rPr>
                      <w:t>(WEM</w:t>
                    </w:r>
                  </w:p>
                </w:txbxContent>
              </v:textbox>
            </v:rect>
            <v:rect id="_x0000_s1934" style="position:absolute;left:7361;top:-1099;width:43;height:317;mso-wrap-style:none" filled="f" stroked="f">
              <v:textbox style="mso-fit-shape-to-text:t" inset="0,0,0,0">
                <w:txbxContent>
                  <w:p w:rsidR="000B433A" w:rsidRDefault="000B433A">
                    <w:r>
                      <w:rPr>
                        <w:rFonts w:cs="Calibri"/>
                        <w:b/>
                        <w:bCs/>
                        <w:color w:val="000000"/>
                        <w:sz w:val="14"/>
                        <w:szCs w:val="14"/>
                        <w:lang w:val="en-US"/>
                      </w:rPr>
                      <w:t>-</w:t>
                    </w:r>
                  </w:p>
                </w:txbxContent>
              </v:textbox>
            </v:rect>
            <v:rect id="_x0000_s1935" style="position:absolute;left:7404;top:-1099;width:378;height:317;mso-wrap-style:none" filled="f" stroked="f">
              <v:textbox style="mso-fit-shape-to-text:t" inset="0,0,0,0">
                <w:txbxContent>
                  <w:p w:rsidR="000B433A" w:rsidRDefault="000B433A">
                    <w:r>
                      <w:rPr>
                        <w:rFonts w:cs="Calibri"/>
                        <w:b/>
                        <w:bCs/>
                        <w:color w:val="000000"/>
                        <w:sz w:val="14"/>
                        <w:szCs w:val="14"/>
                        <w:lang w:val="en-US"/>
                      </w:rPr>
                      <w:t>WAM)</w:t>
                    </w:r>
                  </w:p>
                </w:txbxContent>
              </v:textbox>
            </v:rect>
            <v:rect id="_x0000_s1936" style="position:absolute;left:8040;top:-887;width:55;height:56" fillcolor="#a5a5a5" stroked="f"/>
            <v:rect id="_x0000_s1937" style="position:absolute;left:8109;top:-907;width:291;height:232;mso-wrap-style:none" filled="f" stroked="f">
              <v:textbox style="mso-fit-shape-to-text:t" inset="0,0,0,0">
                <w:txbxContent>
                  <w:p w:rsidR="000B433A" w:rsidRDefault="000B433A">
                    <w:r>
                      <w:rPr>
                        <w:rFonts w:cs="Calibri"/>
                        <w:color w:val="000000"/>
                        <w:sz w:val="8"/>
                        <w:szCs w:val="8"/>
                        <w:lang w:val="en-US"/>
                      </w:rPr>
                      <w:t xml:space="preserve">Industrie </w:t>
                    </w:r>
                  </w:p>
                </w:txbxContent>
              </v:textbox>
            </v:rect>
            <v:rect id="_x0000_s1938" style="position:absolute;left:8109;top:-810;width:478;height:232;mso-wrap-style:none" filled="f" stroked="f">
              <v:textbox style="mso-fit-shape-to-text:t" inset="0,0,0,0">
                <w:txbxContent>
                  <w:p w:rsidR="000B433A" w:rsidRDefault="000B433A">
                    <w:r>
                      <w:rPr>
                        <w:rFonts w:cs="Calibri"/>
                        <w:color w:val="000000"/>
                        <w:sz w:val="8"/>
                        <w:szCs w:val="8"/>
                        <w:lang w:val="en-US"/>
                      </w:rPr>
                      <w:t>(Verbrennung)</w:t>
                    </w:r>
                  </w:p>
                </w:txbxContent>
              </v:textbox>
            </v:rect>
            <v:rect id="_x0000_s1939" style="position:absolute;left:8040;top:-653;width:55;height:56" fillcolor="#ed7d31" stroked="f"/>
            <v:rect id="_x0000_s1940" style="position:absolute;left:8109;top:-674;width:733;height:689;mso-wrap-style:none" filled="f" stroked="f">
              <v:textbox style="mso-fit-shape-to-text:t" inset="0,0,0,0">
                <w:txbxContent>
                  <w:p w:rsidR="000B433A" w:rsidRDefault="000B433A" w:rsidP="00EA6924">
                    <w:proofErr w:type="gramStart"/>
                    <w:r>
                      <w:rPr>
                        <w:rFonts w:cs="Calibri"/>
                        <w:color w:val="000000"/>
                        <w:sz w:val="8"/>
                        <w:szCs w:val="8"/>
                        <w:lang w:val="en-US"/>
                      </w:rPr>
                      <w:t>Wohnen &amp; Dienstleist.</w:t>
                    </w:r>
                    <w:proofErr w:type="gramEnd"/>
                  </w:p>
                  <w:p w:rsidR="000B433A" w:rsidRPr="00EA6924" w:rsidRDefault="000B433A" w:rsidP="00EA6924"/>
                </w:txbxContent>
              </v:textbox>
            </v:rect>
            <v:rect id="_x0000_s1941" style="position:absolute;left:8040;top:-419;width:55;height:56" fillcolor="#4472c4" stroked="f"/>
            <v:rect id="_x0000_s1942" style="position:absolute;left:8109;top:-440;width:245;height:232;mso-wrap-style:none" filled="f" stroked="f">
              <v:textbox style="mso-fit-shape-to-text:t" inset="0,0,0,0">
                <w:txbxContent>
                  <w:p w:rsidR="000B433A" w:rsidRDefault="000B433A">
                    <w:r>
                      <w:rPr>
                        <w:rFonts w:cs="Calibri"/>
                        <w:color w:val="000000"/>
                        <w:sz w:val="8"/>
                        <w:szCs w:val="8"/>
                        <w:lang w:val="en-US"/>
                      </w:rPr>
                      <w:t>Energie</w:t>
                    </w:r>
                  </w:p>
                </w:txbxContent>
              </v:textbox>
            </v:rect>
            <v:shape id="_x0000_s1943" style="position:absolute;left:5912;top:-1342;width:2958;height:1778" coordsize="7696,4624" path="m,8hdc,4,4,,8,hal7688,hdc7693,,7696,4,7696,8hal7696,4616hdc7696,4621,7693,4624,7688,4624hal8,4624hdc4,4624,,4621,,4616hal,8hdxm16,4616hal8,4608r7680,l7680,4616,7680,8r8,8l8,16,16,8r,4608hdxe" fillcolor="#898989" strokecolor="#898989" strokeweight="0">
              <v:path arrowok="t"/>
              <o:lock v:ext="edit" verticies="t"/>
            </v:shape>
            <v:rect id="_x0000_s1944" style="position:absolute;left:4393;top:436;width:2958;height:1779" stroked="f"/>
            <v:rect id="_x0000_s1945" style="position:absolute;left:4922;top:873;width:1525;height:1034" stroked="f"/>
            <v:shape id="_x0000_s1946" style="position:absolute;left:4925;top:867;width:1519;height:911" coordsize="1519,911" path="m,905r1519,l1519,911,,911r,-6xm,776r1519,l1519,782,,782r,-6xm,646r1519,l1519,653,,653r,-7xm,517r1519,l1519,523,,523r,-6xm,388r1519,l1519,394,,394r,-6xm,259r1519,l1519,265,,265r,-6xm,129r1519,l1519,136,,136r,-7xm,l1519,r,6l,6,,xe" fillcolor="#898989" strokecolor="#898989" strokeweight=".3pt">
              <v:stroke joinstyle="bevel"/>
              <v:path arrowok="t"/>
              <o:lock v:ext="edit" verticies="t"/>
            </v:shape>
            <v:shape id="_x0000_s1947" style="position:absolute;left:5039;top:1858;width:1291;height:43" coordsize="1291,43" path="m,l148,r,43l,43,,xm375,12r154,l529,43r-154,l375,12xm756,l910,r,43l756,43,756,xm1138,6r153,l1291,43r-153,l1138,6xe" fillcolor="#4472c4" stroked="f">
              <v:path arrowok="t"/>
              <o:lock v:ext="edit" verticies="t"/>
            </v:shape>
            <v:shape id="_x0000_s1948" style="position:absolute;left:5039;top:1101;width:1291;height:769" coordsize="1291,769" path="m,105r148,l148,757,,757,,105xm375,25r154,l529,769r-154,l375,25xm756,l910,r,757l756,757,756,xm1138,222r153,l1291,763r-153,l1138,222xe" fillcolor="#ed7d31" stroked="f">
              <v:path arrowok="t"/>
              <o:lock v:ext="edit" verticies="t"/>
            </v:shape>
            <v:shape id="_x0000_s1949" style="position:absolute;left:5039;top:1033;width:1291;height:290" coordsize="1291,290" path="m,37r148,l148,173,,173,,37xm375,25r154,l529,93r-154,l375,25xm756,l910,r,68l756,68,756,xm1138,210r153,l1291,290r-153,l1138,210xe" fillcolor="#a5a5a5" stroked="f">
              <v:path arrowok="t"/>
              <o:lock v:ext="edit" verticies="t"/>
            </v:shape>
            <v:rect id="_x0000_s1950" style="position:absolute;left:4922;top:870;width:6;height:1034" fillcolor="#898989" strokecolor="#898989" strokeweight=".3pt">
              <v:stroke joinstyle="bevel"/>
            </v:rect>
            <v:shape id="_x0000_s1951" style="position:absolute;left:4895;top:867;width:30;height:1040" coordsize="30,1040" path="m,1034r30,l30,1040r-30,l,1034xm,905r30,l30,911,,911r,-6xm,776r30,l30,782,,782r,-6xm,646r30,l30,653,,653r,-7xm,517r30,l30,523,,523r,-6xm,388r30,l30,394,,394r,-6xm,259r30,l30,265,,265r,-6xm,129r30,l30,136,,136r,-7xm,l30,r,6l,6,,xe" fillcolor="#898989" strokecolor="#898989" strokeweight=".3pt">
              <v:stroke joinstyle="bevel"/>
              <v:path arrowok="t"/>
              <o:lock v:ext="edit" verticies="t"/>
            </v:shape>
            <v:rect id="_x0000_s1952" style="position:absolute;left:4925;top:1901;width:1519;height:6" fillcolor="#898989" strokecolor="#898989" strokeweight=".3pt">
              <v:stroke joinstyle="bevel"/>
            </v:rect>
            <v:shape id="_x0000_s1953" style="position:absolute;left:4922;top:1904;width:1525;height:25" coordsize="1525,25" path="m6,r,25l,25,,,6,xm382,r,25l375,25,375,r7,xm763,r,25l757,25,757,r6,xm1144,r,25l1138,25r,-25l1144,xm1525,r,25l1519,25r,-25l1525,xe" fillcolor="#898989" strokecolor="#898989" strokeweight=".3pt">
              <v:stroke joinstyle="bevel"/>
              <v:path arrowok="t"/>
              <o:lock v:ext="edit" verticies="t"/>
            </v:shape>
            <v:rect id="_x0000_s1954" style="position:absolute;left:4805;top:1859;width:41;height:232;mso-wrap-style:none" filled="f" stroked="f">
              <v:textbox style="mso-fit-shape-to-text:t" inset="0,0,0,0">
                <w:txbxContent>
                  <w:p w:rsidR="000B433A" w:rsidRDefault="000B433A">
                    <w:r>
                      <w:rPr>
                        <w:rFonts w:cs="Calibri"/>
                        <w:color w:val="000000"/>
                        <w:sz w:val="8"/>
                        <w:szCs w:val="8"/>
                        <w:lang w:val="en-US"/>
                      </w:rPr>
                      <w:t>0</w:t>
                    </w:r>
                  </w:p>
                </w:txbxContent>
              </v:textbox>
            </v:rect>
            <v:rect id="_x0000_s1955" style="position:absolute;left:4665;top:1730;width:181;height:232;mso-wrap-style:none" filled="f" stroked="f">
              <v:textbox style="mso-fit-shape-to-text:t" inset="0,0,0,0">
                <w:txbxContent>
                  <w:p w:rsidR="000B433A" w:rsidRDefault="000B433A">
                    <w:r>
                      <w:rPr>
                        <w:rFonts w:cs="Calibri"/>
                        <w:color w:val="000000"/>
                        <w:sz w:val="8"/>
                        <w:szCs w:val="8"/>
                        <w:lang w:val="en-US"/>
                      </w:rPr>
                      <w:t>1 000</w:t>
                    </w:r>
                  </w:p>
                </w:txbxContent>
              </v:textbox>
            </v:rect>
            <v:rect id="_x0000_s1956" style="position:absolute;left:4665;top:1600;width:181;height:232;mso-wrap-style:none" filled="f" stroked="f">
              <v:textbox style="mso-fit-shape-to-text:t" inset="0,0,0,0">
                <w:txbxContent>
                  <w:p w:rsidR="000B433A" w:rsidRDefault="000B433A">
                    <w:r>
                      <w:rPr>
                        <w:rFonts w:cs="Calibri"/>
                        <w:color w:val="000000"/>
                        <w:sz w:val="8"/>
                        <w:szCs w:val="8"/>
                        <w:lang w:val="en-US"/>
                      </w:rPr>
                      <w:t>2 000</w:t>
                    </w:r>
                  </w:p>
                </w:txbxContent>
              </v:textbox>
            </v:rect>
            <v:rect id="_x0000_s1957" style="position:absolute;left:4665;top:1471;width:181;height:232;mso-wrap-style:none" filled="f" stroked="f">
              <v:textbox style="mso-fit-shape-to-text:t" inset="0,0,0,0">
                <w:txbxContent>
                  <w:p w:rsidR="000B433A" w:rsidRDefault="000B433A">
                    <w:r>
                      <w:rPr>
                        <w:rFonts w:cs="Calibri"/>
                        <w:color w:val="000000"/>
                        <w:sz w:val="8"/>
                        <w:szCs w:val="8"/>
                        <w:lang w:val="en-US"/>
                      </w:rPr>
                      <w:t>3 000</w:t>
                    </w:r>
                  </w:p>
                </w:txbxContent>
              </v:textbox>
            </v:rect>
            <v:rect id="_x0000_s1958" style="position:absolute;left:4665;top:1342;width:181;height:232;mso-wrap-style:none" filled="f" stroked="f">
              <v:textbox style="mso-fit-shape-to-text:t" inset="0,0,0,0">
                <w:txbxContent>
                  <w:p w:rsidR="000B433A" w:rsidRDefault="000B433A">
                    <w:r>
                      <w:rPr>
                        <w:rFonts w:cs="Calibri"/>
                        <w:color w:val="000000"/>
                        <w:sz w:val="8"/>
                        <w:szCs w:val="8"/>
                        <w:lang w:val="en-US"/>
                      </w:rPr>
                      <w:t>4 000</w:t>
                    </w:r>
                  </w:p>
                </w:txbxContent>
              </v:textbox>
            </v:rect>
            <v:rect id="_x0000_s1959" style="position:absolute;left:4665;top:1213;width:181;height:232;mso-wrap-style:none" filled="f" stroked="f">
              <v:textbox style="mso-fit-shape-to-text:t" inset="0,0,0,0">
                <w:txbxContent>
                  <w:p w:rsidR="000B433A" w:rsidRDefault="000B433A">
                    <w:r>
                      <w:rPr>
                        <w:rFonts w:cs="Calibri"/>
                        <w:color w:val="000000"/>
                        <w:sz w:val="8"/>
                        <w:szCs w:val="8"/>
                        <w:lang w:val="en-US"/>
                      </w:rPr>
                      <w:t>5 000</w:t>
                    </w:r>
                  </w:p>
                </w:txbxContent>
              </v:textbox>
            </v:rect>
            <v:rect id="_x0000_s1960" style="position:absolute;left:4665;top:1084;width:181;height:232;mso-wrap-style:none" filled="f" stroked="f">
              <v:textbox style="mso-fit-shape-to-text:t" inset="0,0,0,0">
                <w:txbxContent>
                  <w:p w:rsidR="000B433A" w:rsidRDefault="000B433A">
                    <w:r>
                      <w:rPr>
                        <w:rFonts w:cs="Calibri"/>
                        <w:color w:val="000000"/>
                        <w:sz w:val="8"/>
                        <w:szCs w:val="8"/>
                        <w:lang w:val="en-US"/>
                      </w:rPr>
                      <w:t>6 000</w:t>
                    </w:r>
                  </w:p>
                </w:txbxContent>
              </v:textbox>
            </v:rect>
            <v:rect id="_x0000_s1961" style="position:absolute;left:4665;top:955;width:181;height:232;mso-wrap-style:none" filled="f" stroked="f">
              <v:textbox style="mso-fit-shape-to-text:t" inset="0,0,0,0">
                <w:txbxContent>
                  <w:p w:rsidR="000B433A" w:rsidRDefault="000B433A">
                    <w:r>
                      <w:rPr>
                        <w:rFonts w:cs="Calibri"/>
                        <w:color w:val="000000"/>
                        <w:sz w:val="8"/>
                        <w:szCs w:val="8"/>
                        <w:lang w:val="en-US"/>
                      </w:rPr>
                      <w:t>7 000</w:t>
                    </w:r>
                  </w:p>
                </w:txbxContent>
              </v:textbox>
            </v:rect>
            <v:rect id="_x0000_s1962" style="position:absolute;left:4665;top:826;width:181;height:232;mso-wrap-style:none" filled="f" stroked="f">
              <v:textbox style="mso-fit-shape-to-text:t" inset="0,0,0,0">
                <w:txbxContent>
                  <w:p w:rsidR="000B433A" w:rsidRDefault="000B433A">
                    <w:r>
                      <w:rPr>
                        <w:rFonts w:cs="Calibri"/>
                        <w:color w:val="000000"/>
                        <w:sz w:val="8"/>
                        <w:szCs w:val="8"/>
                        <w:lang w:val="en-US"/>
                      </w:rPr>
                      <w:t>8 000</w:t>
                    </w:r>
                  </w:p>
                </w:txbxContent>
              </v:textbox>
            </v:rect>
            <v:rect id="_x0000_s1963" style="position:absolute;left:5031;top:1964;width:163;height:232;mso-wrap-style:none" filled="f" stroked="f">
              <v:textbox style="mso-fit-shape-to-text:t" inset="0,0,0,0">
                <w:txbxContent>
                  <w:p w:rsidR="000B433A" w:rsidRDefault="000B433A">
                    <w:r>
                      <w:rPr>
                        <w:rFonts w:cs="Calibri"/>
                        <w:color w:val="000000"/>
                        <w:sz w:val="8"/>
                        <w:szCs w:val="8"/>
                        <w:lang w:val="en-US"/>
                      </w:rPr>
                      <w:t>2005</w:t>
                    </w:r>
                  </w:p>
                </w:txbxContent>
              </v:textbox>
            </v:rect>
            <v:rect id="_x0000_s1964" style="position:absolute;left:5411;top:1964;width:163;height:232;mso-wrap-style:none" filled="f" stroked="f">
              <v:textbox style="mso-fit-shape-to-text:t" inset="0,0,0,0">
                <w:txbxContent>
                  <w:p w:rsidR="000B433A" w:rsidRDefault="000B433A">
                    <w:r>
                      <w:rPr>
                        <w:rFonts w:cs="Calibri"/>
                        <w:color w:val="000000"/>
                        <w:sz w:val="8"/>
                        <w:szCs w:val="8"/>
                        <w:lang w:val="en-US"/>
                      </w:rPr>
                      <w:t>2015</w:t>
                    </w:r>
                  </w:p>
                </w:txbxContent>
              </v:textbox>
            </v:rect>
            <v:rect id="_x0000_s1965" style="position:absolute;left:5692;top:1964;width:359;height:232;mso-wrap-style:none" filled="f" stroked="f">
              <v:textbox style="mso-fit-shape-to-text:t" inset="0,0,0,0">
                <w:txbxContent>
                  <w:p w:rsidR="000B433A" w:rsidRDefault="000B433A">
                    <w:r>
                      <w:rPr>
                        <w:rFonts w:cs="Calibri"/>
                        <w:color w:val="000000"/>
                        <w:sz w:val="8"/>
                        <w:szCs w:val="8"/>
                        <w:lang w:val="en-US"/>
                      </w:rPr>
                      <w:t>2030 WEM</w:t>
                    </w:r>
                  </w:p>
                </w:txbxContent>
              </v:textbox>
            </v:rect>
            <v:rect id="_x0000_s1966" style="position:absolute;left:6066;top:1964;width:367;height:232;mso-wrap-style:none" filled="f" stroked="f">
              <v:textbox style="mso-fit-shape-to-text:t" inset="0,0,0,0">
                <w:txbxContent>
                  <w:p w:rsidR="000B433A" w:rsidRDefault="000B433A">
                    <w:r>
                      <w:rPr>
                        <w:rFonts w:cs="Calibri"/>
                        <w:color w:val="000000"/>
                        <w:sz w:val="8"/>
                        <w:szCs w:val="8"/>
                        <w:lang w:val="en-US"/>
                      </w:rPr>
                      <w:t>2030 WAM</w:t>
                    </w:r>
                  </w:p>
                </w:txbxContent>
              </v:textbox>
            </v:rect>
            <v:rect id="_x0000_s1967" style="position:absolute;left:4621;top:1527;width:66;height:148;mso-wrap-style:none" filled="f" stroked="f">
              <v:textbox style="mso-fit-shape-to-text:t" inset="0,0,0,0">
                <w:txbxContent>
                  <w:p w:rsidR="000B433A" w:rsidRDefault="000B433A">
                    <w:proofErr w:type="gramStart"/>
                    <w:r>
                      <w:rPr>
                        <w:rFonts w:cs="Calibri"/>
                        <w:b/>
                        <w:bCs/>
                        <w:color w:val="000000"/>
                        <w:sz w:val="2"/>
                        <w:szCs w:val="2"/>
                        <w:lang w:val="en-US"/>
                      </w:rPr>
                      <w:t>t</w:t>
                    </w:r>
                    <w:proofErr w:type="gramEnd"/>
                    <w:r>
                      <w:rPr>
                        <w:rFonts w:cs="Calibri"/>
                        <w:b/>
                        <w:bCs/>
                        <w:color w:val="000000"/>
                        <w:sz w:val="2"/>
                        <w:szCs w:val="2"/>
                        <w:lang w:val="en-US"/>
                      </w:rPr>
                      <w:t xml:space="preserve"> PM2.5</w:t>
                    </w:r>
                  </w:p>
                </w:txbxContent>
              </v:textbox>
            </v:rect>
            <v:rect id="_x0000_s1968" style="position:absolute;left:4840;top:501;width:2072;height:317" filled="f" stroked="f">
              <v:textbox style="mso-fit-shape-to-text:t" inset="0,0,0,0">
                <w:txbxContent>
                  <w:p w:rsidR="000B433A" w:rsidRDefault="000B433A">
                    <w:r w:rsidRPr="008832C3">
                      <w:rPr>
                        <w:rFonts w:cs="Calibri"/>
                        <w:b/>
                        <w:bCs/>
                        <w:color w:val="000000"/>
                        <w:sz w:val="14"/>
                        <w:szCs w:val="14"/>
                        <w:lang w:val="fr-FR"/>
                      </w:rPr>
                      <w:t>E</w:t>
                    </w:r>
                    <w:r>
                      <w:rPr>
                        <w:rFonts w:cs="Calibri"/>
                        <w:b/>
                        <w:bCs/>
                        <w:color w:val="000000"/>
                        <w:sz w:val="14"/>
                        <w:szCs w:val="14"/>
                        <w:lang w:val="fr-FR"/>
                      </w:rPr>
                      <w:t xml:space="preserve">ntwicklung der </w:t>
                    </w:r>
                    <w:r w:rsidRPr="008832C3">
                      <w:rPr>
                        <w:rFonts w:cs="Calibri"/>
                        <w:b/>
                        <w:bCs/>
                        <w:color w:val="000000"/>
                        <w:sz w:val="14"/>
                        <w:szCs w:val="14"/>
                        <w:lang w:val="fr-FR"/>
                      </w:rPr>
                      <w:t>PM2.5</w:t>
                    </w:r>
                    <w:r>
                      <w:rPr>
                        <w:rFonts w:cs="Calibri"/>
                        <w:b/>
                        <w:bCs/>
                        <w:color w:val="000000"/>
                        <w:sz w:val="14"/>
                        <w:szCs w:val="14"/>
                        <w:lang w:val="fr-FR"/>
                      </w:rPr>
                      <w:t>-Emissionen</w:t>
                    </w:r>
                  </w:p>
                </w:txbxContent>
              </v:textbox>
            </v:rect>
            <v:rect id="_x0000_s1969" style="position:absolute;left:5454;top:680;width:362;height:317;mso-wrap-style:none" filled="f" stroked="f">
              <v:textbox style="mso-fit-shape-to-text:t" inset="0,0,0,0">
                <w:txbxContent>
                  <w:p w:rsidR="000B433A" w:rsidRDefault="000B433A">
                    <w:r>
                      <w:rPr>
                        <w:rFonts w:cs="Calibri"/>
                        <w:b/>
                        <w:bCs/>
                        <w:color w:val="000000"/>
                        <w:sz w:val="14"/>
                        <w:szCs w:val="14"/>
                        <w:lang w:val="en-US"/>
                      </w:rPr>
                      <w:t>(WEM</w:t>
                    </w:r>
                  </w:p>
                </w:txbxContent>
              </v:textbox>
            </v:rect>
            <v:rect id="_x0000_s1970" style="position:absolute;left:5842;top:680;width:43;height:317;mso-wrap-style:none" filled="f" stroked="f">
              <v:textbox style="mso-fit-shape-to-text:t" inset="0,0,0,0">
                <w:txbxContent>
                  <w:p w:rsidR="000B433A" w:rsidRDefault="000B433A">
                    <w:r>
                      <w:rPr>
                        <w:rFonts w:cs="Calibri"/>
                        <w:b/>
                        <w:bCs/>
                        <w:color w:val="000000"/>
                        <w:sz w:val="14"/>
                        <w:szCs w:val="14"/>
                        <w:lang w:val="en-US"/>
                      </w:rPr>
                      <w:t>-</w:t>
                    </w:r>
                  </w:p>
                </w:txbxContent>
              </v:textbox>
            </v:rect>
            <v:rect id="_x0000_s1971" style="position:absolute;left:5885;top:680;width:378;height:317;mso-wrap-style:none" filled="f" stroked="f">
              <v:textbox style="mso-fit-shape-to-text:t" inset="0,0,0,0">
                <w:txbxContent>
                  <w:p w:rsidR="000B433A" w:rsidRDefault="000B433A">
                    <w:r>
                      <w:rPr>
                        <w:rFonts w:cs="Calibri"/>
                        <w:b/>
                        <w:bCs/>
                        <w:color w:val="000000"/>
                        <w:sz w:val="14"/>
                        <w:szCs w:val="14"/>
                        <w:lang w:val="en-US"/>
                      </w:rPr>
                      <w:t>WAM)</w:t>
                    </w:r>
                  </w:p>
                </w:txbxContent>
              </v:textbox>
            </v:rect>
            <v:rect id="_x0000_s1972" style="position:absolute;left:6521;top:910;width:55;height:50" fillcolor="#a5a5a5" stroked="f"/>
            <v:rect id="_x0000_s1973" style="position:absolute;left:6591;top:888;width:291;height:232;mso-wrap-style:none" filled="f" stroked="f">
              <v:textbox style="mso-fit-shape-to-text:t" inset="0,0,0,0">
                <w:txbxContent>
                  <w:p w:rsidR="000B433A" w:rsidRDefault="000B433A">
                    <w:r>
                      <w:rPr>
                        <w:rFonts w:cs="Calibri"/>
                        <w:color w:val="000000"/>
                        <w:sz w:val="8"/>
                        <w:szCs w:val="8"/>
                        <w:lang w:val="en-US"/>
                      </w:rPr>
                      <w:t xml:space="preserve">Industrie </w:t>
                    </w:r>
                  </w:p>
                </w:txbxContent>
              </v:textbox>
            </v:rect>
            <v:rect id="_x0000_s1974" style="position:absolute;left:6591;top:986;width:478;height:232;mso-wrap-style:none" filled="f" stroked="f">
              <v:textbox style="mso-fit-shape-to-text:t" inset="0,0,0,0">
                <w:txbxContent>
                  <w:p w:rsidR="000B433A" w:rsidRDefault="000B433A">
                    <w:r>
                      <w:rPr>
                        <w:rFonts w:cs="Calibri"/>
                        <w:color w:val="000000"/>
                        <w:sz w:val="8"/>
                        <w:szCs w:val="8"/>
                        <w:lang w:val="en-US"/>
                      </w:rPr>
                      <w:t>(Verbrennung)</w:t>
                    </w:r>
                  </w:p>
                </w:txbxContent>
              </v:textbox>
            </v:rect>
            <v:rect id="_x0000_s1975" style="position:absolute;left:6521;top:1132;width:55;height:49" fillcolor="#ed7d31" stroked="f"/>
            <v:rect id="_x0000_s1976" style="position:absolute;left:6591;top:1108;width:733;height:689;mso-wrap-style:none" filled="f" stroked="f">
              <v:textbox style="mso-fit-shape-to-text:t" inset="0,0,0,0">
                <w:txbxContent>
                  <w:p w:rsidR="000B433A" w:rsidRDefault="000B433A" w:rsidP="00EA6924">
                    <w:proofErr w:type="gramStart"/>
                    <w:r>
                      <w:rPr>
                        <w:rFonts w:cs="Calibri"/>
                        <w:color w:val="000000"/>
                        <w:sz w:val="8"/>
                        <w:szCs w:val="8"/>
                        <w:lang w:val="en-US"/>
                      </w:rPr>
                      <w:t>Wohnen &amp; Dienstleist.</w:t>
                    </w:r>
                    <w:proofErr w:type="gramEnd"/>
                  </w:p>
                  <w:p w:rsidR="000B433A" w:rsidRPr="00EA6924" w:rsidRDefault="000B433A" w:rsidP="00EA6924"/>
                </w:txbxContent>
              </v:textbox>
            </v:rect>
            <v:rect id="_x0000_s1977" style="position:absolute;left:6521;top:1353;width:55;height:50" fillcolor="#4472c4" stroked="f"/>
            <v:rect id="_x0000_s1978" style="position:absolute;left:6591;top:1329;width:245;height:232;mso-wrap-style:none" filled="f" stroked="f">
              <v:textbox style="mso-fit-shape-to-text:t" inset="0,0,0,0">
                <w:txbxContent>
                  <w:p w:rsidR="000B433A" w:rsidRDefault="000B433A">
                    <w:r>
                      <w:rPr>
                        <w:rFonts w:cs="Calibri"/>
                        <w:color w:val="000000"/>
                        <w:sz w:val="8"/>
                        <w:szCs w:val="8"/>
                        <w:lang w:val="en-US"/>
                      </w:rPr>
                      <w:t>Energie</w:t>
                    </w:r>
                  </w:p>
                </w:txbxContent>
              </v:textbox>
            </v:rect>
            <v:shape id="_x0000_s1979" style="position:absolute;left:4393;top:436;width:2958;height:1779" coordsize="7696,4624" path="m,8hdc,4,4,,8,hal7688,hdc7693,,7696,4,7696,8hal7696,4616hdc7696,4621,7693,4624,7688,4624hal8,4624hdc4,4624,,4621,,4616hal,8hdxm16,4616hal8,4608r7680,l7680,4616,7680,8r8,8l8,16,16,8r,4608hdxe" fillcolor="#898989" strokecolor="#898989" strokeweight="0">
              <v:path arrowok="t"/>
              <o:lock v:ext="edit" verticies="t"/>
            </v:shape>
            <w10:wrap type="none"/>
            <w10:anchorlock/>
          </v:group>
        </w:pict>
      </w:r>
    </w:p>
    <w:p w:rsidR="000B433A" w:rsidRPr="00D07F58" w:rsidRDefault="000B433A" w:rsidP="006124BE">
      <w:pPr>
        <w:pStyle w:val="Lgende"/>
        <w:rPr>
          <w:lang w:val="de-DE"/>
        </w:rPr>
      </w:pPr>
      <w:bookmarkStart w:id="59" w:name="_Ref532394145"/>
      <w:r>
        <w:rPr>
          <w:lang w:val="de-DE"/>
        </w:rPr>
        <w:t>Abbildung 23</w:t>
      </w:r>
      <w:bookmarkEnd w:id="59"/>
      <w:r>
        <w:rPr>
          <w:lang w:val="de-DE"/>
        </w:rPr>
        <w:t>: Entwicklung</w:t>
      </w:r>
      <w:r w:rsidRPr="00DC0D9B">
        <w:rPr>
          <w:rFonts w:cs="Calibri"/>
          <w:lang w:val="de-DE"/>
        </w:rPr>
        <w:t xml:space="preserve"> der Luftschadstoffemissionen nach Referenzszenarien mit Messungen (WEM und WAM) für Energieerzeugung, Wohnen/Dienstleistungen und Industrie (Verbrennung), in Tonnen.</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Für diese drei Sektoren zeigen diese Schätzungen die Aussicht auf einen Anstieg der SO</w:t>
      </w:r>
      <w:r w:rsidRPr="007C47CC">
        <w:rPr>
          <w:rFonts w:ascii="Calibri" w:hAnsi="Calibri" w:cs="Calibri"/>
          <w:sz w:val="24"/>
          <w:szCs w:val="24"/>
          <w:vertAlign w:val="subscript"/>
          <w:lang w:val="de-DE"/>
        </w:rPr>
        <w:t>x</w:t>
      </w:r>
      <w:r>
        <w:rPr>
          <w:rFonts w:ascii="Calibri" w:hAnsi="Calibri" w:cs="Calibri"/>
          <w:sz w:val="24"/>
          <w:lang w:val="de-DE"/>
        </w:rPr>
        <w:t>-Emissionen und einen Rückgang der NOx-, VOC-, NH3- und Feinstaubemissionen im Vergleich zu 2015.</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Für die Stromerzeugung steigt NO</w:t>
      </w:r>
      <w:r w:rsidRPr="007C47CC">
        <w:rPr>
          <w:rFonts w:ascii="Calibri" w:hAnsi="Calibri" w:cs="Calibri"/>
          <w:sz w:val="24"/>
          <w:szCs w:val="24"/>
          <w:vertAlign w:val="subscript"/>
          <w:lang w:val="de-DE"/>
        </w:rPr>
        <w:t>x</w:t>
      </w:r>
      <w:r>
        <w:rPr>
          <w:rFonts w:ascii="Calibri" w:hAnsi="Calibri" w:cs="Calibri"/>
          <w:sz w:val="24"/>
          <w:lang w:val="de-DE"/>
        </w:rPr>
        <w:t xml:space="preserve">, was dem Wachstum des Verbrauchs von Gas und Biomasse für die Stromerzeugung als Ersatz für Kernkraftwerke und Biomasse für die Wärme- und Warmwassererzeugung im Wohn- und Dienstleistungssektor entspricht. Dieser Anstieg wird jedoch durch die technologische Verbesserung großer Anlagen unter Anwendung der Richtlinie über Industrieemissionen und die Leistung einer neuen Anlage mit den besten Technologien ausgeglichen. </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Bei Feinstaubpartikeln hingegen ist der nach dem Anstieg des Biomasseverbrauchs, insbesondere im Wohnsektor, zu erwartende deutliche Anstieg begrenzt, da davon ausgegangen wird, dass der Ofen-/Kesselpark zugunsten neuer Pelletsanlagen erneuert wird.</w:t>
      </w:r>
    </w:p>
    <w:p w:rsidR="000B433A" w:rsidRPr="00A40602" w:rsidRDefault="000B433A" w:rsidP="00197E1F">
      <w:pPr>
        <w:pStyle w:val="Titre2"/>
        <w:numPr>
          <w:ilvl w:val="1"/>
          <w:numId w:val="1"/>
        </w:numPr>
        <w:ind w:left="851" w:hanging="851"/>
        <w:rPr>
          <w:rFonts w:ascii="Calibri" w:hAnsi="Calibri" w:cs="Calibri"/>
          <w:color w:val="1F497D"/>
          <w:sz w:val="28"/>
          <w:szCs w:val="28"/>
          <w:lang w:val="de-DE"/>
        </w:rPr>
      </w:pPr>
      <w:bookmarkStart w:id="60" w:name="_Toc7802471"/>
      <w:r>
        <w:rPr>
          <w:rFonts w:ascii="Calibri" w:hAnsi="Calibri" w:cs="Calibri"/>
          <w:color w:val="1F497D"/>
          <w:sz w:val="28"/>
          <w:lang w:val="de-DE"/>
        </w:rPr>
        <w:t>Industriezweige und Verwendung von Lösungsmitteln</w:t>
      </w:r>
      <w:bookmarkEnd w:id="60"/>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 xml:space="preserve">Wie in der Analyse des unveränderten politischen Szenarios (WEM) dargelegt, haben die Industriesektoren bereits seit 1990 intensive Anstrengungen zur Reduzierung der Luftschadstoffemissionen unternommen und stellen nicht länger die hauptsächliche Reduktionsquelle dar. </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 xml:space="preserve">Abhängig von der technischen und wirtschaftlichen Machbarkeit, die auf der Grundlage der einzelnen Anlagen einzuschätzen ist, wird eine Verbesserung der in den Umweltgenehmigungen festgelegten Normen in Betracht gezogen, indem auf die niedrigeren Werte der Bereiche der mit den besten verfügbaren Techniken assoziierten Emissionswerte zugegangen wird. </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Daher kann über alle Sektoren hinweg eine geschätzte Reduktion von etwa 1 bis 2 kt NOx (5 bis 10 % der Emissionen des Sektors) und etwa 1 kt SO2 (20 % der Emissionen des Sektors) im Vergleich zur aktuellen Situation erwartet werden. Die VOC-Emissionen könnten im Vergleich zur aktuellen Situation um etwa 1 kt (6 % der Sektoremissionen) sinken.  Andererseits würden die bereits deutlich reduzierten PM</w:t>
      </w:r>
      <w:r w:rsidRPr="009D2AC7">
        <w:rPr>
          <w:rFonts w:ascii="Calibri" w:hAnsi="Calibri" w:cs="Calibri"/>
          <w:sz w:val="24"/>
          <w:szCs w:val="24"/>
          <w:vertAlign w:val="subscript"/>
          <w:lang w:val="de-DE"/>
        </w:rPr>
        <w:t>2,5</w:t>
      </w:r>
      <w:r>
        <w:rPr>
          <w:rFonts w:ascii="Calibri" w:hAnsi="Calibri" w:cs="Calibri"/>
          <w:sz w:val="24"/>
          <w:lang w:val="de-DE"/>
        </w:rPr>
        <w:t>-Emissionen relativ konstant bleiben, während die Ammoniakemissionen steigen könnten, wenn der Einsatz von „de-NOx“-Technologien verstärkt würde, der auf der Einspritzung von Harnstoff oder Ammoniak basiert.</w:t>
      </w:r>
    </w:p>
    <w:p w:rsidR="000B433A" w:rsidRPr="00E84D4C" w:rsidRDefault="000B433A" w:rsidP="00197E1F">
      <w:pPr>
        <w:pStyle w:val="Titre2"/>
        <w:numPr>
          <w:ilvl w:val="1"/>
          <w:numId w:val="1"/>
        </w:numPr>
        <w:ind w:left="851" w:hanging="851"/>
        <w:rPr>
          <w:rFonts w:ascii="Calibri" w:hAnsi="Calibri" w:cs="Calibri"/>
          <w:color w:val="1F497D"/>
          <w:sz w:val="28"/>
          <w:szCs w:val="28"/>
          <w:lang w:val="de-DE"/>
        </w:rPr>
      </w:pPr>
      <w:bookmarkStart w:id="61" w:name="_Toc7802472"/>
      <w:r>
        <w:rPr>
          <w:rFonts w:ascii="Calibri" w:hAnsi="Calibri" w:cs="Calibri"/>
          <w:color w:val="1F497D"/>
          <w:sz w:val="28"/>
          <w:lang w:val="de-DE"/>
        </w:rPr>
        <w:t>Landwirtschaft</w:t>
      </w:r>
      <w:bookmarkEnd w:id="61"/>
    </w:p>
    <w:p w:rsidR="000B433A" w:rsidRPr="007C47CC" w:rsidRDefault="000B433A" w:rsidP="006124BE">
      <w:pPr>
        <w:pStyle w:val="TEXTEI7"/>
        <w:rPr>
          <w:rFonts w:ascii="Calibri" w:hAnsi="Calibri" w:cs="Calibri"/>
          <w:color w:val="4F81BD"/>
          <w:sz w:val="24"/>
          <w:szCs w:val="24"/>
          <w:lang w:val="de-DE"/>
        </w:rPr>
      </w:pPr>
      <w:r>
        <w:rPr>
          <w:rFonts w:ascii="Calibri" w:hAnsi="Calibri" w:cs="Calibri"/>
          <w:color w:val="4F81BD"/>
          <w:sz w:val="24"/>
          <w:lang w:val="de-DE"/>
        </w:rPr>
        <w:t>Begrenzung der Mineraldüngung</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Der Ersatz der emissisionsstärksten Düngemittelformen (Harnstoff- und Stickstofflösung) durch weniger emissionsstarke Formen (Ammonitrate) trägt dazu bei, die Emissionen zu reduzieren und gleichzeitig das Düngeniveau zu halten. Wenn Harnstoff- und Stickstofflösung schrittweise in Mengen zugunsten von Ammonitrat reduziert werden und 2030 vollständig verschwinden, würde im Jahr 2030 eine theoretische maximale Reduktion von etwa 6 % der gesamten NH</w:t>
      </w:r>
      <w:r w:rsidRPr="009D2AC7">
        <w:rPr>
          <w:rFonts w:ascii="Calibri" w:hAnsi="Calibri" w:cs="Calibri"/>
          <w:sz w:val="24"/>
          <w:szCs w:val="24"/>
          <w:vertAlign w:val="subscript"/>
          <w:lang w:val="de-DE"/>
        </w:rPr>
        <w:t>3</w:t>
      </w:r>
      <w:r>
        <w:rPr>
          <w:rFonts w:ascii="Calibri" w:hAnsi="Calibri" w:cs="Calibri"/>
          <w:sz w:val="24"/>
          <w:lang w:val="de-DE"/>
        </w:rPr>
        <w:t xml:space="preserve">-Emissionen erreicht werden. </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Abhängig von der betrachteten Technik können verschiedene Hindernisse den Einsatz behindern: Kosten, Akzeptanz, Verfügbarkeit von Geräten. Um diese Bremsen zu beseitigen, können mehrere Optionen in Betracht gezogen werden: die Einrichtung eines speziellen Assistenzsystems, neue Vorschriften für die schnelle Eingrabung (wie im Fall von Dung).</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Darüber werden durch eine Reduzierung der ausgebrachten Düngermenge die Betriebskosten gesenkt.</w:t>
      </w:r>
    </w:p>
    <w:p w:rsidR="000B433A" w:rsidRPr="007C47CC" w:rsidRDefault="000B433A" w:rsidP="006124BE">
      <w:pPr>
        <w:pStyle w:val="TEXTEI7"/>
        <w:rPr>
          <w:rFonts w:ascii="Calibri" w:hAnsi="Calibri" w:cs="Calibri"/>
          <w:color w:val="4F81BD"/>
          <w:sz w:val="24"/>
          <w:szCs w:val="24"/>
          <w:lang w:val="de-DE"/>
        </w:rPr>
      </w:pPr>
      <w:r>
        <w:rPr>
          <w:rFonts w:ascii="Calibri" w:hAnsi="Calibri" w:cs="Calibri"/>
          <w:color w:val="4F81BD"/>
          <w:sz w:val="24"/>
          <w:lang w:val="de-DE"/>
        </w:rPr>
        <w:t>Emissionsarme Gebäude</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Im Jahr 2016 werden schätzungsweise etwa 8,5 % des Schweinebestands in Gebäuden untergebracht sein, die mit Luftwäscheranlagen ausgestattet sind. Diese Systeme würden es ermöglichen, die Emissionen der betreffenden Gebäude um +-70 % zu reduzieren. Wenn sämtliche Gebäude, in denen Schweine gehalten werden (einschließlich kleiner Betriebe), hiermit ausgestattet wären, würde eine theoretische maximale Reduktion der NH</w:t>
      </w:r>
      <w:r w:rsidRPr="00C05E01">
        <w:rPr>
          <w:rFonts w:ascii="Calibri" w:hAnsi="Calibri" w:cs="Calibri"/>
          <w:sz w:val="24"/>
          <w:szCs w:val="24"/>
          <w:vertAlign w:val="subscript"/>
          <w:lang w:val="de-DE"/>
        </w:rPr>
        <w:t>3</w:t>
      </w:r>
      <w:r>
        <w:rPr>
          <w:rFonts w:ascii="Calibri" w:hAnsi="Calibri" w:cs="Calibri"/>
          <w:sz w:val="24"/>
          <w:lang w:val="de-DE"/>
        </w:rPr>
        <w:t>-Emissionen um etwa 2,5 % im Jahr 2030 und um 9 % der PM</w:t>
      </w:r>
      <w:r w:rsidRPr="00C05E01">
        <w:rPr>
          <w:rFonts w:ascii="Calibri" w:hAnsi="Calibri" w:cs="Calibri"/>
          <w:sz w:val="24"/>
          <w:szCs w:val="24"/>
          <w:vertAlign w:val="subscript"/>
          <w:lang w:val="de-DE"/>
        </w:rPr>
        <w:t>2,5</w:t>
      </w:r>
      <w:r>
        <w:rPr>
          <w:rFonts w:ascii="Calibri" w:hAnsi="Calibri" w:cs="Calibri"/>
          <w:sz w:val="24"/>
          <w:lang w:val="de-DE"/>
        </w:rPr>
        <w:t>-Emissionen im Vergleich zu 2030 WEM erreicht werden.</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Es ist zu beachten, dass die Luftwäsche auch dazu beiträgt, die Geruchsbelästigung zu reduzieren.</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 xml:space="preserve">Mehrere Hindernisse können den Einsatz dieser Reduktionstechnik behindern: erhebliche Anfangsinvestitionen, zusätzliche Belastung durch den Zeitaufwand für die Wartung der Anlagen, die Notwendigkeit, die Entlüftung des Gebäudes zu zentralisieren, wenn dies nicht bereits der Fall ist, erhöhter Wasserverbrauch... </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Bei finanziellen Hindernissen könnte die Einführung einer spezifischen Beihilfe ein wirksames Mittel sein.</w:t>
      </w:r>
    </w:p>
    <w:p w:rsidR="000B433A" w:rsidRPr="007C47CC" w:rsidRDefault="000B433A" w:rsidP="006124BE">
      <w:pPr>
        <w:pStyle w:val="TEXTEI7"/>
        <w:rPr>
          <w:rFonts w:ascii="Calibri" w:hAnsi="Calibri" w:cs="Calibri"/>
          <w:color w:val="4F81BD"/>
          <w:sz w:val="24"/>
          <w:szCs w:val="24"/>
          <w:lang w:val="de-DE"/>
        </w:rPr>
      </w:pPr>
      <w:r>
        <w:rPr>
          <w:rFonts w:ascii="Calibri" w:hAnsi="Calibri" w:cs="Calibri"/>
          <w:color w:val="4F81BD"/>
          <w:sz w:val="24"/>
          <w:lang w:val="de-DE"/>
        </w:rPr>
        <w:t>Ausbringung von Dung</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Im Jahr 2016 wurden etwa 18 % der Gülle in Streifen (bodennah) ausgebracht und 16 % in den Boden eingespritzt. Wenn diese Praktiken maximiert würden (d. h. die gesamte Gülle entweder bodennah ausgebracht oder in den Boden eingespritzt wird), würde eine Emissionsminderung von etwa 4,5 bis 10 % der gesamten Ammoniakemissionen aus der Landwirtschaft im Jahr 2030 im Vergleich zu 2030 WEM erreicht werden.</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Und wenn die Stickstoffverluste in die Atmosphäre reduziert werden, wird die im Boden verfügbare Stickstoffmenge für die Pflanze erhöht. Die Effizienz des zugeführten organischen Stickstoffs wird hierdurch verbessert, was zu einer reduzierten Verwendung von mineralischen Düngemitteln führen kann.</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Schließlich schränkt eine schnellere und effizientere Einbringung von Dung auch die Geruchsbelästigung ein.</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 xml:space="preserve">Bei der Umsetzung dieser Maßnahme können verschiedene technische Barrieren auftreten: zu zähflüssige Gülle, zu steiler Hang, verdichteter Boden, zu schmale Felder... Die folgenden Faktoren müssen berücksichtigt werden, um festzustellen, ob die Technik anwendbar ist: Bodenart und -zustand, Topographie, Zusammensetzung des Dungs. Möglicherweise wird diese Art der Ausbringung mehr Arbeitszeit erfordern als die Düngerauflage. </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Technische Barrieren sind schwer zu umgehen und ein weiteres Hindernis für den Einsatz dieser Technik ist der zusätzliche Bedarf an Arbeitskräften, der umso größer ist, als die Zeit zwischen Ausbringung und Einarbeitung kurz ist.</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 xml:space="preserve">Darüber hinaus sind auch die Kosten (Investitionen, aber auch der zusätzliche Energieverbrauch) und die spezifische Besonderheit der Ausrüstung eine Einschränkung für den Einsatz dieser Technik. </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Diese Hindernisse könnten durch die Einführung spezifischer Beihilfen beseitigt werden.</w:t>
      </w:r>
    </w:p>
    <w:p w:rsidR="000B433A" w:rsidRPr="007C47CC" w:rsidRDefault="000B433A" w:rsidP="006124BE">
      <w:pPr>
        <w:pStyle w:val="TEXTEI7"/>
        <w:rPr>
          <w:rFonts w:ascii="Calibri" w:hAnsi="Calibri" w:cs="Calibri"/>
          <w:sz w:val="24"/>
          <w:szCs w:val="24"/>
          <w:lang w:val="de-DE"/>
        </w:rPr>
      </w:pPr>
      <w:r>
        <w:rPr>
          <w:rFonts w:ascii="Calibri" w:hAnsi="Calibri" w:cs="Calibri"/>
          <w:sz w:val="24"/>
          <w:lang w:val="de-DE"/>
        </w:rPr>
        <w:t>Die Prognosen für die Landwirtschaft wurden auf Grundlage der Entwicklung der Aktivitätsvariablen und unter Berücksichtigung einer Mischung von „Agrar“-Maßnahmen wie folgt erstellt:</w:t>
      </w:r>
    </w:p>
    <w:p w:rsidR="000B433A" w:rsidRDefault="000B433A" w:rsidP="006124BE">
      <w:pPr>
        <w:pStyle w:val="TEXTEI7"/>
        <w:ind w:left="284" w:right="283"/>
        <w:rPr>
          <w:rFonts w:ascii="Calibri" w:hAnsi="Calibri" w:cs="Calibri"/>
          <w:sz w:val="24"/>
          <w:szCs w:val="24"/>
          <w:lang w:val="de-DE"/>
        </w:rPr>
      </w:pPr>
      <w:r>
        <w:rPr>
          <w:rFonts w:ascii="Calibri" w:hAnsi="Calibri" w:cs="Calibri"/>
          <w:sz w:val="24"/>
          <w:lang w:val="de-DE"/>
        </w:rPr>
        <w:t>Man berücksichtigt die Maßnahme „Luftwäsche“ bei 50 %, die Maßnahme „Gülleausbringung durch Schleppschlauch“ bei 25 %, die Maßnahme „Gülleeinbringung in den Boden“ bei 25 %, die Maßnahme „Einbringung nach Ausbringung (Eingrabung)“ Variante 1 (Eingrabung erfolgt innerhalb von 4 Stunden) bei 25 %, Variante 2 (Bestattung erfolgt innerhalb von 12 Stunden) bei 25 % und die Maßnahme „Reduzierung der NH</w:t>
      </w:r>
      <w:r w:rsidRPr="007C47CC">
        <w:rPr>
          <w:rFonts w:ascii="Calibri" w:hAnsi="Calibri" w:cs="Calibri"/>
          <w:sz w:val="24"/>
          <w:szCs w:val="24"/>
          <w:vertAlign w:val="subscript"/>
          <w:lang w:val="de-DE"/>
        </w:rPr>
        <w:t>3</w:t>
      </w:r>
      <w:r>
        <w:rPr>
          <w:rFonts w:ascii="Calibri" w:hAnsi="Calibri" w:cs="Calibri"/>
          <w:sz w:val="24"/>
          <w:lang w:val="de-DE"/>
        </w:rPr>
        <w:t>-Emissionen aus Mineraldüngung“ Variante 3 bei 50 %.</w:t>
      </w:r>
    </w:p>
    <w:p w:rsidR="000B433A" w:rsidRPr="007C47CC" w:rsidRDefault="000B433A" w:rsidP="006124BE">
      <w:pPr>
        <w:pStyle w:val="TEXTEI7"/>
        <w:ind w:left="284" w:right="283"/>
        <w:rPr>
          <w:rFonts w:ascii="Calibri" w:hAnsi="Calibri" w:cs="Calibri"/>
          <w:sz w:val="24"/>
          <w:szCs w:val="24"/>
          <w:lang w:val="de-DE"/>
        </w:rPr>
      </w:pPr>
    </w:p>
    <w:p w:rsidR="000B433A" w:rsidRDefault="000B433A" w:rsidP="00C43480">
      <w:pPr>
        <w:pStyle w:val="TEXTEI7"/>
        <w:rPr>
          <w:rFonts w:cs="Calibri"/>
          <w:lang w:val="de-DE"/>
        </w:rPr>
      </w:pPr>
      <w:r>
        <w:rPr>
          <w:rFonts w:ascii="Calibri" w:hAnsi="Calibri" w:cs="Calibri"/>
          <w:sz w:val="24"/>
          <w:lang w:val="de-DE"/>
        </w:rPr>
        <w:t>Die Ergebnisse werden wie folgt dargestellt:</w:t>
      </w:r>
    </w:p>
    <w:p w:rsidR="000B433A" w:rsidRDefault="005A6B21" w:rsidP="006124BE">
      <w:pPr>
        <w:rPr>
          <w:rFonts w:cs="Calibri"/>
          <w:lang w:val="de-DE"/>
        </w:rPr>
      </w:pPr>
      <w:r w:rsidRPr="005A6B21">
        <w:rPr>
          <w:rFonts w:cs="Calibri"/>
          <w:lang w:val="de-DE"/>
        </w:rPr>
      </w:r>
      <w:r>
        <w:rPr>
          <w:rFonts w:cs="Calibri"/>
          <w:lang w:val="de-DE"/>
        </w:rPr>
        <w:pict>
          <v:group id="_x0000_s1981" editas="canvas" style="width:407.85pt;height:226.3pt;mso-position-horizontal-relative:char;mso-position-vertical-relative:line" coordorigin=",-1345" coordsize="8157,4526">
            <o:lock v:ext="edit" aspectratio="t"/>
            <v:shape id="_x0000_s1982" type="#_x0000_t75" style="position:absolute;top:-1345;width:8157;height:4526" o:preferrelative="f">
              <v:fill o:detectmouseclick="t"/>
              <v:path o:extrusionok="t" o:connecttype="none"/>
              <o:lock v:ext="edit" text="t"/>
            </v:shape>
            <v:rect id="_x0000_s1983" style="position:absolute;left:8;top:-1337;width:7215;height:4335" stroked="f"/>
            <v:rect id="_x0000_s1984" style="position:absolute;left:1298;top:-332;width:5280;height:2580" stroked="f"/>
            <v:shape id="_x0000_s1985" style="position:absolute;left:1305;top:-347;width:5265;height:2220" coordsize="5265,2220" path="m,2205r5265,l5265,2220,,2220r,-15xm,1845r5265,l5265,1860,,1860r,-15xm,1470r5265,l5265,1485,,1485r,-15xm,1110r5265,l5265,1125,,1125r,-15xm,735r5265,l5265,750,,750,,735xm,375r5265,l5265,390,,390,,375xm,l5265,r,15l,15,,xe" fillcolor="#898989" strokecolor="#898989">
              <v:stroke joinstyle="bevel"/>
              <v:path arrowok="t"/>
              <o:lock v:ext="edit" verticies="t"/>
            </v:shape>
            <v:shape id="_x0000_s1986" style="position:absolute;left:1688;top:103;width:4485;height:2130" coordsize="4485,2130" path="m,l540,r,2130l,2130,,xm1320,120r525,l1845,2130r-525,l1320,120xm2640,300r525,l3165,2130r-525,l2640,300xm3960,420r525,l4485,2130r-525,l3960,420xe" fillcolor="#f1a78a" stroked="f">
              <v:path arrowok="t"/>
              <o:lock v:ext="edit" verticies="t"/>
            </v:shape>
            <v:rect id="_x0000_s1987" style="position:absolute;left:1298;top:-340;width:15;height:2580" fillcolor="#898989" strokecolor="#898989">
              <v:stroke joinstyle="bevel"/>
            </v:rect>
            <v:shape id="_x0000_s1988" style="position:absolute;left:1230;top:-347;width:75;height:2595" coordsize="75,2595" path="m,2580r75,l75,2595r-75,l,2580xm,2205r75,l75,2220r-75,l,2205xm,1845r75,l75,1860r-75,l,1845xm,1470r75,l75,1485r-75,l,1470xm,1110r75,l75,1125r-75,l,1110xm,735r75,l75,750,,750,,735xm,375r75,l75,390,,390,,375xm,l75,r,15l,15,,xe" fillcolor="#898989" strokecolor="#898989">
              <v:stroke joinstyle="bevel"/>
              <v:path arrowok="t"/>
              <o:lock v:ext="edit" verticies="t"/>
            </v:shape>
            <v:rect id="_x0000_s1989" style="position:absolute;left:1305;top:2233;width:5265;height:15" fillcolor="#898989" strokecolor="#898989">
              <v:stroke joinstyle="bevel"/>
            </v:rect>
            <v:shape id="_x0000_s1990" style="position:absolute;left:1298;top:2240;width:5280;height:60" coordsize="5280,60" path="m15,r,60l,60,,,15,xm1320,r,60l1305,60r,-60l1320,xm2640,r,60l2625,60r,-60l2640,xm3960,r,60l3945,60r,-60l3960,xm5280,r,60l5265,60r,-60l5280,xe" fillcolor="#898989" strokecolor="#898989">
              <v:stroke joinstyle="bevel"/>
              <v:path arrowok="t"/>
              <o:lock v:ext="edit" verticies="t"/>
            </v:shape>
            <v:rect id="_x0000_s1991" style="position:absolute;left:1011;top:2127;width:122;height:457;mso-wrap-style:none" filled="f" stroked="f">
              <v:textbox style="mso-fit-shape-to-text:t" inset="0,0,0,0">
                <w:txbxContent>
                  <w:p w:rsidR="000B433A" w:rsidRDefault="000B433A">
                    <w:r>
                      <w:rPr>
                        <w:rFonts w:cs="Calibri"/>
                        <w:color w:val="000000"/>
                        <w:lang w:val="en-US"/>
                      </w:rPr>
                      <w:t>0</w:t>
                    </w:r>
                  </w:p>
                </w:txbxContent>
              </v:textbox>
            </v:rect>
            <v:rect id="_x0000_s1992" style="position:absolute;left:671;top:1759;width:541;height:457;mso-wrap-style:none" filled="f" stroked="f">
              <v:textbox style="mso-fit-shape-to-text:t" inset="0,0,0,0">
                <w:txbxContent>
                  <w:p w:rsidR="000B433A" w:rsidRDefault="000B433A">
                    <w:r>
                      <w:rPr>
                        <w:rFonts w:cs="Calibri"/>
                        <w:color w:val="000000"/>
                        <w:lang w:val="en-US"/>
                      </w:rPr>
                      <w:t>5 000</w:t>
                    </w:r>
                  </w:p>
                </w:txbxContent>
              </v:textbox>
            </v:rect>
            <v:rect id="_x0000_s1993" style="position:absolute;left:560;top:1391;width:663;height:457;mso-wrap-style:none" filled="f" stroked="f">
              <v:textbox style="mso-fit-shape-to-text:t" inset="0,0,0,0">
                <w:txbxContent>
                  <w:p w:rsidR="000B433A" w:rsidRDefault="000B433A">
                    <w:r>
                      <w:rPr>
                        <w:rFonts w:cs="Calibri"/>
                        <w:color w:val="000000"/>
                        <w:lang w:val="en-US"/>
                      </w:rPr>
                      <w:t>10 000</w:t>
                    </w:r>
                  </w:p>
                </w:txbxContent>
              </v:textbox>
            </v:rect>
            <v:rect id="_x0000_s1994" style="position:absolute;left:560;top:1024;width:663;height:457;mso-wrap-style:none" filled="f" stroked="f">
              <v:textbox style="mso-fit-shape-to-text:t" inset="0,0,0,0">
                <w:txbxContent>
                  <w:p w:rsidR="000B433A" w:rsidRDefault="000B433A">
                    <w:r>
                      <w:rPr>
                        <w:rFonts w:cs="Calibri"/>
                        <w:color w:val="000000"/>
                        <w:lang w:val="en-US"/>
                      </w:rPr>
                      <w:t>15 000</w:t>
                    </w:r>
                  </w:p>
                </w:txbxContent>
              </v:textbox>
            </v:rect>
            <v:rect id="_x0000_s1995" style="position:absolute;left:560;top:656;width:663;height:457;mso-wrap-style:none" filled="f" stroked="f">
              <v:textbox style="mso-fit-shape-to-text:t" inset="0,0,0,0">
                <w:txbxContent>
                  <w:p w:rsidR="000B433A" w:rsidRDefault="000B433A">
                    <w:r>
                      <w:rPr>
                        <w:rFonts w:cs="Calibri"/>
                        <w:color w:val="000000"/>
                        <w:lang w:val="en-US"/>
                      </w:rPr>
                      <w:t>20 000</w:t>
                    </w:r>
                  </w:p>
                </w:txbxContent>
              </v:textbox>
            </v:rect>
            <v:rect id="_x0000_s1996" style="position:absolute;left:560;top:288;width:663;height:457;mso-wrap-style:none" filled="f" stroked="f">
              <v:textbox style="mso-fit-shape-to-text:t" inset="0,0,0,0">
                <w:txbxContent>
                  <w:p w:rsidR="000B433A" w:rsidRDefault="000B433A">
                    <w:r>
                      <w:rPr>
                        <w:rFonts w:cs="Calibri"/>
                        <w:color w:val="000000"/>
                        <w:lang w:val="en-US"/>
                      </w:rPr>
                      <w:t>25 000</w:t>
                    </w:r>
                  </w:p>
                </w:txbxContent>
              </v:textbox>
            </v:rect>
            <v:rect id="_x0000_s1997" style="position:absolute;left:560;top:-79;width:663;height:457;mso-wrap-style:none" filled="f" stroked="f">
              <v:textbox style="mso-fit-shape-to-text:t" inset="0,0,0,0">
                <w:txbxContent>
                  <w:p w:rsidR="000B433A" w:rsidRDefault="000B433A">
                    <w:r>
                      <w:rPr>
                        <w:rFonts w:cs="Calibri"/>
                        <w:color w:val="000000"/>
                        <w:lang w:val="en-US"/>
                      </w:rPr>
                      <w:t>30 000</w:t>
                    </w:r>
                  </w:p>
                </w:txbxContent>
              </v:textbox>
            </v:rect>
            <v:rect id="_x0000_s1998" style="position:absolute;left:560;top:-447;width:663;height:457;mso-wrap-style:none" filled="f" stroked="f">
              <v:textbox style="mso-fit-shape-to-text:t" inset="0,0,0,0">
                <w:txbxContent>
                  <w:p w:rsidR="000B433A" w:rsidRDefault="000B433A">
                    <w:r>
                      <w:rPr>
                        <w:rFonts w:cs="Calibri"/>
                        <w:color w:val="000000"/>
                        <w:lang w:val="en-US"/>
                      </w:rPr>
                      <w:t>35 000</w:t>
                    </w:r>
                  </w:p>
                </w:txbxContent>
              </v:textbox>
            </v:rect>
            <v:rect id="_x0000_s1999" style="position:absolute;left:1757;top:2387;width:487;height:457;mso-wrap-style:none" filled="f" stroked="f">
              <v:textbox style="mso-fit-shape-to-text:t" inset="0,0,0,0">
                <w:txbxContent>
                  <w:p w:rsidR="000B433A" w:rsidRDefault="000B433A">
                    <w:r>
                      <w:rPr>
                        <w:rFonts w:cs="Calibri"/>
                        <w:color w:val="000000"/>
                        <w:lang w:val="en-US"/>
                      </w:rPr>
                      <w:t>2005</w:t>
                    </w:r>
                  </w:p>
                </w:txbxContent>
              </v:textbox>
            </v:rect>
            <v:rect id="_x0000_s2000" style="position:absolute;left:3074;top:2387;width:487;height:457;mso-wrap-style:none" filled="f" stroked="f">
              <v:textbox style="mso-fit-shape-to-text:t" inset="0,0,0,0">
                <w:txbxContent>
                  <w:p w:rsidR="000B433A" w:rsidRDefault="000B433A">
                    <w:r>
                      <w:rPr>
                        <w:rFonts w:cs="Calibri"/>
                        <w:color w:val="000000"/>
                        <w:lang w:val="en-US"/>
                      </w:rPr>
                      <w:t>2015</w:t>
                    </w:r>
                  </w:p>
                </w:txbxContent>
              </v:textbox>
            </v:rect>
            <v:rect id="_x0000_s2001" style="position:absolute;left:4151;top:2387;width:1077;height:457;mso-wrap-style:none" filled="f" stroked="f">
              <v:textbox style="mso-fit-shape-to-text:t" inset="0,0,0,0">
                <w:txbxContent>
                  <w:p w:rsidR="000B433A" w:rsidRDefault="000B433A">
                    <w:r>
                      <w:rPr>
                        <w:rFonts w:cs="Calibri"/>
                        <w:color w:val="000000"/>
                        <w:lang w:val="en-US"/>
                      </w:rPr>
                      <w:t>2030 WEM</w:t>
                    </w:r>
                  </w:p>
                </w:txbxContent>
              </v:textbox>
            </v:rect>
            <v:rect id="_x0000_s2002" style="position:absolute;left:5453;top:2387;width:1099;height:457;mso-wrap-style:none" filled="f" stroked="f">
              <v:textbox style="mso-fit-shape-to-text:t" inset="0,0,0,0">
                <w:txbxContent>
                  <w:p w:rsidR="000B433A" w:rsidRDefault="000B433A">
                    <w:r>
                      <w:rPr>
                        <w:rFonts w:cs="Calibri"/>
                        <w:color w:val="000000"/>
                        <w:lang w:val="en-US"/>
                      </w:rPr>
                      <w:t>2030 WAM</w:t>
                    </w:r>
                  </w:p>
                </w:txbxContent>
              </v:textbox>
            </v:rect>
            <v:rect id="_x0000_s2003" style="position:absolute;left:460;top:1201;width:48;height:148;mso-wrap-style:none" filled="f" stroked="f">
              <v:textbox style="mso-fit-shape-to-text:t" inset="0,0,0,0">
                <w:txbxContent>
                  <w:p w:rsidR="000B433A" w:rsidRDefault="000B433A">
                    <w:proofErr w:type="gramStart"/>
                    <w:r>
                      <w:rPr>
                        <w:rFonts w:cs="Calibri"/>
                        <w:b/>
                        <w:bCs/>
                        <w:color w:val="000000"/>
                        <w:sz w:val="2"/>
                        <w:szCs w:val="2"/>
                        <w:lang w:val="en-US"/>
                      </w:rPr>
                      <w:t>t</w:t>
                    </w:r>
                    <w:proofErr w:type="gramEnd"/>
                    <w:r>
                      <w:rPr>
                        <w:rFonts w:cs="Calibri"/>
                        <w:b/>
                        <w:bCs/>
                        <w:color w:val="000000"/>
                        <w:sz w:val="2"/>
                        <w:szCs w:val="2"/>
                        <w:lang w:val="en-US"/>
                      </w:rPr>
                      <w:t xml:space="preserve"> NH3</w:t>
                    </w:r>
                  </w:p>
                </w:txbxContent>
              </v:textbox>
            </v:rect>
            <v:rect id="_x0000_s2004" style="position:absolute;left:1276;top:-1180;width:4864;height:625;mso-wrap-style:none" filled="f" stroked="f">
              <v:textbox style="mso-fit-shape-to-text:t" inset="0,0,0,0">
                <w:txbxContent>
                  <w:p w:rsidR="000B433A" w:rsidRPr="003616EA" w:rsidRDefault="000B433A">
                    <w:pPr>
                      <w:rPr>
                        <w:lang w:val="de-DE"/>
                      </w:rPr>
                    </w:pPr>
                    <w:r w:rsidRPr="003616EA">
                      <w:rPr>
                        <w:rFonts w:cs="Calibri"/>
                        <w:b/>
                        <w:bCs/>
                        <w:color w:val="000000"/>
                        <w:sz w:val="36"/>
                        <w:szCs w:val="36"/>
                        <w:lang w:val="de-DE"/>
                      </w:rPr>
                      <w:t>Entwicklung der NH</w:t>
                    </w:r>
                    <w:r w:rsidRPr="003616EA">
                      <w:rPr>
                        <w:rFonts w:cs="Calibri"/>
                        <w:b/>
                        <w:bCs/>
                        <w:color w:val="000000"/>
                        <w:sz w:val="22"/>
                        <w:lang w:val="de-DE"/>
                      </w:rPr>
                      <w:t>3</w:t>
                    </w:r>
                    <w:r>
                      <w:rPr>
                        <w:rFonts w:cs="Calibri"/>
                        <w:b/>
                        <w:bCs/>
                        <w:color w:val="000000"/>
                        <w:sz w:val="36"/>
                        <w:szCs w:val="36"/>
                        <w:lang w:val="de-DE"/>
                      </w:rPr>
                      <w:t>-Emissionen</w:t>
                    </w:r>
                  </w:p>
                </w:txbxContent>
              </v:textbox>
            </v:rect>
            <v:rect id="_x0000_s2005" style="position:absolute;left:1651;top:-745;width:929;height:625;mso-wrap-style:none" filled="f" stroked="f">
              <v:textbox style="mso-fit-shape-to-text:t" inset="0,0,0,0">
                <w:txbxContent>
                  <w:p w:rsidR="000B433A" w:rsidRDefault="000B433A">
                    <w:r>
                      <w:rPr>
                        <w:rFonts w:cs="Calibri"/>
                        <w:b/>
                        <w:bCs/>
                        <w:color w:val="000000"/>
                        <w:sz w:val="36"/>
                        <w:szCs w:val="36"/>
                        <w:lang w:val="en-US"/>
                      </w:rPr>
                      <w:t>(WEM</w:t>
                    </w:r>
                  </w:p>
                </w:txbxContent>
              </v:textbox>
            </v:rect>
            <v:rect id="_x0000_s2006" style="position:absolute;left:2596;top:-745;width:111;height:625;mso-wrap-style:none" filled="f" stroked="f">
              <v:textbox style="mso-fit-shape-to-text:t" inset="0,0,0,0">
                <w:txbxContent>
                  <w:p w:rsidR="000B433A" w:rsidRDefault="000B433A">
                    <w:r>
                      <w:rPr>
                        <w:rFonts w:cs="Calibri"/>
                        <w:b/>
                        <w:bCs/>
                        <w:color w:val="000000"/>
                        <w:sz w:val="36"/>
                        <w:szCs w:val="36"/>
                        <w:lang w:val="en-US"/>
                      </w:rPr>
                      <w:t>-</w:t>
                    </w:r>
                  </w:p>
                </w:txbxContent>
              </v:textbox>
            </v:rect>
            <v:rect id="_x0000_s2007" style="position:absolute;left:2701;top:-745;width:972;height:625;mso-wrap-style:none" filled="f" stroked="f">
              <v:textbox style="mso-fit-shape-to-text:t" inset="0,0,0,0">
                <w:txbxContent>
                  <w:p w:rsidR="000B433A" w:rsidRDefault="000B433A">
                    <w:r>
                      <w:rPr>
                        <w:rFonts w:cs="Calibri"/>
                        <w:b/>
                        <w:bCs/>
                        <w:color w:val="000000"/>
                        <w:sz w:val="36"/>
                        <w:szCs w:val="36"/>
                        <w:lang w:val="en-US"/>
                      </w:rPr>
                      <w:t xml:space="preserve">WAM) </w:t>
                    </w:r>
                  </w:p>
                </w:txbxContent>
              </v:textbox>
            </v:rect>
            <v:rect id="_x0000_s2008" style="position:absolute;left:3721;top:-745;width:111;height:625;mso-wrap-style:none" filled="f" stroked="f">
              <v:textbox style="mso-fit-shape-to-text:t" inset="0,0,0,0">
                <w:txbxContent>
                  <w:p w:rsidR="000B433A" w:rsidRDefault="000B433A">
                    <w:r>
                      <w:rPr>
                        <w:rFonts w:cs="Calibri"/>
                        <w:b/>
                        <w:bCs/>
                        <w:color w:val="000000"/>
                        <w:sz w:val="36"/>
                        <w:szCs w:val="36"/>
                        <w:lang w:val="en-US"/>
                      </w:rPr>
                      <w:t>-</w:t>
                    </w:r>
                  </w:p>
                </w:txbxContent>
              </v:textbox>
            </v:rect>
            <v:rect id="_x0000_s2009" style="position:absolute;left:3901;top:-745;width:2230;height:625;mso-wrap-style:none" filled="f" stroked="f">
              <v:textbox style="mso-fit-shape-to-text:t" inset="0,0,0,0">
                <w:txbxContent>
                  <w:p w:rsidR="000B433A" w:rsidRDefault="000B433A">
                    <w:r>
                      <w:rPr>
                        <w:rFonts w:cs="Calibri"/>
                        <w:b/>
                        <w:bCs/>
                        <w:color w:val="000000"/>
                        <w:sz w:val="36"/>
                        <w:szCs w:val="36"/>
                        <w:lang w:val="en-US"/>
                      </w:rPr>
                      <w:t>Landwirtschaft</w:t>
                    </w:r>
                  </w:p>
                </w:txbxContent>
              </v:textbox>
            </v:rect>
            <v:shape id="_x0000_s2010" style="position:absolute;left:8;top:-1337;width:7215;height:4335" coordsize="7696,4624" path="m,8hdc,4,4,,8,hal7688,hdc7693,,7696,4,7696,8hal7696,4616hdc7696,4621,7693,4624,7688,4624hal8,4624hdc4,4624,,4621,,4616hal,8hdxm16,4616hal8,4608r7680,l7680,4616,7680,8r8,8l8,16,16,8r,4608hdxe" fillcolor="#898989" strokecolor="#898989" strokeweight=".05pt">
              <v:path arrowok="t"/>
              <o:lock v:ext="edit" verticies="t"/>
            </v:shape>
            <w10:wrap type="none"/>
            <w10:anchorlock/>
          </v:group>
        </w:pict>
      </w:r>
    </w:p>
    <w:p w:rsidR="000B433A" w:rsidRPr="00D07F58" w:rsidRDefault="000B433A" w:rsidP="00C43480">
      <w:pPr>
        <w:pStyle w:val="Lgende"/>
        <w:rPr>
          <w:lang w:val="de-DE"/>
        </w:rPr>
      </w:pPr>
      <w:bookmarkStart w:id="62" w:name="_Ref532393970"/>
      <w:r>
        <w:rPr>
          <w:lang w:val="de-DE"/>
        </w:rPr>
        <w:t>Abbildung 24</w:t>
      </w:r>
      <w:bookmarkEnd w:id="62"/>
      <w:r>
        <w:rPr>
          <w:lang w:val="de-DE"/>
        </w:rPr>
        <w:t xml:space="preserve">: </w:t>
      </w:r>
      <w:r w:rsidRPr="00DC0D9B">
        <w:rPr>
          <w:rFonts w:cs="Calibri"/>
          <w:lang w:val="de-DE"/>
        </w:rPr>
        <w:t>Entwicklung der Luftschadstoffemissionen nach Referenzszenarien mit Messungen (WEM und WAM) für die Landwirtschaft in Tonnen.</w:t>
      </w:r>
    </w:p>
    <w:p w:rsidR="000B433A" w:rsidRPr="00E84D4C" w:rsidRDefault="000B433A" w:rsidP="00C43480">
      <w:pPr>
        <w:pStyle w:val="Titre2"/>
        <w:numPr>
          <w:ilvl w:val="1"/>
          <w:numId w:val="1"/>
        </w:numPr>
        <w:ind w:left="851" w:hanging="851"/>
        <w:rPr>
          <w:rFonts w:ascii="Calibri" w:hAnsi="Calibri" w:cs="Calibri"/>
          <w:color w:val="1F497D"/>
          <w:sz w:val="28"/>
          <w:szCs w:val="28"/>
          <w:lang w:val="de-DE"/>
        </w:rPr>
      </w:pPr>
      <w:bookmarkStart w:id="63" w:name="_Toc7802473"/>
      <w:r>
        <w:rPr>
          <w:rFonts w:ascii="Calibri" w:hAnsi="Calibri" w:cs="Calibri"/>
          <w:color w:val="1F497D"/>
          <w:sz w:val="28"/>
          <w:lang w:val="de-DE"/>
        </w:rPr>
        <w:t>Bewirtschaftung von Abfällen und Einäscherung</w:t>
      </w:r>
      <w:bookmarkEnd w:id="63"/>
    </w:p>
    <w:p w:rsidR="000B433A" w:rsidRPr="000F4BEC" w:rsidRDefault="000B433A" w:rsidP="006124BE">
      <w:pPr>
        <w:pStyle w:val="TEXTEI7"/>
        <w:rPr>
          <w:rFonts w:ascii="Calibri" w:hAnsi="Calibri" w:cs="Calibri"/>
          <w:sz w:val="24"/>
          <w:szCs w:val="24"/>
          <w:lang w:val="de-DE"/>
        </w:rPr>
      </w:pPr>
      <w:r>
        <w:rPr>
          <w:rFonts w:ascii="Calibri" w:hAnsi="Calibri" w:cs="Calibri"/>
          <w:sz w:val="24"/>
          <w:lang w:val="de-DE"/>
        </w:rPr>
        <w:t xml:space="preserve">Bei der Erstellung von Inventaren und Prognosen werden die Emissionen aus der Einäscherung in die gleiche Kategorie wie die Abfallverbrennung einbezogen. </w:t>
      </w:r>
    </w:p>
    <w:p w:rsidR="000B433A" w:rsidRPr="000F4BEC" w:rsidRDefault="000B433A" w:rsidP="006124BE">
      <w:pPr>
        <w:pStyle w:val="TEXTEI7"/>
        <w:rPr>
          <w:rFonts w:ascii="Calibri" w:hAnsi="Calibri" w:cs="Calibri"/>
          <w:sz w:val="24"/>
          <w:szCs w:val="24"/>
          <w:lang w:val="de-DE"/>
        </w:rPr>
      </w:pPr>
      <w:r>
        <w:rPr>
          <w:rFonts w:ascii="Calibri" w:hAnsi="Calibri" w:cs="Calibri"/>
          <w:sz w:val="24"/>
          <w:lang w:val="de-DE"/>
        </w:rPr>
        <w:t xml:space="preserve">Im Bereich der Bewirtschaftung von Abfällen und unter Berücksichtigung des jüngsten wallonischen Abfall-Ressourcen-Plans stammen die Hauptemissionsquellen aus der Behandlung von industriellen und landwirtschaftlichen Abfällen (mit Ausnahme der Verbrennung mit Energierückgewinnung, deren Emissionen in die Verbrennung einbezogen sind), der Kompostierung und der Biogasproduktion. </w:t>
      </w:r>
    </w:p>
    <w:p w:rsidR="000B433A" w:rsidRPr="000F4BEC" w:rsidRDefault="000B433A" w:rsidP="006124BE">
      <w:pPr>
        <w:pStyle w:val="TEXTEI7"/>
        <w:rPr>
          <w:rFonts w:ascii="Calibri" w:hAnsi="Calibri" w:cs="Calibri"/>
          <w:sz w:val="24"/>
          <w:szCs w:val="24"/>
          <w:lang w:val="de-DE"/>
        </w:rPr>
      </w:pPr>
      <w:r>
        <w:rPr>
          <w:rFonts w:ascii="Calibri" w:hAnsi="Calibri" w:cs="Calibri"/>
          <w:sz w:val="24"/>
          <w:lang w:val="de-DE"/>
        </w:rPr>
        <w:t>Die Prognosen basieren auf den folgenden Hypothesen:</w:t>
      </w:r>
    </w:p>
    <w:p w:rsidR="000B433A" w:rsidRDefault="000B433A">
      <w:pPr>
        <w:pStyle w:val="TEXTEI7"/>
        <w:numPr>
          <w:ilvl w:val="0"/>
          <w:numId w:val="18"/>
        </w:numPr>
        <w:rPr>
          <w:rFonts w:ascii="Calibri" w:hAnsi="Calibri" w:cs="Calibri"/>
          <w:sz w:val="24"/>
          <w:szCs w:val="24"/>
          <w:lang w:val="de-DE"/>
        </w:rPr>
      </w:pPr>
      <w:r>
        <w:rPr>
          <w:rFonts w:ascii="Calibri" w:hAnsi="Calibri" w:cs="Calibri"/>
          <w:sz w:val="24"/>
          <w:lang w:val="de-DE"/>
        </w:rPr>
        <w:t>Stabilität der behandelten industriellen und landwirtschaftlichen Abfälle; der Anstieg der Abfälle aufgrund des Wirtschaftswachstums würde durch eine Verringerung der Abfallmenge oder durch eine Zunahme der emissionsfreien Behandlungen von Luftschadstoffen, wie beispielsweise der Wiederverwendung, ausgeglichen;</w:t>
      </w:r>
    </w:p>
    <w:p w:rsidR="000B433A" w:rsidRDefault="000B433A">
      <w:pPr>
        <w:pStyle w:val="TEXTEI7"/>
        <w:numPr>
          <w:ilvl w:val="0"/>
          <w:numId w:val="18"/>
        </w:numPr>
        <w:rPr>
          <w:rFonts w:ascii="Calibri" w:hAnsi="Calibri" w:cs="Calibri"/>
          <w:sz w:val="24"/>
          <w:szCs w:val="24"/>
          <w:lang w:val="de-DE"/>
        </w:rPr>
      </w:pPr>
      <w:r>
        <w:rPr>
          <w:rFonts w:ascii="Calibri" w:hAnsi="Calibri" w:cs="Calibri"/>
          <w:sz w:val="24"/>
          <w:lang w:val="de-DE"/>
        </w:rPr>
        <w:t>Zunahme der kompostierten Abfälle (basierend auf der historischen Tendenz);</w:t>
      </w:r>
    </w:p>
    <w:p w:rsidR="000B433A" w:rsidRDefault="000B433A">
      <w:pPr>
        <w:pStyle w:val="TEXTEI7"/>
        <w:numPr>
          <w:ilvl w:val="0"/>
          <w:numId w:val="18"/>
        </w:numPr>
        <w:rPr>
          <w:rFonts w:ascii="Calibri" w:hAnsi="Calibri" w:cs="Calibri"/>
          <w:sz w:val="24"/>
          <w:szCs w:val="24"/>
          <w:lang w:val="de-DE"/>
        </w:rPr>
      </w:pPr>
      <w:r>
        <w:rPr>
          <w:rFonts w:ascii="Calibri" w:hAnsi="Calibri" w:cs="Calibri"/>
          <w:sz w:val="24"/>
          <w:lang w:val="de-DE"/>
        </w:rPr>
        <w:t>Steigerung der Biogasproduktion (angesichts der zunehmenden Nutzung von Biogas in der Strom- und Wärmeerzeugung sowie im Transport);</w:t>
      </w:r>
    </w:p>
    <w:p w:rsidR="000B433A" w:rsidRDefault="000B433A">
      <w:pPr>
        <w:pStyle w:val="TEXTEI7"/>
        <w:numPr>
          <w:ilvl w:val="0"/>
          <w:numId w:val="18"/>
        </w:numPr>
        <w:rPr>
          <w:rFonts w:ascii="Calibri" w:hAnsi="Calibri" w:cs="Calibri"/>
          <w:sz w:val="24"/>
          <w:szCs w:val="24"/>
          <w:lang w:val="de-DE"/>
        </w:rPr>
      </w:pPr>
      <w:r>
        <w:rPr>
          <w:rFonts w:ascii="Calibri" w:hAnsi="Calibri" w:cs="Calibri"/>
          <w:sz w:val="24"/>
          <w:lang w:val="de-DE"/>
        </w:rPr>
        <w:t>Zunahme der eingeäscherten Körper (basierend auf historischen Tendenzen und Bevölkerungswachstum);</w:t>
      </w:r>
    </w:p>
    <w:p w:rsidR="000B433A" w:rsidRPr="000F4BEC" w:rsidRDefault="000B433A" w:rsidP="006124BE">
      <w:pPr>
        <w:pStyle w:val="TEXTEI7"/>
        <w:rPr>
          <w:rFonts w:ascii="Calibri" w:hAnsi="Calibri" w:cs="Calibri"/>
          <w:sz w:val="24"/>
          <w:szCs w:val="24"/>
          <w:lang w:val="de-DE"/>
        </w:rPr>
      </w:pPr>
      <w:r>
        <w:rPr>
          <w:rFonts w:ascii="Calibri" w:hAnsi="Calibri" w:cs="Calibri"/>
          <w:sz w:val="24"/>
          <w:lang w:val="de-DE"/>
        </w:rPr>
        <w:t>Die Ergebnisse zeigen einen Anstieg der Emissionen von VOC, NH</w:t>
      </w:r>
      <w:r w:rsidRPr="000F4BEC">
        <w:rPr>
          <w:rFonts w:ascii="Calibri" w:hAnsi="Calibri" w:cs="Calibri"/>
          <w:sz w:val="24"/>
          <w:szCs w:val="24"/>
          <w:vertAlign w:val="subscript"/>
          <w:lang w:val="de-DE"/>
        </w:rPr>
        <w:t>3</w:t>
      </w:r>
      <w:r>
        <w:rPr>
          <w:rFonts w:ascii="Calibri" w:hAnsi="Calibri" w:cs="Calibri"/>
          <w:sz w:val="24"/>
          <w:lang w:val="de-DE"/>
        </w:rPr>
        <w:t xml:space="preserve"> und NOx gegenüber 2015 und eine Stabilität oder sogar eine leichte Verringerung der anderen Schadstoffe (siehe Grafiken unten).</w:t>
      </w:r>
    </w:p>
    <w:p w:rsidR="000B433A" w:rsidRPr="000F4BEC" w:rsidRDefault="000B433A" w:rsidP="006124BE">
      <w:pPr>
        <w:pStyle w:val="TEXTEI7"/>
        <w:rPr>
          <w:rFonts w:ascii="Calibri" w:hAnsi="Calibri" w:cs="Calibri"/>
          <w:sz w:val="24"/>
          <w:szCs w:val="24"/>
          <w:lang w:val="de-DE"/>
        </w:rPr>
      </w:pPr>
      <w:r>
        <w:rPr>
          <w:rFonts w:ascii="Calibri" w:hAnsi="Calibri" w:cs="Calibri"/>
          <w:sz w:val="24"/>
          <w:lang w:val="de-DE"/>
        </w:rPr>
        <w:t xml:space="preserve">Die Verbrennung von Grünabfällen aus Parks und Gärten oder landwirtschaftlichen Aktivitäten setzen eine große Menge an unverbrannten Partikeln frei, insbesondere wenn die Pflanzen feucht sind. Diese Partikel enthalten auch krebserregende Verbindungen wie polyzyklische aromatische Kohlenwasserstoffe (PAK) oder Dioxine und Furane. Nach flämischen Schätzungen stammt etwa die Hälfte der Dioxin- und Furanemissionen des Gebiets (aus sämtlichen Quellen) aus der illegalen Verbrennung von Grünabfällen im Freien. </w:t>
      </w:r>
    </w:p>
    <w:p w:rsidR="000B433A" w:rsidRPr="000F4BEC" w:rsidRDefault="000B433A" w:rsidP="006124BE">
      <w:pPr>
        <w:pStyle w:val="TEXTEI7"/>
        <w:rPr>
          <w:rFonts w:ascii="Calibri" w:hAnsi="Calibri" w:cs="Calibri"/>
          <w:sz w:val="24"/>
          <w:szCs w:val="24"/>
          <w:lang w:val="de-DE"/>
        </w:rPr>
      </w:pPr>
      <w:r>
        <w:rPr>
          <w:rFonts w:ascii="Calibri" w:hAnsi="Calibri" w:cs="Calibri"/>
          <w:sz w:val="24"/>
          <w:lang w:val="de-DE"/>
        </w:rPr>
        <w:t xml:space="preserve">Laut einer französischen Studie werden bei der Verbrennung von 50 kg Pflanzen so viele Partikel freigesetzt, wie jene eines neuen mit Benzin betriebenen Autos auf einer Strecke von 18.400 km oder durch die Beheizung eines Hauses mit einer leistungsstarken Holzheizung über einen Zeitraum von 3 Wochen. Die Entsorgung von Pflanzenresten auf einem Containerhof (bei einer angenommenen Fahrtstrecke von 20 km) ist in Hinblick auf die Luftqualität systematisch vorteilhafter als eine Verbrennung vor Ort (ein Verhältnis von 1 zu 25 für die NOx oder 70 zu 920 </w:t>
      </w:r>
      <w:proofErr w:type="gramStart"/>
      <w:r>
        <w:rPr>
          <w:rFonts w:ascii="Calibri" w:hAnsi="Calibri" w:cs="Calibri"/>
          <w:sz w:val="24"/>
          <w:lang w:val="de-DE"/>
        </w:rPr>
        <w:t>mal</w:t>
      </w:r>
      <w:proofErr w:type="gramEnd"/>
      <w:r>
        <w:rPr>
          <w:rFonts w:ascii="Calibri" w:hAnsi="Calibri" w:cs="Calibri"/>
          <w:sz w:val="24"/>
          <w:lang w:val="de-DE"/>
        </w:rPr>
        <w:t xml:space="preserve"> für Feinstaub).</w:t>
      </w:r>
    </w:p>
    <w:p w:rsidR="000B433A" w:rsidRPr="000F4BEC" w:rsidRDefault="000B433A" w:rsidP="006124BE">
      <w:pPr>
        <w:pStyle w:val="TEXTEI7"/>
        <w:rPr>
          <w:rFonts w:ascii="Calibri" w:hAnsi="Calibri" w:cs="Calibri"/>
          <w:sz w:val="24"/>
          <w:szCs w:val="24"/>
          <w:lang w:val="de-DE"/>
        </w:rPr>
      </w:pPr>
      <w:r>
        <w:rPr>
          <w:rFonts w:ascii="Calibri" w:hAnsi="Calibri" w:cs="Calibri"/>
          <w:sz w:val="24"/>
          <w:lang w:val="de-DE"/>
        </w:rPr>
        <w:t xml:space="preserve">Aufgrund mangelnder Kenntnisse über den Bestand an im Freien verbrannten Grünabfällen wurde dieses Reduktionspotenzial in den Prognosen nicht berücksichtigt. </w:t>
      </w:r>
    </w:p>
    <w:p w:rsidR="000B433A" w:rsidRPr="000F4BEC" w:rsidRDefault="000B433A" w:rsidP="006124BE">
      <w:pPr>
        <w:pStyle w:val="TEXTEI7"/>
        <w:rPr>
          <w:rFonts w:ascii="Calibri" w:hAnsi="Calibri" w:cs="Calibri"/>
          <w:sz w:val="24"/>
          <w:szCs w:val="24"/>
          <w:lang w:val="de-DE"/>
        </w:rPr>
      </w:pPr>
    </w:p>
    <w:p w:rsidR="000B433A" w:rsidRPr="00D07F58" w:rsidRDefault="000B433A" w:rsidP="006124BE">
      <w:pPr>
        <w:spacing w:after="160" w:line="259" w:lineRule="auto"/>
        <w:jc w:val="left"/>
        <w:rPr>
          <w:lang w:val="de-DE"/>
        </w:rPr>
      </w:pPr>
    </w:p>
    <w:p w:rsidR="000B433A" w:rsidRDefault="005A6B21" w:rsidP="006124BE">
      <w:pPr>
        <w:spacing w:after="160" w:line="259" w:lineRule="auto"/>
        <w:jc w:val="left"/>
      </w:pPr>
      <w:r>
        <w:pict>
          <v:group id="_x0000_s2012" editas="canvas" style="width:443.5pt;height:182.55pt;mso-position-horizontal-relative:char;mso-position-vertical-relative:line" coordorigin=",-1345" coordsize="8870,3651">
            <o:lock v:ext="edit" aspectratio="t"/>
            <v:shape id="_x0000_s2013" type="#_x0000_t75" style="position:absolute;top:-1345;width:8870;height:3651" o:preferrelative="f">
              <v:fill o:detectmouseclick="t"/>
              <v:path o:extrusionok="t" o:connecttype="none"/>
              <o:lock v:ext="edit" text="t"/>
            </v:shape>
            <v:rect id="_x0000_s2014" style="position:absolute;left:3;top:-1342;width:2957;height:1777" stroked="f"/>
            <v:rect id="_x0000_s2015" style="position:absolute;left:532;top:-924;width:2225;height:1052" stroked="f"/>
            <v:shape id="_x0000_s2016" style="position:absolute;left:535;top:-924;width:2213;height:904" coordsize="2213,904" path="m,898r2213,l2213,904,,904r,-6xm,744r2213,l2213,750,,750r,-6xm,597r2213,l2213,603,,603r,-6xm,449r2213,l2213,455,,455r,-6xm,295r2213,l2213,301,,301r,-6xm,148r2213,l2213,154,,154r,-6xm,l2213,r,6l,6,,xe" fillcolor="#898989" strokecolor="#898989" strokeweight=".3pt">
              <v:stroke joinstyle="bevel"/>
              <v:path arrowok="t"/>
              <o:lock v:ext="edit" verticies="t"/>
            </v:shape>
            <v:shape id="_x0000_s2017" style="position:absolute;left:698;top:-825;width:1887;height:946" coordsize="1887,946" path="m,l221,r,946l,946,,xm553,940r221,l774,946r-221,l553,940xm1106,940r221,l1327,946r-221,l1106,940xm1666,940r221,l1887,946r-221,l1666,940xe" fillcolor="#8fa2d4" stroked="f">
              <v:path arrowok="t"/>
              <o:lock v:ext="edit" verticies="t"/>
            </v:shape>
            <v:rect id="_x0000_s2018" style="position:absolute;left:532;top:-921;width:6;height:1045" fillcolor="#898989" strokecolor="#898989" strokeweight=".3pt">
              <v:stroke joinstyle="bevel"/>
            </v:rect>
            <v:shape id="_x0000_s2019" style="position:absolute;left:504;top:-924;width:31;height:1052" coordsize="31,1052" path="m,1045r31,l31,1052r-31,l,1045xm,898r31,l31,904,,904r,-6xm,744r31,l31,750,,750r,-6xm,597r31,l31,603,,603r,-6xm,449r31,l31,455,,455r,-6xm,295r31,l31,301,,301r,-6xm,148r31,l31,154,,154r,-6xm,l31,r,6l,6,,xe" fillcolor="#898989" strokecolor="#898989" strokeweight=".3pt">
              <v:stroke joinstyle="bevel"/>
              <v:path arrowok="t"/>
              <o:lock v:ext="edit" verticies="t"/>
            </v:shape>
            <v:rect id="_x0000_s2020" style="position:absolute;left:535;top:121;width:2213;height:7" fillcolor="#898989" strokecolor="#898989" strokeweight=".3pt">
              <v:stroke joinstyle="bevel"/>
            </v:rect>
            <v:shape id="_x0000_s2021" style="position:absolute;left:532;top:124;width:2219;height:25" coordsize="2219,25" path="m6,r,25l,25,,,6,xm559,r,25l553,25,553,r6,xm1112,r,25l1106,25r,-25l1112,xm1666,r,25l1659,25r,-25l1666,xm2219,r,25l2213,25r,-25l2219,xe" fillcolor="#898989" strokecolor="#898989" strokeweight=".3pt">
              <v:stroke joinstyle="bevel"/>
              <v:path arrowok="t"/>
              <o:lock v:ext="edit" verticies="t"/>
            </v:shape>
            <v:rect id="_x0000_s2022" style="position:absolute;left:414;top:78;width:41;height:232;mso-wrap-style:none" filled="f" stroked="f">
              <v:textbox style="mso-fit-shape-to-text:t" inset="0,0,0,0">
                <w:txbxContent>
                  <w:p w:rsidR="000B433A" w:rsidRDefault="000B433A">
                    <w:r>
                      <w:rPr>
                        <w:rFonts w:cs="Calibri"/>
                        <w:color w:val="000000"/>
                        <w:sz w:val="8"/>
                        <w:szCs w:val="8"/>
                        <w:lang w:val="en-US"/>
                      </w:rPr>
                      <w:t>0</w:t>
                    </w:r>
                  </w:p>
                </w:txbxContent>
              </v:textbox>
            </v:rect>
            <v:rect id="_x0000_s2023" style="position:absolute;left:330;top:-72;width:122;height:232;mso-wrap-style:none" filled="f" stroked="f">
              <v:textbox style="mso-fit-shape-to-text:t" inset="0,0,0,0">
                <w:txbxContent>
                  <w:p w:rsidR="000B433A" w:rsidRDefault="000B433A">
                    <w:r>
                      <w:rPr>
                        <w:rFonts w:cs="Calibri"/>
                        <w:color w:val="000000"/>
                        <w:sz w:val="8"/>
                        <w:szCs w:val="8"/>
                        <w:lang w:val="en-US"/>
                      </w:rPr>
                      <w:t>200</w:t>
                    </w:r>
                  </w:p>
                </w:txbxContent>
              </v:textbox>
            </v:rect>
            <v:rect id="_x0000_s2024" style="position:absolute;left:330;top:-221;width:122;height:232;mso-wrap-style:none" filled="f" stroked="f">
              <v:textbox style="mso-fit-shape-to-text:t" inset="0,0,0,0">
                <w:txbxContent>
                  <w:p w:rsidR="000B433A" w:rsidRDefault="000B433A">
                    <w:r>
                      <w:rPr>
                        <w:rFonts w:cs="Calibri"/>
                        <w:color w:val="000000"/>
                        <w:sz w:val="8"/>
                        <w:szCs w:val="8"/>
                        <w:lang w:val="en-US"/>
                      </w:rPr>
                      <w:t>400</w:t>
                    </w:r>
                  </w:p>
                </w:txbxContent>
              </v:textbox>
            </v:rect>
            <v:rect id="_x0000_s2025" style="position:absolute;left:330;top:-371;width:122;height:232;mso-wrap-style:none" filled="f" stroked="f">
              <v:textbox style="mso-fit-shape-to-text:t" inset="0,0,0,0">
                <w:txbxContent>
                  <w:p w:rsidR="000B433A" w:rsidRDefault="000B433A">
                    <w:r>
                      <w:rPr>
                        <w:rFonts w:cs="Calibri"/>
                        <w:color w:val="000000"/>
                        <w:sz w:val="8"/>
                        <w:szCs w:val="8"/>
                        <w:lang w:val="en-US"/>
                      </w:rPr>
                      <w:t>600</w:t>
                    </w:r>
                  </w:p>
                </w:txbxContent>
              </v:textbox>
            </v:rect>
            <v:rect id="_x0000_s2026" style="position:absolute;left:330;top:-520;width:122;height:232;mso-wrap-style:none" filled="f" stroked="f">
              <v:textbox style="mso-fit-shape-to-text:t" inset="0,0,0,0">
                <w:txbxContent>
                  <w:p w:rsidR="000B433A" w:rsidRDefault="000B433A">
                    <w:r>
                      <w:rPr>
                        <w:rFonts w:cs="Calibri"/>
                        <w:color w:val="000000"/>
                        <w:sz w:val="8"/>
                        <w:szCs w:val="8"/>
                        <w:lang w:val="en-US"/>
                      </w:rPr>
                      <w:t>800</w:t>
                    </w:r>
                  </w:p>
                </w:txbxContent>
              </v:textbox>
            </v:rect>
            <v:rect id="_x0000_s2027" style="position:absolute;left:275;top:-670;width:181;height:232;mso-wrap-style:none" filled="f" stroked="f">
              <v:textbox style="mso-fit-shape-to-text:t" inset="0,0,0,0">
                <w:txbxContent>
                  <w:p w:rsidR="000B433A" w:rsidRDefault="000B433A">
                    <w:r>
                      <w:rPr>
                        <w:rFonts w:cs="Calibri"/>
                        <w:color w:val="000000"/>
                        <w:sz w:val="8"/>
                        <w:szCs w:val="8"/>
                        <w:lang w:val="en-US"/>
                      </w:rPr>
                      <w:t>1 000</w:t>
                    </w:r>
                  </w:p>
                </w:txbxContent>
              </v:textbox>
            </v:rect>
            <v:rect id="_x0000_s2028" style="position:absolute;left:275;top:-818;width:181;height:232;mso-wrap-style:none" filled="f" stroked="f">
              <v:textbox style="mso-fit-shape-to-text:t" inset="0,0,0,0">
                <w:txbxContent>
                  <w:p w:rsidR="000B433A" w:rsidRDefault="000B433A">
                    <w:r>
                      <w:rPr>
                        <w:rFonts w:cs="Calibri"/>
                        <w:color w:val="000000"/>
                        <w:sz w:val="8"/>
                        <w:szCs w:val="8"/>
                        <w:lang w:val="en-US"/>
                      </w:rPr>
                      <w:t>1 200</w:t>
                    </w:r>
                  </w:p>
                </w:txbxContent>
              </v:textbox>
            </v:rect>
            <v:rect id="_x0000_s2029" style="position:absolute;left:275;top:-969;width:181;height:232;mso-wrap-style:none" filled="f" stroked="f">
              <v:textbox style="mso-fit-shape-to-text:t" inset="0,0,0,0">
                <w:txbxContent>
                  <w:p w:rsidR="000B433A" w:rsidRDefault="000B433A">
                    <w:r>
                      <w:rPr>
                        <w:rFonts w:cs="Calibri"/>
                        <w:color w:val="000000"/>
                        <w:sz w:val="8"/>
                        <w:szCs w:val="8"/>
                        <w:lang w:val="en-US"/>
                      </w:rPr>
                      <w:t>1 400</w:t>
                    </w:r>
                  </w:p>
                </w:txbxContent>
              </v:textbox>
            </v:rect>
            <v:rect id="_x0000_s2030" style="position:absolute;left:726;top:185;width:163;height:232;mso-wrap-style:none" filled="f" stroked="f">
              <v:textbox style="mso-fit-shape-to-text:t" inset="0,0,0,0">
                <w:txbxContent>
                  <w:p w:rsidR="000B433A" w:rsidRDefault="000B433A">
                    <w:r>
                      <w:rPr>
                        <w:rFonts w:cs="Calibri"/>
                        <w:color w:val="000000"/>
                        <w:sz w:val="8"/>
                        <w:szCs w:val="8"/>
                        <w:lang w:val="en-US"/>
                      </w:rPr>
                      <w:t>2005</w:t>
                    </w:r>
                  </w:p>
                </w:txbxContent>
              </v:textbox>
            </v:rect>
            <v:rect id="_x0000_s2031" style="position:absolute;left:1280;top:185;width:163;height:232;mso-wrap-style:none" filled="f" stroked="f">
              <v:textbox style="mso-fit-shape-to-text:t" inset="0,0,0,0">
                <w:txbxContent>
                  <w:p w:rsidR="000B433A" w:rsidRDefault="000B433A">
                    <w:r>
                      <w:rPr>
                        <w:rFonts w:cs="Calibri"/>
                        <w:color w:val="000000"/>
                        <w:sz w:val="8"/>
                        <w:szCs w:val="8"/>
                        <w:lang w:val="en-US"/>
                      </w:rPr>
                      <w:t>2015</w:t>
                    </w:r>
                  </w:p>
                </w:txbxContent>
              </v:textbox>
            </v:rect>
            <v:rect id="_x0000_s2032" style="position:absolute;left:1736;top:185;width:359;height:232;mso-wrap-style:none" filled="f" stroked="f">
              <v:textbox style="mso-fit-shape-to-text:t" inset="0,0,0,0">
                <w:txbxContent>
                  <w:p w:rsidR="000B433A" w:rsidRDefault="000B433A">
                    <w:r>
                      <w:rPr>
                        <w:rFonts w:cs="Calibri"/>
                        <w:color w:val="000000"/>
                        <w:sz w:val="8"/>
                        <w:szCs w:val="8"/>
                        <w:lang w:val="en-US"/>
                      </w:rPr>
                      <w:t>2030 WEM</w:t>
                    </w:r>
                  </w:p>
                </w:txbxContent>
              </v:textbox>
            </v:rect>
            <v:rect id="_x0000_s2033" style="position:absolute;left:2284;top:185;width:367;height:232;mso-wrap-style:none" filled="f" stroked="f">
              <v:textbox style="mso-fit-shape-to-text:t" inset="0,0,0,0">
                <w:txbxContent>
                  <w:p w:rsidR="000B433A" w:rsidRDefault="000B433A">
                    <w:r>
                      <w:rPr>
                        <w:rFonts w:cs="Calibri"/>
                        <w:color w:val="000000"/>
                        <w:sz w:val="8"/>
                        <w:szCs w:val="8"/>
                        <w:lang w:val="en-US"/>
                      </w:rPr>
                      <w:t>2030 WAM</w:t>
                    </w:r>
                  </w:p>
                </w:txbxContent>
              </v:textbox>
            </v:rect>
            <v:rect id="_x0000_s2034" style="position:absolute;left:230;top:-303;width:45;height:148;mso-wrap-style:none" filled="f" stroked="f">
              <v:textbox style="mso-fit-shape-to-text:t" inset="0,0,0,0">
                <w:txbxContent>
                  <w:p w:rsidR="000B433A" w:rsidRDefault="000B433A">
                    <w:proofErr w:type="gramStart"/>
                    <w:r>
                      <w:rPr>
                        <w:rFonts w:cs="Calibri"/>
                        <w:b/>
                        <w:bCs/>
                        <w:color w:val="000000"/>
                        <w:sz w:val="2"/>
                        <w:szCs w:val="2"/>
                        <w:lang w:val="en-US"/>
                      </w:rPr>
                      <w:t>t</w:t>
                    </w:r>
                    <w:proofErr w:type="gramEnd"/>
                    <w:r>
                      <w:rPr>
                        <w:rFonts w:cs="Calibri"/>
                        <w:b/>
                        <w:bCs/>
                        <w:color w:val="000000"/>
                        <w:sz w:val="2"/>
                        <w:szCs w:val="2"/>
                        <w:lang w:val="en-US"/>
                      </w:rPr>
                      <w:t xml:space="preserve"> SO2</w:t>
                    </w:r>
                  </w:p>
                </w:txbxContent>
              </v:textbox>
            </v:rect>
            <v:rect id="_x0000_s2035" style="position:absolute;left:535;top:-1277;width:1880;height:317;mso-wrap-style:none" filled="f" stroked="f">
              <v:textbox style="mso-fit-shape-to-text:t" inset="0,0,0,0">
                <w:txbxContent>
                  <w:p w:rsidR="000B433A" w:rsidRPr="00442307" w:rsidRDefault="000B433A">
                    <w:pPr>
                      <w:rPr>
                        <w:lang w:val="de-DE"/>
                      </w:rPr>
                    </w:pPr>
                    <w:r w:rsidRPr="00442307">
                      <w:rPr>
                        <w:rFonts w:cs="Calibri"/>
                        <w:b/>
                        <w:bCs/>
                        <w:color w:val="000000"/>
                        <w:sz w:val="14"/>
                        <w:szCs w:val="14"/>
                        <w:lang w:val="de-DE"/>
                      </w:rPr>
                      <w:t>Entwicklung der SO</w:t>
                    </w:r>
                    <w:r w:rsidRPr="00442307">
                      <w:rPr>
                        <w:rFonts w:cs="Calibri"/>
                        <w:b/>
                        <w:bCs/>
                        <w:color w:val="000000"/>
                        <w:sz w:val="10"/>
                        <w:szCs w:val="10"/>
                        <w:lang w:val="de-DE"/>
                      </w:rPr>
                      <w:t>2</w:t>
                    </w:r>
                    <w:r>
                      <w:rPr>
                        <w:rFonts w:cs="Calibri"/>
                        <w:b/>
                        <w:bCs/>
                        <w:color w:val="000000"/>
                        <w:sz w:val="14"/>
                        <w:szCs w:val="14"/>
                        <w:lang w:val="de-DE"/>
                      </w:rPr>
                      <w:t>-Emissionen</w:t>
                    </w:r>
                  </w:p>
                </w:txbxContent>
              </v:textbox>
            </v:rect>
            <v:rect id="_x0000_s2036" style="position:absolute;left:775;top:-1099;width:362;height:317;mso-wrap-style:none" filled="f" stroked="f">
              <v:textbox style="mso-fit-shape-to-text:t" inset="0,0,0,0">
                <w:txbxContent>
                  <w:p w:rsidR="000B433A" w:rsidRDefault="000B433A">
                    <w:r>
                      <w:rPr>
                        <w:rFonts w:cs="Calibri"/>
                        <w:b/>
                        <w:bCs/>
                        <w:color w:val="000000"/>
                        <w:sz w:val="14"/>
                        <w:szCs w:val="14"/>
                        <w:lang w:val="en-US"/>
                      </w:rPr>
                      <w:t>(WEM</w:t>
                    </w:r>
                  </w:p>
                </w:txbxContent>
              </v:textbox>
            </v:rect>
            <v:rect id="_x0000_s2037" style="position:absolute;left:1162;top:-1099;width:43;height:317;mso-wrap-style:none" filled="f" stroked="f">
              <v:textbox style="mso-fit-shape-to-text:t" inset="0,0,0,0">
                <w:txbxContent>
                  <w:p w:rsidR="000B433A" w:rsidRDefault="000B433A">
                    <w:r>
                      <w:rPr>
                        <w:rFonts w:cs="Calibri"/>
                        <w:b/>
                        <w:bCs/>
                        <w:color w:val="000000"/>
                        <w:sz w:val="14"/>
                        <w:szCs w:val="14"/>
                        <w:lang w:val="en-US"/>
                      </w:rPr>
                      <w:t>-</w:t>
                    </w:r>
                  </w:p>
                </w:txbxContent>
              </v:textbox>
            </v:rect>
            <v:rect id="_x0000_s2038" style="position:absolute;left:1205;top:-1099;width:378;height:317;mso-wrap-style:none" filled="f" stroked="f">
              <v:textbox style="mso-fit-shape-to-text:t" inset="0,0,0,0">
                <w:txbxContent>
                  <w:p w:rsidR="000B433A" w:rsidRDefault="000B433A">
                    <w:r>
                      <w:rPr>
                        <w:rFonts w:cs="Calibri"/>
                        <w:b/>
                        <w:bCs/>
                        <w:color w:val="000000"/>
                        <w:sz w:val="14"/>
                        <w:szCs w:val="14"/>
                        <w:lang w:val="en-US"/>
                      </w:rPr>
                      <w:t xml:space="preserve">WAM) </w:t>
                    </w:r>
                  </w:p>
                </w:txbxContent>
              </v:textbox>
            </v:rect>
            <v:rect id="_x0000_s2039" style="position:absolute;left:1623;top:-1099;width:43;height:317;mso-wrap-style:none" filled="f" stroked="f">
              <v:textbox style="mso-fit-shape-to-text:t" inset="0,0,0,0">
                <w:txbxContent>
                  <w:p w:rsidR="000B433A" w:rsidRDefault="000B433A">
                    <w:r>
                      <w:rPr>
                        <w:rFonts w:cs="Calibri"/>
                        <w:b/>
                        <w:bCs/>
                        <w:color w:val="000000"/>
                        <w:sz w:val="14"/>
                        <w:szCs w:val="14"/>
                        <w:lang w:val="en-US"/>
                      </w:rPr>
                      <w:t>-</w:t>
                    </w:r>
                  </w:p>
                </w:txbxContent>
              </v:textbox>
            </v:rect>
            <v:rect id="_x0000_s2040" style="position:absolute;left:1697;top:-1099;width:413;height:773;mso-wrap-style:none" filled="f" stroked="f">
              <v:textbox style="mso-fit-shape-to-text:t" inset="0,0,0,0">
                <w:txbxContent>
                  <w:p w:rsidR="000B433A" w:rsidRDefault="000B433A" w:rsidP="00E35BAB">
                    <w:r>
                      <w:rPr>
                        <w:rFonts w:cs="Calibri"/>
                        <w:b/>
                        <w:bCs/>
                        <w:color w:val="000000"/>
                        <w:sz w:val="14"/>
                        <w:szCs w:val="14"/>
                        <w:lang w:val="en-US"/>
                      </w:rPr>
                      <w:t>Abfälle</w:t>
                    </w:r>
                  </w:p>
                  <w:p w:rsidR="000B433A" w:rsidRPr="00E35BAB" w:rsidRDefault="000B433A" w:rsidP="00E35BAB"/>
                </w:txbxContent>
              </v:textbox>
            </v:rect>
            <v:shape id="_x0000_s2041" style="position:absolute;left:3;top:-1342;width:2957;height:1777" coordsize="7696,4624" path="m,8hdc,4,4,,8,hal7688,hdc7693,,7696,4,7696,8hal7696,4616hdc7696,4621,7693,4624,7688,4624hal8,4624hdc4,4624,,4621,,4616hal,8hdxm16,4616hal8,4608r7680,l7680,4616,7680,8r8,8l8,16,16,8r,4608hdxe" fillcolor="#898989" strokecolor="#898989" strokeweight="0">
              <v:path arrowok="t"/>
              <o:lock v:ext="edit" verticies="t"/>
            </v:shape>
            <v:rect id="_x0000_s2042" style="position:absolute;left:1441;top:435;width:2957;height:1777" stroked="f"/>
            <v:rect id="_x0000_s2043" style="position:absolute;left:2013;top:835;width:2188;height:1069" stroked="f"/>
            <v:shape id="_x0000_s2044" style="position:absolute;left:2010;top:835;width:2182;height:805" coordsize="2182,805" path="m,799r2182,l2182,805,,805r,-6xm,528r2182,l2182,535,,535r,-7xm,264r2182,l2182,270,,270r,-6xm,l2182,r,6l,6,,xe" fillcolor="#898989" strokecolor="#898989" strokeweight=".3pt">
              <v:stroke joinstyle="bevel"/>
              <v:path arrowok="t"/>
              <o:lock v:ext="edit" verticies="t"/>
            </v:shape>
            <v:shape id="_x0000_s2045" style="position:absolute;left:2179;top:964;width:1850;height:934" coordsize="1850,934" path="m,l215,r,934l,934,,xm541,787r221,l762,934r-221,l541,787xm1088,436r221,l1309,934r-221,l1088,436xm1635,436r215,l1850,934r-215,l1635,436xe" fillcolor="#8fa2d4" stroked="f">
              <v:path arrowok="t"/>
              <o:lock v:ext="edit" verticies="t"/>
            </v:shape>
            <v:rect id="_x0000_s2046" style="position:absolute;left:2007;top:838;width:6;height:1063" fillcolor="#898989" strokecolor="#898989" strokeweight=".3pt">
              <v:stroke joinstyle="bevel"/>
            </v:rect>
            <v:shape id="_x0000_s2047" style="position:absolute;left:1985;top:835;width:25;height:1069" coordsize="25,1069" path="m,1063r25,l25,1069r-25,l,1063xm,799r25,l25,805,,805r,-6xm,528r25,l25,535,,535r,-7xm,264r25,l25,270,,270r,-6xm,l25,r,6l,6,,xe" fillcolor="#898989" strokecolor="#898989" strokeweight=".3pt">
              <v:stroke joinstyle="bevel"/>
              <v:path arrowok="t"/>
              <o:lock v:ext="edit" verticies="t"/>
            </v:shape>
            <v:rect id="_x0000_s3072" style="position:absolute;left:2010;top:1898;width:2182;height:6" fillcolor="#898989" strokecolor="#898989" strokeweight=".3pt">
              <v:stroke joinstyle="bevel"/>
            </v:rect>
            <v:shape id="_x0000_s3073" style="position:absolute;left:2007;top:1901;width:2188;height:25" coordsize="2188,25" path="m6,r,25l,25,,,6,xm553,r,25l547,25,547,r6,xm1100,r,25l1094,25r,-25l1100,xm1647,r,25l1641,25r,-25l1647,xm2188,r,25l2182,25r,-25l2188,xe" fillcolor="#898989" strokecolor="#898989" strokeweight=".3pt">
              <v:stroke joinstyle="bevel"/>
              <v:path arrowok="t"/>
              <o:lock v:ext="edit" verticies="t"/>
            </v:shape>
            <v:rect id="_x0000_s3074" style="position:absolute;left:1894;top:1855;width:41;height:232;mso-wrap-style:none" filled="f" stroked="f">
              <v:textbox style="mso-fit-shape-to-text:t" inset="0,0,0,0">
                <w:txbxContent>
                  <w:p w:rsidR="000B433A" w:rsidRDefault="000B433A">
                    <w:r>
                      <w:rPr>
                        <w:rFonts w:cs="Calibri"/>
                        <w:color w:val="000000"/>
                        <w:sz w:val="8"/>
                        <w:szCs w:val="8"/>
                        <w:lang w:val="en-US"/>
                      </w:rPr>
                      <w:t>0</w:t>
                    </w:r>
                  </w:p>
                </w:txbxContent>
              </v:textbox>
            </v:rect>
            <v:rect id="_x0000_s3075" style="position:absolute;left:1855;top:1589;width:82;height:232;mso-wrap-style:none" filled="f" stroked="f">
              <v:textbox style="mso-fit-shape-to-text:t" inset="0,0,0,0">
                <w:txbxContent>
                  <w:p w:rsidR="000B433A" w:rsidRDefault="000B433A">
                    <w:r>
                      <w:rPr>
                        <w:rFonts w:cs="Calibri"/>
                        <w:color w:val="000000"/>
                        <w:sz w:val="8"/>
                        <w:szCs w:val="8"/>
                        <w:lang w:val="en-US"/>
                      </w:rPr>
                      <w:t>50</w:t>
                    </w:r>
                  </w:p>
                </w:txbxContent>
              </v:textbox>
            </v:rect>
            <v:rect id="_x0000_s3076" style="position:absolute;left:1810;top:1323;width:122;height:232;mso-wrap-style:none" filled="f" stroked="f">
              <v:textbox style="mso-fit-shape-to-text:t" inset="0,0,0,0">
                <w:txbxContent>
                  <w:p w:rsidR="000B433A" w:rsidRDefault="000B433A">
                    <w:r>
                      <w:rPr>
                        <w:rFonts w:cs="Calibri"/>
                        <w:color w:val="000000"/>
                        <w:sz w:val="8"/>
                        <w:szCs w:val="8"/>
                        <w:lang w:val="en-US"/>
                      </w:rPr>
                      <w:t>100</w:t>
                    </w:r>
                  </w:p>
                </w:txbxContent>
              </v:textbox>
            </v:rect>
            <v:rect id="_x0000_s3077" style="position:absolute;left:1810;top:1057;width:122;height:232;mso-wrap-style:none" filled="f" stroked="f">
              <v:textbox style="mso-fit-shape-to-text:t" inset="0,0,0,0">
                <w:txbxContent>
                  <w:p w:rsidR="000B433A" w:rsidRDefault="000B433A">
                    <w:r>
                      <w:rPr>
                        <w:rFonts w:cs="Calibri"/>
                        <w:color w:val="000000"/>
                        <w:sz w:val="8"/>
                        <w:szCs w:val="8"/>
                        <w:lang w:val="en-US"/>
                      </w:rPr>
                      <w:t>150</w:t>
                    </w:r>
                  </w:p>
                </w:txbxContent>
              </v:textbox>
            </v:rect>
            <v:rect id="_x0000_s3078" style="position:absolute;left:1810;top:793;width:122;height:232;mso-wrap-style:none" filled="f" stroked="f">
              <v:textbox style="mso-fit-shape-to-text:t" inset="0,0,0,0">
                <w:txbxContent>
                  <w:p w:rsidR="000B433A" w:rsidRDefault="000B433A">
                    <w:r>
                      <w:rPr>
                        <w:rFonts w:cs="Calibri"/>
                        <w:color w:val="000000"/>
                        <w:sz w:val="8"/>
                        <w:szCs w:val="8"/>
                        <w:lang w:val="en-US"/>
                      </w:rPr>
                      <w:t>200</w:t>
                    </w:r>
                  </w:p>
                </w:txbxContent>
              </v:textbox>
            </v:rect>
            <v:rect id="_x0000_s3079" style="position:absolute;left:2200;top:1961;width:163;height:232;mso-wrap-style:none" filled="f" stroked="f">
              <v:textbox style="mso-fit-shape-to-text:t" inset="0,0,0,0">
                <w:txbxContent>
                  <w:p w:rsidR="000B433A" w:rsidRDefault="000B433A">
                    <w:r>
                      <w:rPr>
                        <w:rFonts w:cs="Calibri"/>
                        <w:color w:val="000000"/>
                        <w:sz w:val="8"/>
                        <w:szCs w:val="8"/>
                        <w:lang w:val="en-US"/>
                      </w:rPr>
                      <w:t>2005</w:t>
                    </w:r>
                  </w:p>
                </w:txbxContent>
              </v:textbox>
            </v:rect>
            <v:rect id="_x0000_s3080" style="position:absolute;left:2746;top:1961;width:163;height:232;mso-wrap-style:none" filled="f" stroked="f">
              <v:textbox style="mso-fit-shape-to-text:t" inset="0,0,0,0">
                <w:txbxContent>
                  <w:p w:rsidR="000B433A" w:rsidRDefault="000B433A">
                    <w:r>
                      <w:rPr>
                        <w:rFonts w:cs="Calibri"/>
                        <w:color w:val="000000"/>
                        <w:sz w:val="8"/>
                        <w:szCs w:val="8"/>
                        <w:lang w:val="en-US"/>
                      </w:rPr>
                      <w:t>2015</w:t>
                    </w:r>
                  </w:p>
                </w:txbxContent>
              </v:textbox>
            </v:rect>
            <v:rect id="_x0000_s3081" style="position:absolute;left:3199;top:1961;width:359;height:232;mso-wrap-style:none" filled="f" stroked="f">
              <v:textbox style="mso-fit-shape-to-text:t" inset="0,0,0,0">
                <w:txbxContent>
                  <w:p w:rsidR="000B433A" w:rsidRDefault="000B433A">
                    <w:r>
                      <w:rPr>
                        <w:rFonts w:cs="Calibri"/>
                        <w:color w:val="000000"/>
                        <w:sz w:val="8"/>
                        <w:szCs w:val="8"/>
                        <w:lang w:val="en-US"/>
                      </w:rPr>
                      <w:t>2030 WEM</w:t>
                    </w:r>
                  </w:p>
                </w:txbxContent>
              </v:textbox>
            </v:rect>
            <v:rect id="_x0000_s3082" style="position:absolute;left:3739;top:1961;width:367;height:232;mso-wrap-style:none" filled="f" stroked="f">
              <v:textbox style="mso-fit-shape-to-text:t" inset="0,0,0,0">
                <w:txbxContent>
                  <w:p w:rsidR="000B433A" w:rsidRDefault="000B433A">
                    <w:r>
                      <w:rPr>
                        <w:rFonts w:cs="Calibri"/>
                        <w:color w:val="000000"/>
                        <w:sz w:val="8"/>
                        <w:szCs w:val="8"/>
                        <w:lang w:val="en-US"/>
                      </w:rPr>
                      <w:t>2030 WAM</w:t>
                    </w:r>
                  </w:p>
                </w:txbxContent>
              </v:textbox>
            </v:rect>
            <v:rect id="_x0000_s3083" style="position:absolute;left:1770;top:1465;width:45;height:148;mso-wrap-style:none" filled="f" stroked="f">
              <v:textbox style="mso-fit-shape-to-text:t" inset="0,0,0,0">
                <w:txbxContent>
                  <w:p w:rsidR="000B433A" w:rsidRDefault="000B433A">
                    <w:proofErr w:type="gramStart"/>
                    <w:r>
                      <w:rPr>
                        <w:rFonts w:cs="Calibri"/>
                        <w:b/>
                        <w:bCs/>
                        <w:color w:val="000000"/>
                        <w:sz w:val="2"/>
                        <w:szCs w:val="2"/>
                        <w:lang w:val="en-US"/>
                      </w:rPr>
                      <w:t>t</w:t>
                    </w:r>
                    <w:proofErr w:type="gramEnd"/>
                    <w:r>
                      <w:rPr>
                        <w:rFonts w:cs="Calibri"/>
                        <w:b/>
                        <w:bCs/>
                        <w:color w:val="000000"/>
                        <w:sz w:val="2"/>
                        <w:szCs w:val="2"/>
                        <w:lang w:val="en-US"/>
                      </w:rPr>
                      <w:t xml:space="preserve"> Nox</w:t>
                    </w:r>
                  </w:p>
                </w:txbxContent>
              </v:textbox>
            </v:rect>
            <v:rect id="_x0000_s3084" style="position:absolute;left:1961;top:500;width:1901;height:317;mso-wrap-style:none" filled="f" stroked="f">
              <v:textbox style="mso-fit-shape-to-text:t" inset="0,0,0,0">
                <w:txbxContent>
                  <w:p w:rsidR="000B433A" w:rsidRDefault="000B433A">
                    <w:r w:rsidRPr="00442307">
                      <w:rPr>
                        <w:rFonts w:cs="Calibri"/>
                        <w:b/>
                        <w:bCs/>
                        <w:color w:val="000000"/>
                        <w:sz w:val="14"/>
                        <w:szCs w:val="14"/>
                        <w:lang w:val="de-DE"/>
                      </w:rPr>
                      <w:t xml:space="preserve">Entwicklung der </w:t>
                    </w:r>
                    <w:r>
                      <w:rPr>
                        <w:rFonts w:cs="Calibri"/>
                        <w:b/>
                        <w:bCs/>
                        <w:color w:val="000000"/>
                        <w:sz w:val="14"/>
                        <w:szCs w:val="14"/>
                        <w:lang w:val="en-US"/>
                      </w:rPr>
                      <w:t>NO</w:t>
                    </w:r>
                    <w:r w:rsidRPr="00886807">
                      <w:rPr>
                        <w:rFonts w:cs="Calibri"/>
                        <w:b/>
                        <w:bCs/>
                        <w:color w:val="000000"/>
                        <w:sz w:val="10"/>
                        <w:szCs w:val="10"/>
                        <w:lang w:val="en-US"/>
                      </w:rPr>
                      <w:t>x</w:t>
                    </w:r>
                    <w:r>
                      <w:rPr>
                        <w:rFonts w:cs="Calibri"/>
                        <w:b/>
                        <w:bCs/>
                        <w:color w:val="000000"/>
                        <w:sz w:val="14"/>
                        <w:szCs w:val="14"/>
                        <w:lang w:val="en-US"/>
                      </w:rPr>
                      <w:t>-Emissionen</w:t>
                    </w:r>
                  </w:p>
                </w:txbxContent>
              </v:textbox>
            </v:rect>
            <v:rect id="_x0000_s3085" style="position:absolute;left:2213;top:678;width:362;height:317;mso-wrap-style:none" filled="f" stroked="f">
              <v:textbox style="mso-fit-shape-to-text:t" inset="0,0,0,0">
                <w:txbxContent>
                  <w:p w:rsidR="000B433A" w:rsidRDefault="000B433A">
                    <w:r>
                      <w:rPr>
                        <w:rFonts w:cs="Calibri"/>
                        <w:b/>
                        <w:bCs/>
                        <w:color w:val="000000"/>
                        <w:sz w:val="14"/>
                        <w:szCs w:val="14"/>
                        <w:lang w:val="en-US"/>
                      </w:rPr>
                      <w:t>(WEM</w:t>
                    </w:r>
                  </w:p>
                </w:txbxContent>
              </v:textbox>
            </v:rect>
            <v:rect id="_x0000_s3086" style="position:absolute;left:2600;top:678;width:43;height:317;mso-wrap-style:none" filled="f" stroked="f">
              <v:textbox style="mso-fit-shape-to-text:t" inset="0,0,0,0">
                <w:txbxContent>
                  <w:p w:rsidR="000B433A" w:rsidRDefault="000B433A">
                    <w:r>
                      <w:rPr>
                        <w:rFonts w:cs="Calibri"/>
                        <w:b/>
                        <w:bCs/>
                        <w:color w:val="000000"/>
                        <w:sz w:val="14"/>
                        <w:szCs w:val="14"/>
                        <w:lang w:val="en-US"/>
                      </w:rPr>
                      <w:t>-</w:t>
                    </w:r>
                  </w:p>
                </w:txbxContent>
              </v:textbox>
            </v:rect>
            <v:rect id="_x0000_s3087" style="position:absolute;left:2643;top:678;width:378;height:317;mso-wrap-style:none" filled="f" stroked="f">
              <v:textbox style="mso-fit-shape-to-text:t" inset="0,0,0,0">
                <w:txbxContent>
                  <w:p w:rsidR="000B433A" w:rsidRDefault="000B433A">
                    <w:r>
                      <w:rPr>
                        <w:rFonts w:cs="Calibri"/>
                        <w:b/>
                        <w:bCs/>
                        <w:color w:val="000000"/>
                        <w:sz w:val="14"/>
                        <w:szCs w:val="14"/>
                        <w:lang w:val="en-US"/>
                      </w:rPr>
                      <w:t xml:space="preserve">WAM) </w:t>
                    </w:r>
                  </w:p>
                </w:txbxContent>
              </v:textbox>
            </v:rect>
            <v:rect id="_x0000_s3088" style="position:absolute;left:3061;top:678;width:43;height:317;mso-wrap-style:none" filled="f" stroked="f">
              <v:textbox style="mso-fit-shape-to-text:t" inset="0,0,0,0">
                <w:txbxContent>
                  <w:p w:rsidR="000B433A" w:rsidRDefault="000B433A">
                    <w:r>
                      <w:rPr>
                        <w:rFonts w:cs="Calibri"/>
                        <w:b/>
                        <w:bCs/>
                        <w:color w:val="000000"/>
                        <w:sz w:val="14"/>
                        <w:szCs w:val="14"/>
                        <w:lang w:val="en-US"/>
                      </w:rPr>
                      <w:t>-</w:t>
                    </w:r>
                  </w:p>
                </w:txbxContent>
              </v:textbox>
            </v:rect>
            <v:rect id="_x0000_s3089" style="position:absolute;left:3135;top:678;width:413;height:773;mso-wrap-style:none" filled="f" stroked="f">
              <v:textbox style="mso-fit-shape-to-text:t" inset="0,0,0,0">
                <w:txbxContent>
                  <w:p w:rsidR="000B433A" w:rsidRDefault="000B433A" w:rsidP="00E35BAB">
                    <w:r>
                      <w:rPr>
                        <w:rFonts w:cs="Calibri"/>
                        <w:b/>
                        <w:bCs/>
                        <w:color w:val="000000"/>
                        <w:sz w:val="14"/>
                        <w:szCs w:val="14"/>
                        <w:lang w:val="en-US"/>
                      </w:rPr>
                      <w:t>Abfälle</w:t>
                    </w:r>
                  </w:p>
                  <w:p w:rsidR="000B433A" w:rsidRPr="00E35BAB" w:rsidRDefault="000B433A" w:rsidP="00E35BAB"/>
                </w:txbxContent>
              </v:textbox>
            </v:rect>
            <v:shape id="_x0000_s3090" style="position:absolute;left:1441;top:435;width:2957;height:1777" coordsize="7696,4624" path="m,8hdc,4,4,,8,hal7688,hdc7693,,7696,4,7696,8hal7696,4616hdc7696,4621,7693,4624,7688,4624hal8,4624hdc4,4624,,4621,,4616hal,8hdxm16,4616hal8,4608r7680,l7680,4616,7680,8r8,8l8,16,16,8r,4608hdxe" fillcolor="#898989" strokecolor="#898989" strokeweight="0">
              <v:path arrowok="t"/>
              <o:lock v:ext="edit" verticies="t"/>
            </v:shape>
            <v:rect id="_x0000_s3091" style="position:absolute;left:2954;top:-1342;width:2956;height:1777" stroked="f"/>
            <v:rect id="_x0000_s3092" style="position:absolute;left:3482;top:-930;width:2312;height:1058" stroked="f"/>
            <v:shape id="_x0000_s3093" style="position:absolute;left:3485;top:-936;width:2305;height:885" coordsize="2305,885" path="m,879r2305,l2305,885,,885r,-6xm,707r2305,l2305,713,,713r,-6xm,529r2305,l2305,535,,535r,-6xm,350r2305,l2305,356,,356r,-6xm,178r2305,l2305,184,,184r,-6xm,l2305,r,6l,6,,xe" fillcolor="#898989" strokecolor="#898989" strokeweight=".3pt">
              <v:stroke joinstyle="bevel"/>
              <v:path arrowok="t"/>
              <o:lock v:ext="edit" verticies="t"/>
            </v:shape>
            <v:shape id="_x0000_s3094" style="position:absolute;left:3654;top:-862;width:1961;height:983" coordsize="1961,983" path="m,633r234,l234,983,,983,,633xm578,430r234,l812,983r-234,l578,430xm1156,r227,l1383,983r-227,l1156,xm1734,r227,l1961,983r-227,l1734,xe" fillcolor="#8fa2d4" stroked="f">
              <v:path arrowok="t"/>
              <o:lock v:ext="edit" verticies="t"/>
            </v:shape>
            <v:rect id="_x0000_s3095" style="position:absolute;left:3482;top:-933;width:6;height:1057" fillcolor="#898989" strokecolor="#898989" strokeweight=".3pt">
              <v:stroke joinstyle="bevel"/>
            </v:rect>
            <v:shape id="_x0000_s3096" style="position:absolute;left:3455;top:-936;width:30;height:1064" coordsize="30,1064" path="m,1057r30,l30,1064r-30,l,1057xm,879r30,l30,885,,885r,-6xm,707r30,l30,713,,713r,-6xm,529r30,l30,535,,535r,-6xm,350r30,l30,356,,356r,-6xm,178r30,l30,184,,184r,-6xm,l30,r,6l,6,,xe" fillcolor="#898989" strokecolor="#898989" strokeweight=".3pt">
              <v:stroke joinstyle="bevel"/>
              <v:path arrowok="t"/>
              <o:lock v:ext="edit" verticies="t"/>
            </v:shape>
            <v:rect id="_x0000_s3097" style="position:absolute;left:3485;top:121;width:2305;height:7" fillcolor="#898989" strokecolor="#898989" strokeweight=".3pt">
              <v:stroke joinstyle="bevel"/>
            </v:rect>
            <v:shape id="_x0000_s3098" style="position:absolute;left:3482;top:124;width:2312;height:25" coordsize="2312,25" path="m6,r,25l,25,,,6,xm578,r,25l572,25,572,r6,xm1156,r,25l1150,25r,-25l1156,xm1734,r,25l1728,25r,-25l1734,xm2312,r,25l2305,25r,-25l2312,xe" fillcolor="#898989" strokecolor="#898989" strokeweight=".3pt">
              <v:stroke joinstyle="bevel"/>
              <v:path arrowok="t"/>
              <o:lock v:ext="edit" verticies="t"/>
            </v:shape>
            <v:rect id="_x0000_s3099" style="position:absolute;left:3365;top:78;width:41;height:232;mso-wrap-style:none" filled="f" stroked="f">
              <v:textbox style="mso-fit-shape-to-text:t" inset="0,0,0,0">
                <w:txbxContent>
                  <w:p w:rsidR="000B433A" w:rsidRDefault="000B433A">
                    <w:r>
                      <w:rPr>
                        <w:rFonts w:cs="Calibri"/>
                        <w:color w:val="000000"/>
                        <w:sz w:val="8"/>
                        <w:szCs w:val="8"/>
                        <w:lang w:val="en-US"/>
                      </w:rPr>
                      <w:t>0</w:t>
                    </w:r>
                  </w:p>
                </w:txbxContent>
              </v:textbox>
            </v:rect>
            <v:rect id="_x0000_s3100" style="position:absolute;left:3325;top:-98;width:82;height:232;mso-wrap-style:none" filled="f" stroked="f">
              <v:textbox style="mso-fit-shape-to-text:t" inset="0,0,0,0">
                <w:txbxContent>
                  <w:p w:rsidR="000B433A" w:rsidRDefault="000B433A">
                    <w:r>
                      <w:rPr>
                        <w:rFonts w:cs="Calibri"/>
                        <w:color w:val="000000"/>
                        <w:sz w:val="8"/>
                        <w:szCs w:val="8"/>
                        <w:lang w:val="en-US"/>
                      </w:rPr>
                      <w:t>50</w:t>
                    </w:r>
                  </w:p>
                </w:txbxContent>
              </v:textbox>
            </v:rect>
            <v:rect id="_x0000_s3101" style="position:absolute;left:3280;top:-274;width:122;height:232;mso-wrap-style:none" filled="f" stroked="f">
              <v:textbox style="mso-fit-shape-to-text:t" inset="0,0,0,0">
                <w:txbxContent>
                  <w:p w:rsidR="000B433A" w:rsidRDefault="000B433A">
                    <w:r>
                      <w:rPr>
                        <w:rFonts w:cs="Calibri"/>
                        <w:color w:val="000000"/>
                        <w:sz w:val="8"/>
                        <w:szCs w:val="8"/>
                        <w:lang w:val="en-US"/>
                      </w:rPr>
                      <w:t>100</w:t>
                    </w:r>
                  </w:p>
                </w:txbxContent>
              </v:textbox>
            </v:rect>
            <v:rect id="_x0000_s3102" style="position:absolute;left:3280;top:-450;width:122;height:232;mso-wrap-style:none" filled="f" stroked="f">
              <v:textbox style="mso-fit-shape-to-text:t" inset="0,0,0,0">
                <w:txbxContent>
                  <w:p w:rsidR="000B433A" w:rsidRDefault="000B433A">
                    <w:r>
                      <w:rPr>
                        <w:rFonts w:cs="Calibri"/>
                        <w:color w:val="000000"/>
                        <w:sz w:val="8"/>
                        <w:szCs w:val="8"/>
                        <w:lang w:val="en-US"/>
                      </w:rPr>
                      <w:t>150</w:t>
                    </w:r>
                  </w:p>
                </w:txbxContent>
              </v:textbox>
            </v:rect>
            <v:rect id="_x0000_s3103" style="position:absolute;left:3280;top:-624;width:122;height:232;mso-wrap-style:none" filled="f" stroked="f">
              <v:textbox style="mso-fit-shape-to-text:t" inset="0,0,0,0">
                <w:txbxContent>
                  <w:p w:rsidR="000B433A" w:rsidRDefault="000B433A">
                    <w:r>
                      <w:rPr>
                        <w:rFonts w:cs="Calibri"/>
                        <w:color w:val="000000"/>
                        <w:sz w:val="8"/>
                        <w:szCs w:val="8"/>
                        <w:lang w:val="en-US"/>
                      </w:rPr>
                      <w:t>200</w:t>
                    </w:r>
                  </w:p>
                </w:txbxContent>
              </v:textbox>
            </v:rect>
            <v:rect id="_x0000_s3104" style="position:absolute;left:3280;top:-801;width:122;height:232;mso-wrap-style:none" filled="f" stroked="f">
              <v:textbox style="mso-fit-shape-to-text:t" inset="0,0,0,0">
                <w:txbxContent>
                  <w:p w:rsidR="000B433A" w:rsidRDefault="000B433A">
                    <w:r>
                      <w:rPr>
                        <w:rFonts w:cs="Calibri"/>
                        <w:color w:val="000000"/>
                        <w:sz w:val="8"/>
                        <w:szCs w:val="8"/>
                        <w:lang w:val="en-US"/>
                      </w:rPr>
                      <w:t>250</w:t>
                    </w:r>
                  </w:p>
                </w:txbxContent>
              </v:textbox>
            </v:rect>
            <v:rect id="_x0000_s3105" style="position:absolute;left:3280;top:-977;width:122;height:232;mso-wrap-style:none" filled="f" stroked="f">
              <v:textbox style="mso-fit-shape-to-text:t" inset="0,0,0,0">
                <w:txbxContent>
                  <w:p w:rsidR="000B433A" w:rsidRDefault="000B433A">
                    <w:r>
                      <w:rPr>
                        <w:rFonts w:cs="Calibri"/>
                        <w:color w:val="000000"/>
                        <w:sz w:val="8"/>
                        <w:szCs w:val="8"/>
                        <w:lang w:val="en-US"/>
                      </w:rPr>
                      <w:t>300</w:t>
                    </w:r>
                  </w:p>
                </w:txbxContent>
              </v:textbox>
            </v:rect>
            <v:rect id="_x0000_s3106" style="position:absolute;left:3689;top:185;width:163;height:232;mso-wrap-style:none" filled="f" stroked="f">
              <v:textbox style="mso-fit-shape-to-text:t" inset="0,0,0,0">
                <w:txbxContent>
                  <w:p w:rsidR="000B433A" w:rsidRDefault="000B433A">
                    <w:r>
                      <w:rPr>
                        <w:rFonts w:cs="Calibri"/>
                        <w:color w:val="000000"/>
                        <w:sz w:val="8"/>
                        <w:szCs w:val="8"/>
                        <w:lang w:val="en-US"/>
                      </w:rPr>
                      <w:t>2005</w:t>
                    </w:r>
                  </w:p>
                </w:txbxContent>
              </v:textbox>
            </v:rect>
            <v:rect id="_x0000_s3107" style="position:absolute;left:4266;top:185;width:163;height:232;mso-wrap-style:none" filled="f" stroked="f">
              <v:textbox style="mso-fit-shape-to-text:t" inset="0,0,0,0">
                <w:txbxContent>
                  <w:p w:rsidR="000B433A" w:rsidRDefault="000B433A">
                    <w:r>
                      <w:rPr>
                        <w:rFonts w:cs="Calibri"/>
                        <w:color w:val="000000"/>
                        <w:sz w:val="8"/>
                        <w:szCs w:val="8"/>
                        <w:lang w:val="en-US"/>
                      </w:rPr>
                      <w:t>2015</w:t>
                    </w:r>
                  </w:p>
                </w:txbxContent>
              </v:textbox>
            </v:rect>
            <v:rect id="_x0000_s3108" style="position:absolute;left:4744;top:185;width:359;height:232;mso-wrap-style:none" filled="f" stroked="f">
              <v:textbox style="mso-fit-shape-to-text:t" inset="0,0,0,0">
                <w:txbxContent>
                  <w:p w:rsidR="000B433A" w:rsidRDefault="000B433A">
                    <w:r>
                      <w:rPr>
                        <w:rFonts w:cs="Calibri"/>
                        <w:color w:val="000000"/>
                        <w:sz w:val="8"/>
                        <w:szCs w:val="8"/>
                        <w:lang w:val="en-US"/>
                      </w:rPr>
                      <w:t>2030 WEM</w:t>
                    </w:r>
                  </w:p>
                </w:txbxContent>
              </v:textbox>
            </v:rect>
            <v:rect id="_x0000_s3109" style="position:absolute;left:5314;top:185;width:367;height:232;mso-wrap-style:none" filled="f" stroked="f">
              <v:textbox style="mso-fit-shape-to-text:t" inset="0,0,0,0">
                <w:txbxContent>
                  <w:p w:rsidR="000B433A" w:rsidRDefault="000B433A">
                    <w:r>
                      <w:rPr>
                        <w:rFonts w:cs="Calibri"/>
                        <w:color w:val="000000"/>
                        <w:sz w:val="8"/>
                        <w:szCs w:val="8"/>
                        <w:lang w:val="en-US"/>
                      </w:rPr>
                      <w:t>2030 WAM</w:t>
                    </w:r>
                  </w:p>
                </w:txbxContent>
              </v:textbox>
            </v:rect>
            <v:rect id="_x0000_s3110" style="position:absolute;left:3241;top:-301;width:48;height:148;mso-wrap-style:none" filled="f" stroked="f">
              <v:textbox style="mso-fit-shape-to-text:t" inset="0,0,0,0">
                <w:txbxContent>
                  <w:p w:rsidR="000B433A" w:rsidRDefault="000B433A">
                    <w:proofErr w:type="gramStart"/>
                    <w:r>
                      <w:rPr>
                        <w:rFonts w:cs="Calibri"/>
                        <w:b/>
                        <w:bCs/>
                        <w:color w:val="000000"/>
                        <w:sz w:val="2"/>
                        <w:szCs w:val="2"/>
                        <w:lang w:val="en-US"/>
                      </w:rPr>
                      <w:t>t</w:t>
                    </w:r>
                    <w:proofErr w:type="gramEnd"/>
                    <w:r>
                      <w:rPr>
                        <w:rFonts w:cs="Calibri"/>
                        <w:b/>
                        <w:bCs/>
                        <w:color w:val="000000"/>
                        <w:sz w:val="2"/>
                        <w:szCs w:val="2"/>
                        <w:lang w:val="en-US"/>
                      </w:rPr>
                      <w:t xml:space="preserve"> NH3</w:t>
                    </w:r>
                  </w:p>
                </w:txbxContent>
              </v:textbox>
            </v:rect>
            <v:rect id="_x0000_s3111" style="position:absolute;left:3473;top:-1294;width:1899;height:317;mso-wrap-style:none" filled="f" stroked="f">
              <v:textbox style="mso-fit-shape-to-text:t" inset="0,0,0,0">
                <w:txbxContent>
                  <w:p w:rsidR="000B433A" w:rsidRDefault="000B433A">
                    <w:r w:rsidRPr="00442307">
                      <w:rPr>
                        <w:rFonts w:cs="Calibri"/>
                        <w:b/>
                        <w:bCs/>
                        <w:color w:val="000000"/>
                        <w:sz w:val="14"/>
                        <w:szCs w:val="14"/>
                        <w:lang w:val="de-DE"/>
                      </w:rPr>
                      <w:t xml:space="preserve">Entwicklung der </w:t>
                    </w:r>
                    <w:r>
                      <w:rPr>
                        <w:rFonts w:cs="Calibri"/>
                        <w:b/>
                        <w:bCs/>
                        <w:color w:val="000000"/>
                        <w:sz w:val="14"/>
                        <w:szCs w:val="14"/>
                        <w:lang w:val="en-US"/>
                      </w:rPr>
                      <w:t>NH</w:t>
                    </w:r>
                    <w:r w:rsidRPr="00442307">
                      <w:rPr>
                        <w:rFonts w:cs="Calibri"/>
                        <w:b/>
                        <w:bCs/>
                        <w:color w:val="000000"/>
                        <w:sz w:val="10"/>
                        <w:szCs w:val="10"/>
                        <w:lang w:val="en-US"/>
                      </w:rPr>
                      <w:t>3</w:t>
                    </w:r>
                    <w:r>
                      <w:rPr>
                        <w:rFonts w:cs="Calibri"/>
                        <w:b/>
                        <w:bCs/>
                        <w:color w:val="000000"/>
                        <w:sz w:val="14"/>
                        <w:szCs w:val="14"/>
                        <w:lang w:val="en-US"/>
                      </w:rPr>
                      <w:t>-Emissionen</w:t>
                    </w:r>
                  </w:p>
                </w:txbxContent>
              </v:textbox>
            </v:rect>
            <v:rect id="_x0000_s3112" style="position:absolute;left:3725;top:-1115;width:362;height:317;mso-wrap-style:none" filled="f" stroked="f">
              <v:textbox style="mso-fit-shape-to-text:t" inset="0,0,0,0">
                <w:txbxContent>
                  <w:p w:rsidR="000B433A" w:rsidRDefault="000B433A">
                    <w:r>
                      <w:rPr>
                        <w:rFonts w:cs="Calibri"/>
                        <w:b/>
                        <w:bCs/>
                        <w:color w:val="000000"/>
                        <w:sz w:val="14"/>
                        <w:szCs w:val="14"/>
                        <w:lang w:val="en-US"/>
                      </w:rPr>
                      <w:t>(WEM</w:t>
                    </w:r>
                  </w:p>
                </w:txbxContent>
              </v:textbox>
            </v:rect>
            <v:rect id="_x0000_s3113" style="position:absolute;left:4113;top:-1115;width:43;height:317;mso-wrap-style:none" filled="f" stroked="f">
              <v:textbox style="mso-fit-shape-to-text:t" inset="0,0,0,0">
                <w:txbxContent>
                  <w:p w:rsidR="000B433A" w:rsidRDefault="000B433A">
                    <w:r>
                      <w:rPr>
                        <w:rFonts w:cs="Calibri"/>
                        <w:b/>
                        <w:bCs/>
                        <w:color w:val="000000"/>
                        <w:sz w:val="14"/>
                        <w:szCs w:val="14"/>
                        <w:lang w:val="en-US"/>
                      </w:rPr>
                      <w:t>-</w:t>
                    </w:r>
                  </w:p>
                </w:txbxContent>
              </v:textbox>
            </v:rect>
            <v:rect id="_x0000_s3114" style="position:absolute;left:4156;top:-1115;width:378;height:317;mso-wrap-style:none" filled="f" stroked="f">
              <v:textbox style="mso-fit-shape-to-text:t" inset="0,0,0,0">
                <w:txbxContent>
                  <w:p w:rsidR="000B433A" w:rsidRDefault="000B433A">
                    <w:r>
                      <w:rPr>
                        <w:rFonts w:cs="Calibri"/>
                        <w:b/>
                        <w:bCs/>
                        <w:color w:val="000000"/>
                        <w:sz w:val="14"/>
                        <w:szCs w:val="14"/>
                        <w:lang w:val="en-US"/>
                      </w:rPr>
                      <w:t xml:space="preserve">WAM) </w:t>
                    </w:r>
                  </w:p>
                </w:txbxContent>
              </v:textbox>
            </v:rect>
            <v:rect id="_x0000_s3115" style="position:absolute;left:4574;top:-1115;width:43;height:317;mso-wrap-style:none" filled="f" stroked="f">
              <v:textbox style="mso-fit-shape-to-text:t" inset="0,0,0,0">
                <w:txbxContent>
                  <w:p w:rsidR="000B433A" w:rsidRDefault="000B433A">
                    <w:r>
                      <w:rPr>
                        <w:rFonts w:cs="Calibri"/>
                        <w:b/>
                        <w:bCs/>
                        <w:color w:val="000000"/>
                        <w:sz w:val="14"/>
                        <w:szCs w:val="14"/>
                        <w:lang w:val="en-US"/>
                      </w:rPr>
                      <w:t>-</w:t>
                    </w:r>
                  </w:p>
                </w:txbxContent>
              </v:textbox>
            </v:rect>
            <v:rect id="_x0000_s3116" style="position:absolute;left:4647;top:-1115;width:413;height:773;mso-wrap-style:none" filled="f" stroked="f">
              <v:textbox style="mso-fit-shape-to-text:t" inset="0,0,0,0">
                <w:txbxContent>
                  <w:p w:rsidR="000B433A" w:rsidRDefault="000B433A" w:rsidP="00E35BAB">
                    <w:r>
                      <w:rPr>
                        <w:rFonts w:cs="Calibri"/>
                        <w:b/>
                        <w:bCs/>
                        <w:color w:val="000000"/>
                        <w:sz w:val="14"/>
                        <w:szCs w:val="14"/>
                        <w:lang w:val="en-US"/>
                      </w:rPr>
                      <w:t>Abfälle</w:t>
                    </w:r>
                  </w:p>
                  <w:p w:rsidR="000B433A" w:rsidRPr="00E35BAB" w:rsidRDefault="000B433A" w:rsidP="00E35BAB"/>
                </w:txbxContent>
              </v:textbox>
            </v:rect>
            <v:shape id="_x0000_s3117" style="position:absolute;left:2954;top:-1342;width:2956;height:1777" coordsize="7696,4624" path="m,8hdc,4,4,,8,hal7688,hdc7693,,7696,4,7696,8hal7696,4616hdc7696,4621,7693,4624,7688,4624hal8,4624hdc4,4624,,4621,,4616hal,8hdxm16,4616hal8,4608r7680,l7680,4616,7680,8r8,8l8,16,16,8r,4608hdxe" fillcolor="#898989" strokecolor="#898989" strokeweight="0">
              <v:path arrowok="t"/>
              <o:lock v:ext="edit" verticies="t"/>
            </v:shape>
            <v:rect id="_x0000_s3118" style="position:absolute;left:5910;top:-1342;width:2957;height:1777" stroked="f"/>
            <v:rect id="_x0000_s3119" style="position:absolute;left:6439;top:-930;width:2207;height:1058" stroked="f"/>
            <v:shape id="_x0000_s3120" style="position:absolute;left:6442;top:-936;width:2194;height:910" coordsize="2194,910" path="m,904r2194,l2194,910,,910r,-6xm,756r2194,l2194,762,,762r,-6xm,602r2194,l2194,609,,609r,-7xm,455r2194,l2194,461,,461r,-6xm,301r2194,l2194,307,,307r,-6xm,154r2194,l2194,160,,160r,-6xm,l2194,r,6l,6,,xe" fillcolor="#898989" strokecolor="#898989" strokeweight=".3pt">
              <v:stroke joinstyle="bevel"/>
              <v:path arrowok="t"/>
              <o:lock v:ext="edit" verticies="t"/>
            </v:shape>
            <v:shape id="_x0000_s3121" style="position:absolute;left:6605;top:-856;width:1869;height:977" coordsize="1869,977" path="m,110r221,l221,977,,977,,110xm547,356r221,l768,977r-221,l547,356xm1100,r222,l1322,977r-222,l1100,xm1647,r222,l1869,977r-222,l1647,xe" fillcolor="#8fa2d4" stroked="f">
              <v:path arrowok="t"/>
              <o:lock v:ext="edit" verticies="t"/>
            </v:shape>
            <v:rect id="_x0000_s3122" style="position:absolute;left:6439;top:-933;width:6;height:1057" fillcolor="#898989" strokecolor="#898989" strokeweight=".3pt">
              <v:stroke joinstyle="bevel"/>
            </v:rect>
            <v:shape id="_x0000_s3123" style="position:absolute;left:6411;top:-936;width:31;height:1064" coordsize="31,1064" path="m,1057r31,l31,1064r-31,l,1057xm,904r31,l31,910,,910r,-6xm,756r31,l31,762,,762r,-6xm,602r31,l31,609,,609r,-7xm,455r31,l31,461,,461r,-6xm,301r31,l31,307,,307r,-6xm,154r31,l31,160,,160r,-6xm,l31,r,6l,6,,xe" fillcolor="#898989" strokecolor="#898989" strokeweight=".3pt">
              <v:stroke joinstyle="bevel"/>
              <v:path arrowok="t"/>
              <o:lock v:ext="edit" verticies="t"/>
            </v:shape>
            <v:rect id="_x0000_s3124" style="position:absolute;left:6442;top:121;width:2194;height:7" fillcolor="#898989" strokecolor="#898989" strokeweight=".3pt">
              <v:stroke joinstyle="bevel"/>
            </v:rect>
            <v:shape id="_x0000_s3125" style="position:absolute;left:6439;top:124;width:2201;height:25" coordsize="2201,25" path="m6,r,25l,25,,,6,xm553,r,25l547,25,547,r6,xm1106,r,25l1100,25r,-25l1106,xm1653,r,25l1647,25r,-25l1653,xm2201,r,25l2194,25r,-25l2201,xe" fillcolor="#898989" strokecolor="#898989" strokeweight=".3pt">
              <v:stroke joinstyle="bevel"/>
              <v:path arrowok="t"/>
              <o:lock v:ext="edit" verticies="t"/>
            </v:shape>
            <v:rect id="_x0000_s3126" style="position:absolute;left:6321;top:78;width:41;height:232;mso-wrap-style:none" filled="f" stroked="f">
              <v:textbox style="mso-fit-shape-to-text:t" inset="0,0,0,0">
                <w:txbxContent>
                  <w:p w:rsidR="000B433A" w:rsidRDefault="000B433A">
                    <w:r>
                      <w:rPr>
                        <w:rFonts w:cs="Calibri"/>
                        <w:color w:val="000000"/>
                        <w:sz w:val="8"/>
                        <w:szCs w:val="8"/>
                        <w:lang w:val="en-US"/>
                      </w:rPr>
                      <w:t>0</w:t>
                    </w:r>
                  </w:p>
                </w:txbxContent>
              </v:textbox>
            </v:rect>
            <v:rect id="_x0000_s3127" style="position:absolute;left:6237;top:-73;width:122;height:232;mso-wrap-style:none" filled="f" stroked="f">
              <v:textbox style="mso-fit-shape-to-text:t" inset="0,0,0,0">
                <w:txbxContent>
                  <w:p w:rsidR="000B433A" w:rsidRDefault="000B433A">
                    <w:r>
                      <w:rPr>
                        <w:rFonts w:cs="Calibri"/>
                        <w:color w:val="000000"/>
                        <w:sz w:val="8"/>
                        <w:szCs w:val="8"/>
                        <w:lang w:val="en-US"/>
                      </w:rPr>
                      <w:t>100</w:t>
                    </w:r>
                  </w:p>
                </w:txbxContent>
              </v:textbox>
            </v:rect>
            <v:rect id="_x0000_s3128" style="position:absolute;left:6237;top:-223;width:122;height:232;mso-wrap-style:none" filled="f" stroked="f">
              <v:textbox style="mso-fit-shape-to-text:t" inset="0,0,0,0">
                <w:txbxContent>
                  <w:p w:rsidR="000B433A" w:rsidRDefault="000B433A">
                    <w:r>
                      <w:rPr>
                        <w:rFonts w:cs="Calibri"/>
                        <w:color w:val="000000"/>
                        <w:sz w:val="8"/>
                        <w:szCs w:val="8"/>
                        <w:lang w:val="en-US"/>
                      </w:rPr>
                      <w:t>200</w:t>
                    </w:r>
                  </w:p>
                </w:txbxContent>
              </v:textbox>
            </v:rect>
            <v:rect id="_x0000_s3129" style="position:absolute;left:6237;top:-374;width:122;height:232;mso-wrap-style:none" filled="f" stroked="f">
              <v:textbox style="mso-fit-shape-to-text:t" inset="0,0,0,0">
                <w:txbxContent>
                  <w:p w:rsidR="000B433A" w:rsidRDefault="000B433A">
                    <w:r>
                      <w:rPr>
                        <w:rFonts w:cs="Calibri"/>
                        <w:color w:val="000000"/>
                        <w:sz w:val="8"/>
                        <w:szCs w:val="8"/>
                        <w:lang w:val="en-US"/>
                      </w:rPr>
                      <w:t>300</w:t>
                    </w:r>
                  </w:p>
                </w:txbxContent>
              </v:textbox>
            </v:rect>
            <v:rect id="_x0000_s3130" style="position:absolute;left:6237;top:-525;width:122;height:232;mso-wrap-style:none" filled="f" stroked="f">
              <v:textbox style="mso-fit-shape-to-text:t" inset="0,0,0,0">
                <w:txbxContent>
                  <w:p w:rsidR="000B433A" w:rsidRDefault="000B433A">
                    <w:r>
                      <w:rPr>
                        <w:rFonts w:cs="Calibri"/>
                        <w:color w:val="000000"/>
                        <w:sz w:val="8"/>
                        <w:szCs w:val="8"/>
                        <w:lang w:val="en-US"/>
                      </w:rPr>
                      <w:t>400</w:t>
                    </w:r>
                  </w:p>
                </w:txbxContent>
              </v:textbox>
            </v:rect>
            <v:rect id="_x0000_s3131" style="position:absolute;left:6237;top:-676;width:122;height:232;mso-wrap-style:none" filled="f" stroked="f">
              <v:textbox style="mso-fit-shape-to-text:t" inset="0,0,0,0">
                <w:txbxContent>
                  <w:p w:rsidR="000B433A" w:rsidRDefault="000B433A">
                    <w:r>
                      <w:rPr>
                        <w:rFonts w:cs="Calibri"/>
                        <w:color w:val="000000"/>
                        <w:sz w:val="8"/>
                        <w:szCs w:val="8"/>
                        <w:lang w:val="en-US"/>
                      </w:rPr>
                      <w:t>500</w:t>
                    </w:r>
                  </w:p>
                </w:txbxContent>
              </v:textbox>
            </v:rect>
            <v:rect id="_x0000_s3132" style="position:absolute;left:6237;top:-825;width:122;height:232;mso-wrap-style:none" filled="f" stroked="f">
              <v:textbox style="mso-fit-shape-to-text:t" inset="0,0,0,0">
                <w:txbxContent>
                  <w:p w:rsidR="000B433A" w:rsidRDefault="000B433A">
                    <w:r>
                      <w:rPr>
                        <w:rFonts w:cs="Calibri"/>
                        <w:color w:val="000000"/>
                        <w:sz w:val="8"/>
                        <w:szCs w:val="8"/>
                        <w:lang w:val="en-US"/>
                      </w:rPr>
                      <w:t>600</w:t>
                    </w:r>
                  </w:p>
                </w:txbxContent>
              </v:textbox>
            </v:rect>
            <v:rect id="_x0000_s3133" style="position:absolute;left:6237;top:-977;width:122;height:232;mso-wrap-style:none" filled="f" stroked="f">
              <v:textbox style="mso-fit-shape-to-text:t" inset="0,0,0,0">
                <w:txbxContent>
                  <w:p w:rsidR="000B433A" w:rsidRDefault="000B433A">
                    <w:r>
                      <w:rPr>
                        <w:rFonts w:cs="Calibri"/>
                        <w:color w:val="000000"/>
                        <w:sz w:val="8"/>
                        <w:szCs w:val="8"/>
                        <w:lang w:val="en-US"/>
                      </w:rPr>
                      <w:t>700</w:t>
                    </w:r>
                  </w:p>
                </w:txbxContent>
              </v:textbox>
            </v:rect>
            <v:rect id="_x0000_s3134" style="position:absolute;left:6627;top:185;width:163;height:232;mso-wrap-style:none" filled="f" stroked="f">
              <v:textbox style="mso-fit-shape-to-text:t" inset="0,0,0,0">
                <w:txbxContent>
                  <w:p w:rsidR="000B433A" w:rsidRDefault="000B433A">
                    <w:r>
                      <w:rPr>
                        <w:rFonts w:cs="Calibri"/>
                        <w:color w:val="000000"/>
                        <w:sz w:val="8"/>
                        <w:szCs w:val="8"/>
                        <w:lang w:val="en-US"/>
                      </w:rPr>
                      <w:t>2005</w:t>
                    </w:r>
                  </w:p>
                </w:txbxContent>
              </v:textbox>
            </v:rect>
            <v:rect id="_x0000_s3135" style="position:absolute;left:7177;top:185;width:163;height:232;mso-wrap-style:none" filled="f" stroked="f">
              <v:textbox style="mso-fit-shape-to-text:t" inset="0,0,0,0">
                <w:txbxContent>
                  <w:p w:rsidR="000B433A" w:rsidRDefault="000B433A">
                    <w:r>
                      <w:rPr>
                        <w:rFonts w:cs="Calibri"/>
                        <w:color w:val="000000"/>
                        <w:sz w:val="8"/>
                        <w:szCs w:val="8"/>
                        <w:lang w:val="en-US"/>
                      </w:rPr>
                      <w:t>2015</w:t>
                    </w:r>
                  </w:p>
                </w:txbxContent>
              </v:textbox>
            </v:rect>
            <v:rect id="_x0000_s3136" style="position:absolute;left:7635;top:185;width:359;height:232;mso-wrap-style:none" filled="f" stroked="f">
              <v:textbox style="mso-fit-shape-to-text:t" inset="0,0,0,0">
                <w:txbxContent>
                  <w:p w:rsidR="000B433A" w:rsidRDefault="000B433A">
                    <w:r>
                      <w:rPr>
                        <w:rFonts w:cs="Calibri"/>
                        <w:color w:val="000000"/>
                        <w:sz w:val="8"/>
                        <w:szCs w:val="8"/>
                        <w:lang w:val="en-US"/>
                      </w:rPr>
                      <w:t>2030 WEM</w:t>
                    </w:r>
                  </w:p>
                </w:txbxContent>
              </v:textbox>
            </v:rect>
            <v:rect id="_x0000_s3137" style="position:absolute;left:8179;top:185;width:367;height:232;mso-wrap-style:none" filled="f" stroked="f">
              <v:textbox style="mso-fit-shape-to-text:t" inset="0,0,0,0">
                <w:txbxContent>
                  <w:p w:rsidR="000B433A" w:rsidRDefault="000B433A">
                    <w:r>
                      <w:rPr>
                        <w:rFonts w:cs="Calibri"/>
                        <w:color w:val="000000"/>
                        <w:sz w:val="8"/>
                        <w:szCs w:val="8"/>
                        <w:lang w:val="en-US"/>
                      </w:rPr>
                      <w:t>2030 WAM</w:t>
                    </w:r>
                  </w:p>
                </w:txbxContent>
              </v:textbox>
            </v:rect>
            <v:rect id="_x0000_s3138" style="position:absolute;left:6197;top:-240;width:79;height:148;mso-wrap-style:none" filled="f" stroked="f">
              <v:textbox style="mso-fit-shape-to-text:t" inset="0,0,0,0">
                <w:txbxContent>
                  <w:p w:rsidR="000B433A" w:rsidRDefault="000B433A">
                    <w:proofErr w:type="gramStart"/>
                    <w:r>
                      <w:rPr>
                        <w:rFonts w:cs="Calibri"/>
                        <w:b/>
                        <w:bCs/>
                        <w:color w:val="000000"/>
                        <w:sz w:val="2"/>
                        <w:szCs w:val="2"/>
                        <w:lang w:val="en-US"/>
                      </w:rPr>
                      <w:t>t</w:t>
                    </w:r>
                    <w:proofErr w:type="gramEnd"/>
                    <w:r>
                      <w:rPr>
                        <w:rFonts w:cs="Calibri"/>
                        <w:b/>
                        <w:bCs/>
                        <w:color w:val="000000"/>
                        <w:sz w:val="2"/>
                        <w:szCs w:val="2"/>
                        <w:lang w:val="en-US"/>
                      </w:rPr>
                      <w:t xml:space="preserve"> COVNM</w:t>
                    </w:r>
                  </w:p>
                </w:txbxContent>
              </v:textbox>
            </v:rect>
            <v:rect id="_x0000_s3139" style="position:absolute;left:6307;top:-1277;width:2134;height:317;mso-wrap-style:none" filled="f" stroked="f">
              <v:textbox style="mso-fit-shape-to-text:t" inset="0,0,0,0">
                <w:txbxContent>
                  <w:p w:rsidR="000B433A" w:rsidRDefault="000B433A">
                    <w:r w:rsidRPr="00442307">
                      <w:rPr>
                        <w:rFonts w:cs="Calibri"/>
                        <w:b/>
                        <w:bCs/>
                        <w:color w:val="000000"/>
                        <w:sz w:val="14"/>
                        <w:szCs w:val="14"/>
                        <w:lang w:val="de-DE"/>
                      </w:rPr>
                      <w:t xml:space="preserve">Entwicklung der </w:t>
                    </w:r>
                    <w:r>
                      <w:rPr>
                        <w:rFonts w:cs="Calibri"/>
                        <w:b/>
                        <w:bCs/>
                        <w:color w:val="000000"/>
                        <w:sz w:val="14"/>
                        <w:szCs w:val="14"/>
                        <w:lang w:val="en-US"/>
                      </w:rPr>
                      <w:t xml:space="preserve">COVNM-Emissionen </w:t>
                    </w:r>
                  </w:p>
                </w:txbxContent>
              </v:textbox>
            </v:rect>
            <v:rect id="_x0000_s3140" style="position:absolute;left:6682;top:-1099;width:362;height:317;mso-wrap-style:none" filled="f" stroked="f">
              <v:textbox style="mso-fit-shape-to-text:t" inset="0,0,0,0">
                <w:txbxContent>
                  <w:p w:rsidR="000B433A" w:rsidRDefault="000B433A">
                    <w:r>
                      <w:rPr>
                        <w:rFonts w:cs="Calibri"/>
                        <w:b/>
                        <w:bCs/>
                        <w:color w:val="000000"/>
                        <w:sz w:val="14"/>
                        <w:szCs w:val="14"/>
                        <w:lang w:val="en-US"/>
                      </w:rPr>
                      <w:t>(WEM</w:t>
                    </w:r>
                  </w:p>
                </w:txbxContent>
              </v:textbox>
            </v:rect>
            <v:rect id="_x0000_s3141" style="position:absolute;left:7069;top:-1099;width:43;height:317;mso-wrap-style:none" filled="f" stroked="f">
              <v:textbox style="mso-fit-shape-to-text:t" inset="0,0,0,0">
                <w:txbxContent>
                  <w:p w:rsidR="000B433A" w:rsidRDefault="000B433A">
                    <w:r>
                      <w:rPr>
                        <w:rFonts w:cs="Calibri"/>
                        <w:b/>
                        <w:bCs/>
                        <w:color w:val="000000"/>
                        <w:sz w:val="14"/>
                        <w:szCs w:val="14"/>
                        <w:lang w:val="en-US"/>
                      </w:rPr>
                      <w:t>-</w:t>
                    </w:r>
                  </w:p>
                </w:txbxContent>
              </v:textbox>
            </v:rect>
            <v:rect id="_x0000_s3142" style="position:absolute;left:7112;top:-1099;width:378;height:317;mso-wrap-style:none" filled="f" stroked="f">
              <v:textbox style="mso-fit-shape-to-text:t" inset="0,0,0,0">
                <w:txbxContent>
                  <w:p w:rsidR="000B433A" w:rsidRDefault="000B433A">
                    <w:r>
                      <w:rPr>
                        <w:rFonts w:cs="Calibri"/>
                        <w:b/>
                        <w:bCs/>
                        <w:color w:val="000000"/>
                        <w:sz w:val="14"/>
                        <w:szCs w:val="14"/>
                        <w:lang w:val="en-US"/>
                      </w:rPr>
                      <w:t xml:space="preserve">WAM) </w:t>
                    </w:r>
                  </w:p>
                </w:txbxContent>
              </v:textbox>
            </v:rect>
            <v:rect id="_x0000_s3143" style="position:absolute;left:7530;top:-1099;width:43;height:317;mso-wrap-style:none" filled="f" stroked="f">
              <v:textbox style="mso-fit-shape-to-text:t" inset="0,0,0,0">
                <w:txbxContent>
                  <w:p w:rsidR="000B433A" w:rsidRDefault="000B433A">
                    <w:r>
                      <w:rPr>
                        <w:rFonts w:cs="Calibri"/>
                        <w:b/>
                        <w:bCs/>
                        <w:color w:val="000000"/>
                        <w:sz w:val="14"/>
                        <w:szCs w:val="14"/>
                        <w:lang w:val="en-US"/>
                      </w:rPr>
                      <w:t>-</w:t>
                    </w:r>
                  </w:p>
                </w:txbxContent>
              </v:textbox>
            </v:rect>
            <v:rect id="_x0000_s3144" style="position:absolute;left:7604;top:-1099;width:413;height:773;mso-wrap-style:none" filled="f" stroked="f">
              <v:textbox style="mso-fit-shape-to-text:t" inset="0,0,0,0">
                <w:txbxContent>
                  <w:p w:rsidR="000B433A" w:rsidRDefault="000B433A" w:rsidP="00E35BAB">
                    <w:r>
                      <w:rPr>
                        <w:rFonts w:cs="Calibri"/>
                        <w:b/>
                        <w:bCs/>
                        <w:color w:val="000000"/>
                        <w:sz w:val="14"/>
                        <w:szCs w:val="14"/>
                        <w:lang w:val="en-US"/>
                      </w:rPr>
                      <w:t>Abfälle</w:t>
                    </w:r>
                  </w:p>
                  <w:p w:rsidR="000B433A" w:rsidRPr="00E35BAB" w:rsidRDefault="000B433A" w:rsidP="00E35BAB"/>
                </w:txbxContent>
              </v:textbox>
            </v:rect>
            <v:shape id="_x0000_s3145" style="position:absolute;left:5910;top:-1342;width:2957;height:1777" coordsize="7696,4624" path="m,8hdc,4,4,,8,hal7688,hdc7693,,7696,4,7696,8hal7696,4616hdc7696,4621,7693,4624,7688,4624hal8,4624hdc4,4624,,4621,,4616hal,8hdxm16,4616hal8,4608r7680,l7680,4616,7680,8r8,8l8,16,16,8r,4608hdxe" fillcolor="#898989" strokecolor="#898989" strokeweight="0">
              <v:path arrowok="t"/>
              <o:lock v:ext="edit" verticies="t"/>
            </v:shape>
            <v:rect id="_x0000_s3146" style="position:absolute;left:4392;top:435;width:2957;height:1777" stroked="f"/>
            <v:rect id="_x0000_s3147" style="position:absolute;left:4921;top:872;width:2274;height:1032" stroked="f"/>
            <v:shape id="_x0000_s3148" style="position:absolute;left:4924;top:865;width:2262;height:830" coordsize="2262,830" path="m,824r2262,l2262,830,,830r,-6xm,621r2262,l2262,628,,628r,-7xm,412r2262,l2262,418,,418r,-6xm,209r2262,l2262,216,,216r,-7xm,l2262,r,7l,7,,xe" fillcolor="#898989" strokecolor="#898989" strokeweight=".3pt">
              <v:stroke joinstyle="bevel"/>
              <v:path arrowok="t"/>
              <o:lock v:ext="edit" verticies="t"/>
            </v:shape>
            <v:shape id="_x0000_s3149" style="position:absolute;left:5093;top:933;width:1924;height:965" coordsize="1924,965" path="m,560r227,l227,965,,965,,560xm565,l793,r,965l565,965,565,xm1131,r227,l1358,965r-227,l1131,xm1696,r228,l1924,965r-228,l1696,xe" fillcolor="#8fa2d4" stroked="f">
              <v:path arrowok="t"/>
              <o:lock v:ext="edit" verticies="t"/>
            </v:shape>
            <v:rect id="_x0000_s3150" style="position:absolute;left:4921;top:868;width:6;height:1033" fillcolor="#898989" strokecolor="#898989" strokeweight=".3pt">
              <v:stroke joinstyle="bevel"/>
            </v:rect>
            <v:shape id="_x0000_s3151" style="position:absolute;left:4893;top:865;width:31;height:1039" coordsize="31,1039" path="m,1033r31,l31,1039r-31,l,1033xm,824r31,l31,830,,830r,-6xm,621r31,l31,628,,628r,-7xm,412r31,l31,418,,418r,-6xm,209r31,l31,216,,216r,-7xm,l31,r,7l,7,,xe" fillcolor="#898989" strokecolor="#898989" strokeweight=".3pt">
              <v:stroke joinstyle="bevel"/>
              <v:path arrowok="t"/>
              <o:lock v:ext="edit" verticies="t"/>
            </v:shape>
            <v:rect id="_x0000_s3152" style="position:absolute;left:4924;top:1898;width:2262;height:6" fillcolor="#898989" strokecolor="#898989" strokeweight=".3pt">
              <v:stroke joinstyle="bevel"/>
            </v:rect>
            <v:shape id="_x0000_s3153" style="position:absolute;left:4921;top:1901;width:2268;height:25" coordsize="2268,25" path="m6,r,25l,25,,,6,xm571,r,25l565,25,565,r6,xm1137,r,25l1131,25r,-25l1137,xm1702,r,25l1696,25r,-25l1702,xm2268,r,25l2262,25r,-25l2268,xe" fillcolor="#898989" strokecolor="#898989" strokeweight=".3pt">
              <v:stroke joinstyle="bevel"/>
              <v:path arrowok="t"/>
              <o:lock v:ext="edit" verticies="t"/>
            </v:shape>
            <v:rect id="_x0000_s3154" style="position:absolute;left:4718;top:1855;width:122;height:232;mso-wrap-style:none" filled="f" stroked="f">
              <v:textbox style="mso-fit-shape-to-text:t" inset="0,0,0,0">
                <w:txbxContent>
                  <w:p w:rsidR="000B433A" w:rsidRDefault="000B433A">
                    <w:r>
                      <w:rPr>
                        <w:rFonts w:cs="Calibri"/>
                        <w:color w:val="000000"/>
                        <w:sz w:val="8"/>
                        <w:szCs w:val="8"/>
                        <w:lang w:val="en-US"/>
                      </w:rPr>
                      <w:t>185</w:t>
                    </w:r>
                  </w:p>
                </w:txbxContent>
              </v:textbox>
            </v:rect>
            <v:rect id="_x0000_s3155" style="position:absolute;left:4718;top:1649;width:122;height:232;mso-wrap-style:none" filled="f" stroked="f">
              <v:textbox style="mso-fit-shape-to-text:t" inset="0,0,0,0">
                <w:txbxContent>
                  <w:p w:rsidR="000B433A" w:rsidRDefault="000B433A">
                    <w:r>
                      <w:rPr>
                        <w:rFonts w:cs="Calibri"/>
                        <w:color w:val="000000"/>
                        <w:sz w:val="8"/>
                        <w:szCs w:val="8"/>
                        <w:lang w:val="en-US"/>
                      </w:rPr>
                      <w:t>190</w:t>
                    </w:r>
                  </w:p>
                </w:txbxContent>
              </v:textbox>
            </v:rect>
            <v:rect id="_x0000_s3156" style="position:absolute;left:4718;top:1444;width:122;height:232;mso-wrap-style:none" filled="f" stroked="f">
              <v:textbox style="mso-fit-shape-to-text:t" inset="0,0,0,0">
                <w:txbxContent>
                  <w:p w:rsidR="000B433A" w:rsidRDefault="000B433A">
                    <w:r>
                      <w:rPr>
                        <w:rFonts w:cs="Calibri"/>
                        <w:color w:val="000000"/>
                        <w:sz w:val="8"/>
                        <w:szCs w:val="8"/>
                        <w:lang w:val="en-US"/>
                      </w:rPr>
                      <w:t>195</w:t>
                    </w:r>
                  </w:p>
                </w:txbxContent>
              </v:textbox>
            </v:rect>
            <v:rect id="_x0000_s3157" style="position:absolute;left:4718;top:1238;width:122;height:232;mso-wrap-style:none" filled="f" stroked="f">
              <v:textbox style="mso-fit-shape-to-text:t" inset="0,0,0,0">
                <w:txbxContent>
                  <w:p w:rsidR="000B433A" w:rsidRDefault="000B433A">
                    <w:r>
                      <w:rPr>
                        <w:rFonts w:cs="Calibri"/>
                        <w:color w:val="000000"/>
                        <w:sz w:val="8"/>
                        <w:szCs w:val="8"/>
                        <w:lang w:val="en-US"/>
                      </w:rPr>
                      <w:t>200</w:t>
                    </w:r>
                  </w:p>
                </w:txbxContent>
              </v:textbox>
            </v:rect>
            <v:rect id="_x0000_s3158" style="position:absolute;left:4718;top:1031;width:122;height:232;mso-wrap-style:none" filled="f" stroked="f">
              <v:textbox style="mso-fit-shape-to-text:t" inset="0,0,0,0">
                <w:txbxContent>
                  <w:p w:rsidR="000B433A" w:rsidRDefault="000B433A">
                    <w:r>
                      <w:rPr>
                        <w:rFonts w:cs="Calibri"/>
                        <w:color w:val="000000"/>
                        <w:sz w:val="8"/>
                        <w:szCs w:val="8"/>
                        <w:lang w:val="en-US"/>
                      </w:rPr>
                      <w:t>205</w:t>
                    </w:r>
                  </w:p>
                </w:txbxContent>
              </v:textbox>
            </v:rect>
            <v:rect id="_x0000_s3159" style="position:absolute;left:4718;top:824;width:122;height:232;mso-wrap-style:none" filled="f" stroked="f">
              <v:textbox style="mso-fit-shape-to-text:t" inset="0,0,0,0">
                <w:txbxContent>
                  <w:p w:rsidR="000B433A" w:rsidRDefault="000B433A">
                    <w:r>
                      <w:rPr>
                        <w:rFonts w:cs="Calibri"/>
                        <w:color w:val="000000"/>
                        <w:sz w:val="8"/>
                        <w:szCs w:val="8"/>
                        <w:lang w:val="en-US"/>
                      </w:rPr>
                      <w:t>210</w:t>
                    </w:r>
                  </w:p>
                </w:txbxContent>
              </v:textbox>
            </v:rect>
            <v:rect id="_x0000_s3160" style="position:absolute;left:5121;top:1961;width:163;height:232;mso-wrap-style:none" filled="f" stroked="f">
              <v:textbox style="mso-fit-shape-to-text:t" inset="0,0,0,0">
                <w:txbxContent>
                  <w:p w:rsidR="000B433A" w:rsidRDefault="000B433A">
                    <w:r>
                      <w:rPr>
                        <w:rFonts w:cs="Calibri"/>
                        <w:color w:val="000000"/>
                        <w:sz w:val="8"/>
                        <w:szCs w:val="8"/>
                        <w:lang w:val="en-US"/>
                      </w:rPr>
                      <w:t>2005</w:t>
                    </w:r>
                  </w:p>
                </w:txbxContent>
              </v:textbox>
            </v:rect>
            <v:rect id="_x0000_s3161" style="position:absolute;left:5688;top:1961;width:163;height:232;mso-wrap-style:none" filled="f" stroked="f">
              <v:textbox style="mso-fit-shape-to-text:t" inset="0,0,0,0">
                <w:txbxContent>
                  <w:p w:rsidR="000B433A" w:rsidRDefault="000B433A">
                    <w:r>
                      <w:rPr>
                        <w:rFonts w:cs="Calibri"/>
                        <w:color w:val="000000"/>
                        <w:sz w:val="8"/>
                        <w:szCs w:val="8"/>
                        <w:lang w:val="en-US"/>
                      </w:rPr>
                      <w:t>2015</w:t>
                    </w:r>
                  </w:p>
                </w:txbxContent>
              </v:textbox>
            </v:rect>
            <v:rect id="_x0000_s3162" style="position:absolute;left:6156;top:1961;width:359;height:232;mso-wrap-style:none" filled="f" stroked="f">
              <v:textbox style="mso-fit-shape-to-text:t" inset="0,0,0,0">
                <w:txbxContent>
                  <w:p w:rsidR="000B433A" w:rsidRDefault="000B433A">
                    <w:r>
                      <w:rPr>
                        <w:rFonts w:cs="Calibri"/>
                        <w:color w:val="000000"/>
                        <w:sz w:val="8"/>
                        <w:szCs w:val="8"/>
                        <w:lang w:val="en-US"/>
                      </w:rPr>
                      <w:t>2030 WEM</w:t>
                    </w:r>
                  </w:p>
                </w:txbxContent>
              </v:textbox>
            </v:rect>
            <v:rect id="_x0000_s3163" style="position:absolute;left:6716;top:1961;width:367;height:232;mso-wrap-style:none" filled="f" stroked="f">
              <v:textbox style="mso-fit-shape-to-text:t" inset="0,0,0,0">
                <w:txbxContent>
                  <w:p w:rsidR="000B433A" w:rsidRDefault="000B433A">
                    <w:r>
                      <w:rPr>
                        <w:rFonts w:cs="Calibri"/>
                        <w:color w:val="000000"/>
                        <w:sz w:val="8"/>
                        <w:szCs w:val="8"/>
                        <w:lang w:val="en-US"/>
                      </w:rPr>
                      <w:t>2030 WAM</w:t>
                    </w:r>
                  </w:p>
                </w:txbxContent>
              </v:textbox>
            </v:rect>
            <v:rect id="_x0000_s3164" style="position:absolute;left:4679;top:1525;width:66;height:148;mso-wrap-style:none" filled="f" stroked="f">
              <v:textbox style="mso-fit-shape-to-text:t" inset="0,0,0,0">
                <w:txbxContent>
                  <w:p w:rsidR="000B433A" w:rsidRDefault="000B433A">
                    <w:proofErr w:type="gramStart"/>
                    <w:r>
                      <w:rPr>
                        <w:rFonts w:cs="Calibri"/>
                        <w:b/>
                        <w:bCs/>
                        <w:color w:val="000000"/>
                        <w:sz w:val="2"/>
                        <w:szCs w:val="2"/>
                        <w:lang w:val="en-US"/>
                      </w:rPr>
                      <w:t>t</w:t>
                    </w:r>
                    <w:proofErr w:type="gramEnd"/>
                    <w:r>
                      <w:rPr>
                        <w:rFonts w:cs="Calibri"/>
                        <w:b/>
                        <w:bCs/>
                        <w:color w:val="000000"/>
                        <w:sz w:val="2"/>
                        <w:szCs w:val="2"/>
                        <w:lang w:val="en-US"/>
                      </w:rPr>
                      <w:t xml:space="preserve"> PM2.5</w:t>
                    </w:r>
                  </w:p>
                </w:txbxContent>
              </v:textbox>
            </v:rect>
            <v:rect id="_x0000_s3165" style="position:absolute;left:4838;top:500;width:2044;height:317;mso-wrap-style:none" filled="f" stroked="f">
              <v:textbox style="mso-fit-shape-to-text:t" inset="0,0,0,0">
                <w:txbxContent>
                  <w:p w:rsidR="000B433A" w:rsidRDefault="000B433A">
                    <w:r w:rsidRPr="00442307">
                      <w:rPr>
                        <w:rFonts w:cs="Calibri"/>
                        <w:b/>
                        <w:bCs/>
                        <w:color w:val="000000"/>
                        <w:sz w:val="14"/>
                        <w:szCs w:val="14"/>
                        <w:lang w:val="de-DE"/>
                      </w:rPr>
                      <w:t xml:space="preserve">Entwicklung der </w:t>
                    </w:r>
                    <w:r w:rsidRPr="00442307">
                      <w:rPr>
                        <w:rFonts w:cs="Calibri"/>
                        <w:b/>
                        <w:bCs/>
                        <w:color w:val="000000"/>
                        <w:sz w:val="14"/>
                        <w:szCs w:val="14"/>
                        <w:lang w:val="fr-FR"/>
                      </w:rPr>
                      <w:t>PM2.5</w:t>
                    </w:r>
                    <w:r>
                      <w:rPr>
                        <w:rFonts w:cs="Calibri"/>
                        <w:b/>
                        <w:bCs/>
                        <w:color w:val="000000"/>
                        <w:sz w:val="14"/>
                        <w:szCs w:val="14"/>
                        <w:lang w:val="fr-FR"/>
                      </w:rPr>
                      <w:t>-Emissionen</w:t>
                    </w:r>
                    <w:r w:rsidRPr="00442307">
                      <w:rPr>
                        <w:rFonts w:cs="Calibri"/>
                        <w:b/>
                        <w:bCs/>
                        <w:color w:val="000000"/>
                        <w:sz w:val="14"/>
                        <w:szCs w:val="14"/>
                        <w:lang w:val="fr-FR"/>
                      </w:rPr>
                      <w:t xml:space="preserve"> </w:t>
                    </w:r>
                  </w:p>
                </w:txbxContent>
              </v:textbox>
            </v:rect>
            <v:rect id="_x0000_s3166" style="position:absolute;left:5164;top:678;width:362;height:317;mso-wrap-style:none" filled="f" stroked="f">
              <v:textbox style="mso-fit-shape-to-text:t" inset="0,0,0,0">
                <w:txbxContent>
                  <w:p w:rsidR="000B433A" w:rsidRDefault="000B433A">
                    <w:r>
                      <w:rPr>
                        <w:rFonts w:cs="Calibri"/>
                        <w:b/>
                        <w:bCs/>
                        <w:color w:val="000000"/>
                        <w:sz w:val="14"/>
                        <w:szCs w:val="14"/>
                        <w:lang w:val="en-US"/>
                      </w:rPr>
                      <w:t>(WEM</w:t>
                    </w:r>
                  </w:p>
                </w:txbxContent>
              </v:textbox>
            </v:rect>
            <v:rect id="_x0000_s3167" style="position:absolute;left:5551;top:678;width:43;height:317;mso-wrap-style:none" filled="f" stroked="f">
              <v:textbox style="mso-fit-shape-to-text:t" inset="0,0,0,0">
                <w:txbxContent>
                  <w:p w:rsidR="000B433A" w:rsidRDefault="000B433A">
                    <w:r>
                      <w:rPr>
                        <w:rFonts w:cs="Calibri"/>
                        <w:b/>
                        <w:bCs/>
                        <w:color w:val="000000"/>
                        <w:sz w:val="14"/>
                        <w:szCs w:val="14"/>
                        <w:lang w:val="en-US"/>
                      </w:rPr>
                      <w:t>-</w:t>
                    </w:r>
                  </w:p>
                </w:txbxContent>
              </v:textbox>
            </v:rect>
            <v:rect id="_x0000_s3168" style="position:absolute;left:5594;top:678;width:378;height:317;mso-wrap-style:none" filled="f" stroked="f">
              <v:textbox style="mso-fit-shape-to-text:t" inset="0,0,0,0">
                <w:txbxContent>
                  <w:p w:rsidR="000B433A" w:rsidRDefault="000B433A">
                    <w:r>
                      <w:rPr>
                        <w:rFonts w:cs="Calibri"/>
                        <w:b/>
                        <w:bCs/>
                        <w:color w:val="000000"/>
                        <w:sz w:val="14"/>
                        <w:szCs w:val="14"/>
                        <w:lang w:val="en-US"/>
                      </w:rPr>
                      <w:t xml:space="preserve">WAM) </w:t>
                    </w:r>
                  </w:p>
                </w:txbxContent>
              </v:textbox>
            </v:rect>
            <v:rect id="_x0000_s3169" style="position:absolute;left:6012;top:678;width:43;height:317;mso-wrap-style:none" filled="f" stroked="f">
              <v:textbox style="mso-fit-shape-to-text:t" inset="0,0,0,0">
                <w:txbxContent>
                  <w:p w:rsidR="000B433A" w:rsidRDefault="000B433A">
                    <w:r>
                      <w:rPr>
                        <w:rFonts w:cs="Calibri"/>
                        <w:b/>
                        <w:bCs/>
                        <w:color w:val="000000"/>
                        <w:sz w:val="14"/>
                        <w:szCs w:val="14"/>
                        <w:lang w:val="en-US"/>
                      </w:rPr>
                      <w:t>-</w:t>
                    </w:r>
                  </w:p>
                </w:txbxContent>
              </v:textbox>
            </v:rect>
            <v:rect id="_x0000_s3170" style="position:absolute;left:6086;top:678;width:413;height:317;mso-wrap-style:none" filled="f" stroked="f">
              <v:textbox style="mso-fit-shape-to-text:t" inset="0,0,0,0">
                <w:txbxContent>
                  <w:p w:rsidR="000B433A" w:rsidRDefault="000B433A">
                    <w:r>
                      <w:rPr>
                        <w:rFonts w:cs="Calibri"/>
                        <w:b/>
                        <w:bCs/>
                        <w:color w:val="000000"/>
                        <w:sz w:val="14"/>
                        <w:szCs w:val="14"/>
                        <w:lang w:val="en-US"/>
                      </w:rPr>
                      <w:t>Abfälle</w:t>
                    </w:r>
                  </w:p>
                </w:txbxContent>
              </v:textbox>
            </v:rect>
            <v:shape id="_x0000_s3171" style="position:absolute;left:4392;top:435;width:2957;height:1777" coordsize="7696,4624" path="m,8hdc,4,4,,8,hal7688,hdc7693,,7696,4,7696,8hal7696,4616hdc7696,4621,7693,4624,7688,4624hal8,4624hdc4,4624,,4621,,4616hal,8hdxm16,4616hal8,4608r7680,l7680,4616,7680,8r8,8l8,16,16,8r,4608hdxe" fillcolor="#898989" strokecolor="#898989" strokeweight="0">
              <v:path arrowok="t"/>
              <o:lock v:ext="edit" verticies="t"/>
            </v:shape>
            <w10:wrap type="none"/>
            <w10:anchorlock/>
          </v:group>
        </w:pict>
      </w:r>
    </w:p>
    <w:p w:rsidR="000B433A" w:rsidRPr="00D07F58" w:rsidRDefault="000B433A" w:rsidP="006124BE">
      <w:pPr>
        <w:pStyle w:val="Lgende"/>
        <w:rPr>
          <w:lang w:val="de-DE"/>
        </w:rPr>
      </w:pPr>
      <w:bookmarkStart w:id="64" w:name="_Ref533154056"/>
      <w:r>
        <w:rPr>
          <w:lang w:val="de-DE"/>
        </w:rPr>
        <w:t>Abbildung 25</w:t>
      </w:r>
      <w:bookmarkEnd w:id="64"/>
      <w:r>
        <w:rPr>
          <w:lang w:val="de-DE"/>
        </w:rPr>
        <w:t xml:space="preserve">: </w:t>
      </w:r>
      <w:r w:rsidRPr="00DC0D9B">
        <w:rPr>
          <w:rFonts w:cs="Calibri"/>
          <w:lang w:val="de-DE"/>
        </w:rPr>
        <w:t>Entwicklung der Luftschadstoffemissionen nach Referenzszenarien und mit Messungen (WEM und WAM) für die Abfallsektoren in Tonnen.</w:t>
      </w:r>
    </w:p>
    <w:p w:rsidR="000B433A" w:rsidRPr="00A40602" w:rsidRDefault="000B433A" w:rsidP="00C43480">
      <w:pPr>
        <w:pStyle w:val="Titre2"/>
        <w:numPr>
          <w:ilvl w:val="1"/>
          <w:numId w:val="1"/>
        </w:numPr>
        <w:ind w:left="851" w:hanging="851"/>
        <w:rPr>
          <w:rFonts w:ascii="Calibri" w:hAnsi="Calibri" w:cs="Calibri"/>
          <w:color w:val="1F497D"/>
          <w:sz w:val="28"/>
          <w:szCs w:val="28"/>
          <w:lang w:val="de-DE"/>
        </w:rPr>
      </w:pPr>
      <w:bookmarkStart w:id="65" w:name="_Toc7802474"/>
      <w:r>
        <w:rPr>
          <w:rFonts w:ascii="Calibri" w:hAnsi="Calibri" w:cs="Calibri"/>
          <w:color w:val="1F497D"/>
          <w:sz w:val="28"/>
          <w:lang w:val="de-DE"/>
        </w:rPr>
        <w:t>Abbau und Zufuhr von Brennstoffen</w:t>
      </w:r>
      <w:bookmarkEnd w:id="65"/>
    </w:p>
    <w:p w:rsidR="000B433A" w:rsidRPr="000F4BEC" w:rsidRDefault="000B433A" w:rsidP="006124BE">
      <w:pPr>
        <w:pStyle w:val="TEXTEI7"/>
        <w:rPr>
          <w:rFonts w:ascii="Calibri" w:hAnsi="Calibri" w:cs="Calibri"/>
          <w:sz w:val="24"/>
          <w:szCs w:val="24"/>
          <w:lang w:val="de-DE"/>
        </w:rPr>
      </w:pPr>
      <w:r>
        <w:rPr>
          <w:rFonts w:ascii="Calibri" w:hAnsi="Calibri" w:cs="Calibri"/>
          <w:sz w:val="24"/>
          <w:lang w:val="de-DE"/>
        </w:rPr>
        <w:t>Emissionen im Zusammenhang mit der Versorgung von Gas und Benzin sind VOC. Der Anstieg des Gasverbrauchs und der Rückgang des Benzinverbrauchs werden dazu führen, dass die VOC im Jahre 2030 gegenüber 2005 um rund 47 % sinken werden.</w:t>
      </w:r>
    </w:p>
    <w:p w:rsidR="000B433A" w:rsidRPr="00D07F58" w:rsidRDefault="000B433A">
      <w:pPr>
        <w:spacing w:after="200"/>
        <w:jc w:val="left"/>
        <w:rPr>
          <w:lang w:val="de-DE"/>
        </w:rPr>
      </w:pPr>
      <w:r w:rsidRPr="00D07F58">
        <w:rPr>
          <w:lang w:val="de-DE"/>
        </w:rPr>
        <w:br w:type="page"/>
      </w:r>
    </w:p>
    <w:p w:rsidR="000B433A" w:rsidRPr="00093D26" w:rsidRDefault="000B433A" w:rsidP="00C43480">
      <w:pPr>
        <w:pStyle w:val="Titre1"/>
        <w:numPr>
          <w:ilvl w:val="0"/>
          <w:numId w:val="1"/>
        </w:numPr>
        <w:ind w:left="851" w:hanging="851"/>
        <w:rPr>
          <w:rFonts w:ascii="Calibri" w:hAnsi="Calibri" w:cs="Calibri"/>
          <w:smallCaps/>
          <w:color w:val="1F497D"/>
          <w:sz w:val="32"/>
          <w:szCs w:val="32"/>
          <w:u w:val="single"/>
          <w:lang w:val="de-DE"/>
        </w:rPr>
      </w:pPr>
      <w:bookmarkStart w:id="66" w:name="_Toc7802475"/>
      <w:r>
        <w:rPr>
          <w:rFonts w:ascii="Calibri" w:hAnsi="Calibri" w:cs="Calibri"/>
          <w:smallCaps/>
          <w:color w:val="1F497D"/>
          <w:sz w:val="32"/>
          <w:u w:val="single"/>
          <w:lang w:val="de-DE"/>
        </w:rPr>
        <w:t>Gesamtergebnisse</w:t>
      </w:r>
      <w:bookmarkEnd w:id="66"/>
    </w:p>
    <w:p w:rsidR="000B433A" w:rsidRPr="004364AD" w:rsidRDefault="000B433A" w:rsidP="004364AD">
      <w:pPr>
        <w:pStyle w:val="Titre2"/>
        <w:numPr>
          <w:ilvl w:val="1"/>
          <w:numId w:val="1"/>
        </w:numPr>
        <w:ind w:left="851" w:hanging="851"/>
        <w:rPr>
          <w:rFonts w:ascii="Calibri" w:hAnsi="Calibri" w:cs="Calibri"/>
          <w:color w:val="1F497D"/>
          <w:sz w:val="28"/>
          <w:szCs w:val="28"/>
          <w:lang w:val="de-DE"/>
        </w:rPr>
      </w:pPr>
      <w:bookmarkStart w:id="67" w:name="_Toc7802476"/>
      <w:r>
        <w:rPr>
          <w:rFonts w:ascii="Calibri" w:hAnsi="Calibri" w:cs="Calibri"/>
          <w:color w:val="1F497D"/>
          <w:sz w:val="28"/>
          <w:lang w:val="de-DE"/>
        </w:rPr>
        <w:t>In Bezug auf die Luft</w:t>
      </w:r>
      <w:bookmarkEnd w:id="67"/>
      <w:r>
        <w:rPr>
          <w:rFonts w:ascii="Calibri" w:hAnsi="Calibri" w:cs="Calibri"/>
          <w:color w:val="1F497D"/>
          <w:sz w:val="28"/>
          <w:lang w:val="de-DE"/>
        </w:rPr>
        <w:t xml:space="preserve"> </w:t>
      </w:r>
    </w:p>
    <w:p w:rsidR="000B433A" w:rsidRPr="000F4BEC" w:rsidRDefault="000B433A" w:rsidP="006124BE">
      <w:pPr>
        <w:pStyle w:val="TEXTEI7"/>
        <w:rPr>
          <w:rFonts w:ascii="Calibri" w:hAnsi="Calibri" w:cs="Calibri"/>
          <w:sz w:val="24"/>
          <w:szCs w:val="24"/>
          <w:lang w:val="de-DE"/>
        </w:rPr>
      </w:pPr>
      <w:r>
        <w:rPr>
          <w:rFonts w:ascii="Calibri" w:hAnsi="Calibri" w:cs="Calibri"/>
          <w:sz w:val="24"/>
          <w:lang w:val="de-DE"/>
        </w:rPr>
        <w:t>Abhängig von bestimmten Annahmen können die Verpflichtungen der Wallonie, die sich auf die verbindlichen Ziele von 2020 und 2030 im Vergleich zu 2005 der NEC-Richtlinie stützen, erfüllt werden. Die bereits 2016 erreichten Ziele für 2020 werden in der Analyse nicht dargelegt.</w:t>
      </w:r>
    </w:p>
    <w:p w:rsidR="000B433A" w:rsidRPr="00D07F58" w:rsidRDefault="000B433A" w:rsidP="006124BE">
      <w:pPr>
        <w:pStyle w:val="TEXTEI7"/>
        <w:rPr>
          <w:lang w:val="de-DE"/>
        </w:rPr>
      </w:pPr>
    </w:p>
    <w:tbl>
      <w:tblPr>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35"/>
        <w:gridCol w:w="2287"/>
        <w:gridCol w:w="2287"/>
        <w:gridCol w:w="1331"/>
        <w:gridCol w:w="1142"/>
        <w:gridCol w:w="1181"/>
      </w:tblGrid>
      <w:tr w:rsidR="000B433A" w:rsidRPr="005759E4" w:rsidTr="005759E4">
        <w:tc>
          <w:tcPr>
            <w:tcW w:w="1101" w:type="dxa"/>
            <w:vAlign w:val="center"/>
          </w:tcPr>
          <w:p w:rsidR="000B433A" w:rsidRPr="005759E4" w:rsidRDefault="000B433A" w:rsidP="005759E4">
            <w:pPr>
              <w:pStyle w:val="TEXTEI7"/>
              <w:jc w:val="center"/>
              <w:rPr>
                <w:b/>
                <w:lang w:val="de-DE"/>
              </w:rPr>
            </w:pPr>
            <w:bookmarkStart w:id="68" w:name="_Hlk4157989"/>
            <w:r w:rsidRPr="005759E4">
              <w:rPr>
                <w:b/>
                <w:lang w:val="de-DE"/>
              </w:rPr>
              <w:t>Schadstoffe</w:t>
            </w:r>
          </w:p>
        </w:tc>
        <w:tc>
          <w:tcPr>
            <w:tcW w:w="1559" w:type="dxa"/>
            <w:vAlign w:val="center"/>
          </w:tcPr>
          <w:p w:rsidR="000B433A" w:rsidRPr="005759E4" w:rsidRDefault="000B433A" w:rsidP="005759E4">
            <w:pPr>
              <w:pStyle w:val="TEXTEI7"/>
              <w:jc w:val="center"/>
              <w:rPr>
                <w:b/>
                <w:lang w:val="de-DE"/>
              </w:rPr>
            </w:pPr>
            <w:r w:rsidRPr="005759E4">
              <w:rPr>
                <w:b/>
                <w:lang w:val="de-DE"/>
              </w:rPr>
              <w:t>Reduktionszielvorgaben BE 2030</w:t>
            </w:r>
          </w:p>
        </w:tc>
        <w:tc>
          <w:tcPr>
            <w:tcW w:w="1559" w:type="dxa"/>
            <w:vAlign w:val="center"/>
          </w:tcPr>
          <w:p w:rsidR="000B433A" w:rsidRPr="005759E4" w:rsidRDefault="000B433A" w:rsidP="005759E4">
            <w:pPr>
              <w:pStyle w:val="TEXTEI7"/>
              <w:jc w:val="center"/>
              <w:rPr>
                <w:b/>
                <w:lang w:val="de-DE"/>
              </w:rPr>
            </w:pPr>
            <w:r w:rsidRPr="005759E4">
              <w:rPr>
                <w:b/>
                <w:lang w:val="de-DE"/>
              </w:rPr>
              <w:t>Wallonische Reduktionszielvorgaben 2030</w:t>
            </w:r>
          </w:p>
        </w:tc>
        <w:tc>
          <w:tcPr>
            <w:tcW w:w="1701" w:type="dxa"/>
            <w:vAlign w:val="center"/>
          </w:tcPr>
          <w:p w:rsidR="000B433A" w:rsidRPr="005759E4" w:rsidRDefault="000B433A" w:rsidP="005759E4">
            <w:pPr>
              <w:pStyle w:val="TEXTEI7"/>
              <w:jc w:val="center"/>
              <w:rPr>
                <w:b/>
                <w:lang w:val="de-DE"/>
              </w:rPr>
            </w:pPr>
            <w:r w:rsidRPr="005759E4">
              <w:rPr>
                <w:b/>
                <w:lang w:val="de-DE"/>
              </w:rPr>
              <w:t>Wallonische Höchstwerte 2030 in kt</w:t>
            </w:r>
          </w:p>
        </w:tc>
        <w:tc>
          <w:tcPr>
            <w:tcW w:w="1795" w:type="dxa"/>
            <w:vAlign w:val="center"/>
          </w:tcPr>
          <w:p w:rsidR="000B433A" w:rsidRPr="005759E4" w:rsidRDefault="000B433A" w:rsidP="005759E4">
            <w:pPr>
              <w:pStyle w:val="TEXTEI7"/>
              <w:jc w:val="center"/>
              <w:rPr>
                <w:b/>
                <w:lang w:val="de-DE"/>
              </w:rPr>
            </w:pPr>
            <w:r w:rsidRPr="005759E4">
              <w:rPr>
                <w:b/>
                <w:lang w:val="de-DE"/>
              </w:rPr>
              <w:t>Prognosen 2030 für die Wallonie in kt</w:t>
            </w:r>
          </w:p>
        </w:tc>
        <w:tc>
          <w:tcPr>
            <w:tcW w:w="1733" w:type="dxa"/>
            <w:vAlign w:val="center"/>
          </w:tcPr>
          <w:p w:rsidR="000B433A" w:rsidRPr="005759E4" w:rsidRDefault="000B433A" w:rsidP="005759E4">
            <w:pPr>
              <w:pStyle w:val="TEXTEI7"/>
              <w:jc w:val="center"/>
              <w:rPr>
                <w:b/>
                <w:lang w:val="de-DE"/>
              </w:rPr>
            </w:pPr>
            <w:r w:rsidRPr="005759E4">
              <w:rPr>
                <w:b/>
                <w:lang w:val="de-DE"/>
              </w:rPr>
              <w:t>Geschätzte Reduktion für 2030 gegenüber 2005 (%)</w:t>
            </w:r>
          </w:p>
        </w:tc>
      </w:tr>
      <w:tr w:rsidR="000B433A" w:rsidRPr="005759E4" w:rsidTr="005759E4">
        <w:tc>
          <w:tcPr>
            <w:tcW w:w="1101" w:type="dxa"/>
          </w:tcPr>
          <w:p w:rsidR="000B433A" w:rsidRPr="005759E4" w:rsidRDefault="000B433A" w:rsidP="00280303">
            <w:pPr>
              <w:pStyle w:val="TEXTEI7"/>
              <w:rPr>
                <w:b/>
                <w:lang w:val="de-DE"/>
              </w:rPr>
            </w:pPr>
            <w:r w:rsidRPr="005759E4">
              <w:rPr>
                <w:b/>
                <w:lang w:val="de-DE"/>
              </w:rPr>
              <w:t>SO2</w:t>
            </w:r>
          </w:p>
        </w:tc>
        <w:tc>
          <w:tcPr>
            <w:tcW w:w="1559" w:type="dxa"/>
          </w:tcPr>
          <w:p w:rsidR="000B433A" w:rsidRPr="005759E4" w:rsidRDefault="000B433A" w:rsidP="005759E4">
            <w:pPr>
              <w:pStyle w:val="TEXTEI7"/>
              <w:jc w:val="center"/>
            </w:pPr>
            <w:r w:rsidRPr="005759E4">
              <w:rPr>
                <w:lang w:val="de-DE"/>
              </w:rPr>
              <w:t>66 %</w:t>
            </w:r>
          </w:p>
        </w:tc>
        <w:tc>
          <w:tcPr>
            <w:tcW w:w="1559" w:type="dxa"/>
          </w:tcPr>
          <w:p w:rsidR="000B433A" w:rsidRPr="005759E4" w:rsidRDefault="000B433A" w:rsidP="005759E4">
            <w:pPr>
              <w:pStyle w:val="TEXTEI7"/>
              <w:jc w:val="center"/>
            </w:pPr>
            <w:r w:rsidRPr="005759E4">
              <w:rPr>
                <w:lang w:val="de-DE"/>
              </w:rPr>
              <w:t>65 %</w:t>
            </w:r>
          </w:p>
        </w:tc>
        <w:tc>
          <w:tcPr>
            <w:tcW w:w="1701" w:type="dxa"/>
          </w:tcPr>
          <w:p w:rsidR="000B433A" w:rsidRPr="005759E4" w:rsidRDefault="000B433A" w:rsidP="005759E4">
            <w:pPr>
              <w:pStyle w:val="TEXTEI7"/>
              <w:jc w:val="center"/>
            </w:pPr>
            <w:r w:rsidRPr="005759E4">
              <w:rPr>
                <w:lang w:val="de-DE"/>
              </w:rPr>
              <w:t>15,4</w:t>
            </w:r>
          </w:p>
        </w:tc>
        <w:tc>
          <w:tcPr>
            <w:tcW w:w="1795" w:type="dxa"/>
          </w:tcPr>
          <w:p w:rsidR="000B433A" w:rsidRPr="005759E4" w:rsidRDefault="000B433A" w:rsidP="005759E4">
            <w:pPr>
              <w:pStyle w:val="TEXTEI7"/>
              <w:jc w:val="center"/>
            </w:pPr>
            <w:r w:rsidRPr="005759E4">
              <w:rPr>
                <w:lang w:val="de-DE"/>
              </w:rPr>
              <w:t>10,76</w:t>
            </w:r>
          </w:p>
        </w:tc>
        <w:tc>
          <w:tcPr>
            <w:tcW w:w="1733" w:type="dxa"/>
          </w:tcPr>
          <w:p w:rsidR="000B433A" w:rsidRPr="005759E4" w:rsidRDefault="000B433A" w:rsidP="005759E4">
            <w:pPr>
              <w:pStyle w:val="TEXTEI7"/>
              <w:jc w:val="center"/>
            </w:pPr>
            <w:r w:rsidRPr="005759E4">
              <w:rPr>
                <w:lang w:val="de-DE"/>
              </w:rPr>
              <w:t>75,8 %</w:t>
            </w:r>
          </w:p>
        </w:tc>
      </w:tr>
      <w:tr w:rsidR="000B433A" w:rsidRPr="005759E4" w:rsidTr="005759E4">
        <w:tc>
          <w:tcPr>
            <w:tcW w:w="1101" w:type="dxa"/>
          </w:tcPr>
          <w:p w:rsidR="000B433A" w:rsidRPr="005759E4" w:rsidRDefault="000B433A" w:rsidP="00280303">
            <w:pPr>
              <w:pStyle w:val="TEXTEI7"/>
              <w:rPr>
                <w:b/>
                <w:lang w:val="de-DE"/>
              </w:rPr>
            </w:pPr>
            <w:r w:rsidRPr="005759E4">
              <w:rPr>
                <w:b/>
                <w:lang w:val="de-DE"/>
              </w:rPr>
              <w:t>NOx</w:t>
            </w:r>
          </w:p>
        </w:tc>
        <w:tc>
          <w:tcPr>
            <w:tcW w:w="1559" w:type="dxa"/>
          </w:tcPr>
          <w:p w:rsidR="000B433A" w:rsidRPr="005759E4" w:rsidRDefault="000B433A" w:rsidP="005759E4">
            <w:pPr>
              <w:pStyle w:val="TEXTEI7"/>
              <w:jc w:val="center"/>
            </w:pPr>
            <w:r w:rsidRPr="005759E4">
              <w:rPr>
                <w:lang w:val="de-DE"/>
              </w:rPr>
              <w:t>59 %</w:t>
            </w:r>
          </w:p>
        </w:tc>
        <w:tc>
          <w:tcPr>
            <w:tcW w:w="1559" w:type="dxa"/>
          </w:tcPr>
          <w:p w:rsidR="000B433A" w:rsidRPr="005759E4" w:rsidRDefault="000B433A" w:rsidP="005759E4">
            <w:pPr>
              <w:pStyle w:val="TEXTEI7"/>
              <w:jc w:val="center"/>
            </w:pPr>
            <w:r w:rsidRPr="005759E4">
              <w:rPr>
                <w:lang w:val="de-DE"/>
              </w:rPr>
              <w:t>60 %</w:t>
            </w:r>
          </w:p>
        </w:tc>
        <w:tc>
          <w:tcPr>
            <w:tcW w:w="1701" w:type="dxa"/>
          </w:tcPr>
          <w:p w:rsidR="000B433A" w:rsidRPr="005759E4" w:rsidRDefault="000B433A" w:rsidP="005759E4">
            <w:pPr>
              <w:pStyle w:val="TEXTEI7"/>
              <w:jc w:val="center"/>
            </w:pPr>
            <w:r w:rsidRPr="005759E4">
              <w:rPr>
                <w:lang w:val="de-DE"/>
              </w:rPr>
              <w:t>49,4</w:t>
            </w:r>
          </w:p>
        </w:tc>
        <w:tc>
          <w:tcPr>
            <w:tcW w:w="1795" w:type="dxa"/>
          </w:tcPr>
          <w:p w:rsidR="000B433A" w:rsidRPr="005759E4" w:rsidRDefault="000B433A" w:rsidP="005759E4">
            <w:pPr>
              <w:pStyle w:val="TEXTEI7"/>
              <w:jc w:val="center"/>
            </w:pPr>
            <w:r w:rsidRPr="005759E4">
              <w:rPr>
                <w:lang w:val="de-DE"/>
              </w:rPr>
              <w:t>41,72 *</w:t>
            </w:r>
          </w:p>
        </w:tc>
        <w:tc>
          <w:tcPr>
            <w:tcW w:w="1733" w:type="dxa"/>
          </w:tcPr>
          <w:p w:rsidR="000B433A" w:rsidRPr="005759E4" w:rsidRDefault="000B433A" w:rsidP="005759E4">
            <w:pPr>
              <w:pStyle w:val="TEXTEI7"/>
              <w:jc w:val="center"/>
            </w:pPr>
            <w:r w:rsidRPr="005759E4">
              <w:rPr>
                <w:lang w:val="de-DE"/>
              </w:rPr>
              <w:t>66 %</w:t>
            </w:r>
          </w:p>
        </w:tc>
      </w:tr>
      <w:tr w:rsidR="000B433A" w:rsidRPr="005759E4" w:rsidTr="005759E4">
        <w:tc>
          <w:tcPr>
            <w:tcW w:w="1101" w:type="dxa"/>
          </w:tcPr>
          <w:p w:rsidR="000B433A" w:rsidRPr="005759E4" w:rsidRDefault="000B433A" w:rsidP="00280303">
            <w:pPr>
              <w:pStyle w:val="TEXTEI7"/>
              <w:rPr>
                <w:b/>
                <w:lang w:val="de-DE"/>
              </w:rPr>
            </w:pPr>
            <w:r w:rsidRPr="005759E4">
              <w:rPr>
                <w:b/>
                <w:lang w:val="de-DE"/>
              </w:rPr>
              <w:t>VOC</w:t>
            </w:r>
          </w:p>
        </w:tc>
        <w:tc>
          <w:tcPr>
            <w:tcW w:w="1559" w:type="dxa"/>
          </w:tcPr>
          <w:p w:rsidR="000B433A" w:rsidRPr="005759E4" w:rsidRDefault="000B433A" w:rsidP="005759E4">
            <w:pPr>
              <w:pStyle w:val="TEXTEI7"/>
              <w:jc w:val="center"/>
            </w:pPr>
            <w:r w:rsidRPr="005759E4">
              <w:rPr>
                <w:lang w:val="de-DE"/>
              </w:rPr>
              <w:t>35 %</w:t>
            </w:r>
          </w:p>
        </w:tc>
        <w:tc>
          <w:tcPr>
            <w:tcW w:w="1559" w:type="dxa"/>
          </w:tcPr>
          <w:p w:rsidR="000B433A" w:rsidRPr="005759E4" w:rsidRDefault="000B433A" w:rsidP="005759E4">
            <w:pPr>
              <w:pStyle w:val="TEXTEI7"/>
              <w:jc w:val="center"/>
            </w:pPr>
            <w:r w:rsidRPr="005759E4">
              <w:rPr>
                <w:lang w:val="de-DE"/>
              </w:rPr>
              <w:t>31 %</w:t>
            </w:r>
          </w:p>
        </w:tc>
        <w:tc>
          <w:tcPr>
            <w:tcW w:w="1701" w:type="dxa"/>
          </w:tcPr>
          <w:p w:rsidR="000B433A" w:rsidRPr="005759E4" w:rsidRDefault="000B433A" w:rsidP="005759E4">
            <w:pPr>
              <w:pStyle w:val="TEXTEI7"/>
              <w:jc w:val="center"/>
            </w:pPr>
            <w:r w:rsidRPr="005759E4">
              <w:rPr>
                <w:lang w:val="de-DE"/>
              </w:rPr>
              <w:t>32,1</w:t>
            </w:r>
          </w:p>
        </w:tc>
        <w:tc>
          <w:tcPr>
            <w:tcW w:w="1795" w:type="dxa"/>
          </w:tcPr>
          <w:p w:rsidR="000B433A" w:rsidRPr="005759E4" w:rsidRDefault="000B433A" w:rsidP="005759E4">
            <w:pPr>
              <w:pStyle w:val="TEXTEI7"/>
              <w:jc w:val="center"/>
            </w:pPr>
            <w:r w:rsidRPr="005759E4">
              <w:rPr>
                <w:lang w:val="de-DE"/>
              </w:rPr>
              <w:t>29,88 *</w:t>
            </w:r>
          </w:p>
        </w:tc>
        <w:tc>
          <w:tcPr>
            <w:tcW w:w="1733" w:type="dxa"/>
          </w:tcPr>
          <w:p w:rsidR="000B433A" w:rsidRPr="005759E4" w:rsidRDefault="000B433A" w:rsidP="005759E4">
            <w:pPr>
              <w:pStyle w:val="TEXTEI7"/>
              <w:jc w:val="center"/>
            </w:pPr>
            <w:r w:rsidRPr="005759E4">
              <w:rPr>
                <w:lang w:val="de-DE"/>
              </w:rPr>
              <w:t>37 %</w:t>
            </w:r>
          </w:p>
        </w:tc>
      </w:tr>
      <w:tr w:rsidR="000B433A" w:rsidRPr="005759E4" w:rsidTr="005759E4">
        <w:tc>
          <w:tcPr>
            <w:tcW w:w="1101" w:type="dxa"/>
          </w:tcPr>
          <w:p w:rsidR="000B433A" w:rsidRPr="005759E4" w:rsidRDefault="000B433A" w:rsidP="00280303">
            <w:pPr>
              <w:pStyle w:val="TEXTEI7"/>
              <w:rPr>
                <w:b/>
                <w:lang w:val="de-DE"/>
              </w:rPr>
            </w:pPr>
            <w:r w:rsidRPr="005759E4">
              <w:rPr>
                <w:b/>
                <w:lang w:val="de-DE"/>
              </w:rPr>
              <w:t>PM2,5</w:t>
            </w:r>
          </w:p>
        </w:tc>
        <w:tc>
          <w:tcPr>
            <w:tcW w:w="1559" w:type="dxa"/>
          </w:tcPr>
          <w:p w:rsidR="000B433A" w:rsidRPr="005759E4" w:rsidRDefault="000B433A" w:rsidP="005759E4">
            <w:pPr>
              <w:pStyle w:val="TEXTEI7"/>
              <w:jc w:val="center"/>
            </w:pPr>
            <w:r w:rsidRPr="005759E4">
              <w:rPr>
                <w:lang w:val="de-DE"/>
              </w:rPr>
              <w:t>39 %</w:t>
            </w:r>
          </w:p>
        </w:tc>
        <w:tc>
          <w:tcPr>
            <w:tcW w:w="1559" w:type="dxa"/>
          </w:tcPr>
          <w:p w:rsidR="000B433A" w:rsidRPr="005759E4" w:rsidRDefault="000B433A" w:rsidP="005759E4">
            <w:pPr>
              <w:pStyle w:val="TEXTEI7"/>
              <w:jc w:val="center"/>
            </w:pPr>
            <w:r w:rsidRPr="005759E4">
              <w:rPr>
                <w:lang w:val="de-DE"/>
              </w:rPr>
              <w:t>43 %</w:t>
            </w:r>
          </w:p>
        </w:tc>
        <w:tc>
          <w:tcPr>
            <w:tcW w:w="1701" w:type="dxa"/>
          </w:tcPr>
          <w:p w:rsidR="000B433A" w:rsidRPr="005759E4" w:rsidRDefault="000B433A" w:rsidP="005759E4">
            <w:pPr>
              <w:pStyle w:val="TEXTEI7"/>
              <w:jc w:val="center"/>
            </w:pPr>
            <w:r w:rsidRPr="005759E4">
              <w:rPr>
                <w:lang w:val="de-DE"/>
              </w:rPr>
              <w:t>8,8</w:t>
            </w:r>
          </w:p>
        </w:tc>
        <w:tc>
          <w:tcPr>
            <w:tcW w:w="1795" w:type="dxa"/>
          </w:tcPr>
          <w:p w:rsidR="000B433A" w:rsidRPr="005759E4" w:rsidRDefault="000B433A" w:rsidP="005759E4">
            <w:pPr>
              <w:pStyle w:val="TEXTEI7"/>
              <w:jc w:val="center"/>
            </w:pPr>
            <w:r w:rsidRPr="005759E4">
              <w:rPr>
                <w:lang w:val="de-DE"/>
              </w:rPr>
              <w:t>8,3</w:t>
            </w:r>
          </w:p>
        </w:tc>
        <w:tc>
          <w:tcPr>
            <w:tcW w:w="1733" w:type="dxa"/>
          </w:tcPr>
          <w:p w:rsidR="000B433A" w:rsidRPr="005759E4" w:rsidRDefault="000B433A" w:rsidP="005759E4">
            <w:pPr>
              <w:pStyle w:val="TEXTEI7"/>
              <w:jc w:val="center"/>
            </w:pPr>
            <w:r w:rsidRPr="005759E4">
              <w:rPr>
                <w:lang w:val="de-DE"/>
              </w:rPr>
              <w:t>45,4</w:t>
            </w:r>
          </w:p>
        </w:tc>
      </w:tr>
      <w:tr w:rsidR="000B433A" w:rsidRPr="005759E4" w:rsidTr="005759E4">
        <w:tc>
          <w:tcPr>
            <w:tcW w:w="1101" w:type="dxa"/>
          </w:tcPr>
          <w:p w:rsidR="000B433A" w:rsidRPr="005759E4" w:rsidRDefault="000B433A" w:rsidP="00280303">
            <w:pPr>
              <w:pStyle w:val="TEXTEI7"/>
              <w:rPr>
                <w:b/>
                <w:lang w:val="de-DE"/>
              </w:rPr>
            </w:pPr>
            <w:r w:rsidRPr="005759E4">
              <w:rPr>
                <w:b/>
                <w:lang w:val="de-DE"/>
              </w:rPr>
              <w:t>NH3</w:t>
            </w:r>
          </w:p>
        </w:tc>
        <w:tc>
          <w:tcPr>
            <w:tcW w:w="1559" w:type="dxa"/>
          </w:tcPr>
          <w:p w:rsidR="000B433A" w:rsidRPr="005759E4" w:rsidRDefault="000B433A" w:rsidP="005759E4">
            <w:pPr>
              <w:pStyle w:val="TEXTEI7"/>
              <w:jc w:val="center"/>
            </w:pPr>
            <w:r w:rsidRPr="005759E4">
              <w:rPr>
                <w:lang w:val="de-DE"/>
              </w:rPr>
              <w:t>13 %</w:t>
            </w:r>
          </w:p>
        </w:tc>
        <w:tc>
          <w:tcPr>
            <w:tcW w:w="1559" w:type="dxa"/>
          </w:tcPr>
          <w:p w:rsidR="000B433A" w:rsidRPr="005759E4" w:rsidRDefault="000B433A" w:rsidP="005759E4">
            <w:pPr>
              <w:pStyle w:val="TEXTEI7"/>
              <w:jc w:val="center"/>
            </w:pPr>
            <w:r w:rsidRPr="005759E4">
              <w:rPr>
                <w:lang w:val="de-DE"/>
              </w:rPr>
              <w:t>14 %</w:t>
            </w:r>
          </w:p>
        </w:tc>
        <w:tc>
          <w:tcPr>
            <w:tcW w:w="1701" w:type="dxa"/>
          </w:tcPr>
          <w:p w:rsidR="000B433A" w:rsidRPr="005759E4" w:rsidRDefault="000B433A" w:rsidP="005759E4">
            <w:pPr>
              <w:pStyle w:val="TEXTEI7"/>
              <w:jc w:val="center"/>
            </w:pPr>
            <w:r w:rsidRPr="005759E4">
              <w:rPr>
                <w:lang w:val="de-DE"/>
              </w:rPr>
              <w:t>27,0</w:t>
            </w:r>
          </w:p>
        </w:tc>
        <w:tc>
          <w:tcPr>
            <w:tcW w:w="1795" w:type="dxa"/>
          </w:tcPr>
          <w:p w:rsidR="000B433A" w:rsidRPr="005759E4" w:rsidRDefault="000B433A" w:rsidP="005759E4">
            <w:pPr>
              <w:pStyle w:val="TEXTEI7"/>
              <w:jc w:val="center"/>
            </w:pPr>
            <w:r w:rsidRPr="005759E4">
              <w:rPr>
                <w:lang w:val="de-DE"/>
              </w:rPr>
              <w:t>24,23</w:t>
            </w:r>
          </w:p>
        </w:tc>
        <w:tc>
          <w:tcPr>
            <w:tcW w:w="1733" w:type="dxa"/>
          </w:tcPr>
          <w:p w:rsidR="000B433A" w:rsidRPr="005759E4" w:rsidRDefault="000B433A" w:rsidP="005759E4">
            <w:pPr>
              <w:pStyle w:val="TEXTEI7"/>
              <w:jc w:val="center"/>
            </w:pPr>
            <w:r w:rsidRPr="005759E4">
              <w:rPr>
                <w:lang w:val="de-DE"/>
              </w:rPr>
              <w:t>23 %</w:t>
            </w:r>
          </w:p>
        </w:tc>
      </w:tr>
    </w:tbl>
    <w:bookmarkEnd w:id="68"/>
    <w:p w:rsidR="000B433A" w:rsidRDefault="000B433A" w:rsidP="00924A0C">
      <w:pPr>
        <w:pStyle w:val="TEXTEI7"/>
        <w:rPr>
          <w:sz w:val="20"/>
          <w:szCs w:val="20"/>
          <w:lang w:val="de-DE"/>
        </w:rPr>
      </w:pPr>
      <w:r>
        <w:rPr>
          <w:sz w:val="20"/>
          <w:lang w:val="de-DE"/>
        </w:rPr>
        <w:t>* Zur Erinnerung: Gemäß der NEC-Richtlinie werden Boden- und Dungbewirtschaftungsmaßnahmen bei der Berechnung des Ziels und der Einhaltung desselben nicht berücksichtigt.</w:t>
      </w:r>
    </w:p>
    <w:p w:rsidR="000B433A" w:rsidRPr="00D07F58" w:rsidRDefault="000B433A" w:rsidP="00C43480">
      <w:pPr>
        <w:pStyle w:val="Lgende"/>
        <w:jc w:val="both"/>
        <w:rPr>
          <w:lang w:val="de-DE"/>
        </w:rPr>
      </w:pPr>
      <w:r>
        <w:rPr>
          <w:lang w:val="de-DE"/>
        </w:rPr>
        <w:t>Abbildung 26: Zusammenfassung der Reduktionsziele und -prognosen für 2030 in absoluten Zahlen und Reduktionsprozenten.</w:t>
      </w:r>
    </w:p>
    <w:p w:rsidR="000B433A" w:rsidRDefault="000B433A" w:rsidP="004364AD">
      <w:pPr>
        <w:pStyle w:val="Titre2"/>
        <w:numPr>
          <w:ilvl w:val="1"/>
          <w:numId w:val="1"/>
        </w:numPr>
        <w:ind w:left="851" w:hanging="851"/>
        <w:rPr>
          <w:rFonts w:ascii="Calibri" w:hAnsi="Calibri" w:cs="Calibri"/>
          <w:color w:val="1F497D"/>
          <w:sz w:val="28"/>
          <w:szCs w:val="28"/>
          <w:lang w:val="de-DE"/>
        </w:rPr>
      </w:pPr>
      <w:bookmarkStart w:id="69" w:name="_Toc7802477"/>
      <w:r>
        <w:rPr>
          <w:rFonts w:ascii="Calibri" w:hAnsi="Calibri" w:cs="Calibri"/>
          <w:color w:val="1F497D"/>
          <w:sz w:val="28"/>
          <w:lang w:val="de-DE"/>
        </w:rPr>
        <w:t>In Bezug auf die Treibhausgasemissionen</w:t>
      </w:r>
      <w:bookmarkEnd w:id="69"/>
    </w:p>
    <w:p w:rsidR="000B433A" w:rsidRDefault="005A6B21" w:rsidP="004364AD">
      <w:pPr>
        <w:jc w:val="center"/>
      </w:pPr>
      <w:r>
        <w:pict>
          <v:group id="_x0000_s3173" editas="canvas" style="width:483.65pt;height:326.55pt;mso-position-horizontal-relative:char;mso-position-vertical-relative:line" coordorigin="-283,-1388" coordsize="9673,6531">
            <o:lock v:ext="edit" aspectratio="t"/>
            <v:shape id="_x0000_s3174" type="#_x0000_t75" style="position:absolute;left:-283;top:-1388;width:9673;height:6531" o:preferrelative="f">
              <v:fill o:detectmouseclick="t"/>
              <v:path o:extrusionok="t" o:connecttype="none"/>
              <o:lock v:ext="edit" text="t"/>
            </v:shape>
            <v:rect id="_x0000_s3175" style="position:absolute;left:-283;top:-1388;width:9673;height:6332" stroked="f"/>
            <v:rect id="_x0000_s3176" style="position:absolute;left:597;top:-1259;width:6597;height:5857" stroked="f"/>
            <v:shape id="_x0000_s3177" style="position:absolute;left:592;top:-1259;width:6597;height:5016" coordsize="6597,5016" path="m,5006r6597,l6597,5016,,5016r,-10xm,4175r6597,l6597,4185,,4185r,-10xm,3334r6597,l6597,3344,,3344r,-10xm,2503r6597,l6597,2513,,2513r,-10xm,1672r6597,l6597,1682,,1682r,-10xm,831r6597,l6597,841,,841,,831xm,l6597,r,9l,9,,xe" fillcolor="#868686" strokecolor="#868686" strokeweight=".5pt">
              <v:stroke joinstyle="bevel"/>
              <v:path arrowok="t"/>
              <o:lock v:ext="edit" verticies="t"/>
            </v:shape>
            <v:shape id="_x0000_s3178" style="position:absolute;left:1092;top:4469;width:5598;height:119" coordsize="5598,119" path="m,50r653,l653,119,,119,,50xm1642,r662,l2304,119r-662,l1642,xm3293,50r663,l3956,119r-663,l3293,50xm4945,50r653,l5598,119r-653,l4945,50xe" fillcolor="#4572a7" stroked="f">
              <v:path arrowok="t"/>
              <o:lock v:ext="edit" verticies="t"/>
            </v:shape>
            <v:shape id="_x0000_s3179" style="position:absolute;left:1092;top:3935;width:5598;height:584" coordsize="5598,584" path="m,l653,r,584l,584,,xm1642,356r662,l2304,534r-662,l1642,356xm3293,425r663,l3956,584r-663,l3293,425xm4945,465r653,l5598,584r-653,l4945,465xe" fillcolor="#aa4643" stroked="f">
              <v:path arrowok="t"/>
              <o:lock v:ext="edit" verticies="t"/>
            </v:shape>
            <v:shape id="_x0000_s3180" style="position:absolute;left:1092;top:2312;width:5598;height:2088" coordsize="5598,2088" path="m,l653,r,1623l,1623,,xm1642,436r662,l2304,1979r-662,l1642,436xm3293,495r663,l3956,2048r-663,l3293,495xm4945,901r653,l5598,2088r-653,l4945,901xe" fillcolor="#89a54e" stroked="f">
              <v:path arrowok="t"/>
              <o:lock v:ext="edit" verticies="t"/>
            </v:shape>
            <v:shape id="_x0000_s3181" style="position:absolute;left:1092;top:1125;width:5598;height:2088" coordsize="5598,2088" path="m,l653,r,1187l,1187,,xm1642,742r662,l2304,1623r-662,l1642,742xm3293,851r663,l3956,1682r-663,l3293,851xm4945,1464r653,l5598,2088r-653,l4945,1464xe" fillcolor="#71588f" stroked="f">
              <v:path arrowok="t"/>
              <o:lock v:ext="edit" verticies="t"/>
            </v:shape>
            <v:shape id="_x0000_s3182" style="position:absolute;left:1092;top:848;width:5598;height:1741" coordsize="5598,1741" path="m,l653,r,277l,277,,xm1642,762r662,l2304,1019r-662,l1642,762xm3293,871r663,l3956,1128r-663,l3293,871xm4945,1613r653,l5598,1741r-653,l4945,1613xe" fillcolor="#4198af" stroked="f">
              <v:path arrowok="t"/>
              <o:lock v:ext="edit" verticies="t"/>
            </v:shape>
            <v:shape id="_x0000_s3183" style="position:absolute;left:1092;top:-43;width:5598;height:2504" coordsize="5598,2504" path="m,l653,r,891l,891,,xm1642,832r662,l2304,1653r-662,l1642,832xm3293,1039r663,l3956,1762r-663,l3293,1039xm4945,1771r653,l5598,2504r-653,l4945,1771xe" fillcolor="#db843d" stroked="f">
              <v:path arrowok="t"/>
              <o:lock v:ext="edit" verticies="t"/>
            </v:shape>
            <v:shape id="_x0000_s3184" style="position:absolute;left:1092;top:-211;width:5598;height:1939" coordsize="5598,1939" path="m,l653,r,168l,168,,xm1642,920r662,l2304,1000r-662,l1642,920xm3293,1158r663,l3956,1207r-663,l3293,1158xm4945,1890r653,l5598,1939r-653,l4945,1890xe" fillcolor="#93a9cf" stroked="f">
              <v:path arrowok="t"/>
              <o:lock v:ext="edit" verticies="t"/>
            </v:shape>
            <v:shape id="_x0000_s3185" style="position:absolute;left:1092;top:-359;width:5598;height:2038" coordsize="5598,2038" path="m,l653,r,148l,148,,xm1642,871r662,l2304,1068r-662,l1642,871xm3293,1217r663,l3956,1306r-663,l3293,1217xm4945,1959r653,l5598,2038r-653,l4945,1959xe" fillcolor="#d19392" stroked="f">
              <v:path arrowok="t"/>
              <o:lock v:ext="edit" verticies="t"/>
            </v:shape>
            <v:rect id="_x0000_s3186" style="position:absolute;left:587;top:-1254;width:10;height:5837" fillcolor="#868686" strokecolor="#868686" strokeweight=".5pt">
              <v:stroke joinstyle="bevel"/>
            </v:rect>
            <v:shape id="_x0000_s3187" style="position:absolute;left:553;top:-1259;width:39;height:5847" coordsize="39,5847" path="m,5837r39,l39,5847r-39,l,5837xm,5006r39,l39,5016r-39,l,5006xm,4175r39,l39,4185r-39,l,4175xm,3334r39,l39,3344r-39,l,3334xm,2503r39,l39,2513r-39,l,2503xm,1672r39,l39,1682r-39,l,1672xm,831r39,l39,841,,841,,831xm,l39,r,9l,9,,xe" fillcolor="#868686" strokecolor="#868686" strokeweight=".5pt">
              <v:stroke joinstyle="bevel"/>
              <v:path arrowok="t"/>
              <o:lock v:ext="edit" verticies="t"/>
            </v:shape>
            <v:rect id="_x0000_s3188" style="position:absolute;left:592;top:4578;width:6597;height:10" fillcolor="#868686" strokecolor="#868686" strokeweight=".5pt">
              <v:stroke joinstyle="bevel"/>
            </v:rect>
            <v:shape id="_x0000_s3189" style="position:absolute;left:587;top:4583;width:6607;height:49" coordsize="6607,49" path="m10,r,49l,49,,,10,xm1662,r,49l1652,49r,-49l1662,xm3314,r,49l3304,49r,-49l3314,xm4955,r,49l4946,49r,-49l4955,xm6607,r,49l6597,49r,-49l6607,xe" fillcolor="#868686" strokecolor="#868686" strokeweight=".5pt">
              <v:stroke joinstyle="bevel"/>
              <v:path arrowok="t"/>
              <o:lock v:ext="edit" verticies="t"/>
            </v:shape>
            <v:rect id="_x0000_s3190" style="position:absolute;left:412;top:4515;width:61;height:288;mso-wrap-style:none" filled="f" stroked="f">
              <v:textbox style="mso-fit-shape-to-text:t" inset="0,0,0,0">
                <w:txbxContent>
                  <w:p w:rsidR="000B433A" w:rsidRDefault="000B433A">
                    <w:r>
                      <w:rPr>
                        <w:rFonts w:cs="Calibri"/>
                        <w:color w:val="000000"/>
                        <w:sz w:val="12"/>
                        <w:szCs w:val="12"/>
                        <w:lang w:val="en-US"/>
                      </w:rPr>
                      <w:t>0</w:t>
                    </w:r>
                  </w:p>
                </w:txbxContent>
              </v:textbox>
            </v:rect>
            <v:rect id="_x0000_s3191" style="position:absolute;left:178;top:3680;width:271;height:288;mso-wrap-style:none" filled="f" stroked="f">
              <v:textbox style="mso-fit-shape-to-text:t" inset="0,0,0,0">
                <w:txbxContent>
                  <w:p w:rsidR="000B433A" w:rsidRDefault="000B433A">
                    <w:r>
                      <w:rPr>
                        <w:rFonts w:cs="Calibri"/>
                        <w:color w:val="000000"/>
                        <w:sz w:val="12"/>
                        <w:szCs w:val="12"/>
                        <w:lang w:val="en-US"/>
                      </w:rPr>
                      <w:t>5 000</w:t>
                    </w:r>
                  </w:p>
                </w:txbxContent>
              </v:textbox>
            </v:rect>
            <v:rect id="_x0000_s3192" style="position:absolute;left:115;top:2845;width:332;height:288;mso-wrap-style:none" filled="f" stroked="f">
              <v:textbox style="mso-fit-shape-to-text:t" inset="0,0,0,0">
                <w:txbxContent>
                  <w:p w:rsidR="000B433A" w:rsidRDefault="000B433A">
                    <w:r>
                      <w:rPr>
                        <w:rFonts w:cs="Calibri"/>
                        <w:color w:val="000000"/>
                        <w:sz w:val="12"/>
                        <w:szCs w:val="12"/>
                        <w:lang w:val="en-US"/>
                      </w:rPr>
                      <w:t>10 000</w:t>
                    </w:r>
                  </w:p>
                </w:txbxContent>
              </v:textbox>
            </v:rect>
            <v:rect id="_x0000_s3193" style="position:absolute;left:115;top:2010;width:332;height:288;mso-wrap-style:none" filled="f" stroked="f">
              <v:textbox style="mso-fit-shape-to-text:t" inset="0,0,0,0">
                <w:txbxContent>
                  <w:p w:rsidR="000B433A" w:rsidRDefault="000B433A">
                    <w:r>
                      <w:rPr>
                        <w:rFonts w:cs="Calibri"/>
                        <w:color w:val="000000"/>
                        <w:sz w:val="12"/>
                        <w:szCs w:val="12"/>
                        <w:lang w:val="en-US"/>
                      </w:rPr>
                      <w:t>15 000</w:t>
                    </w:r>
                  </w:p>
                </w:txbxContent>
              </v:textbox>
            </v:rect>
            <v:rect id="_x0000_s3194" style="position:absolute;left:115;top:1176;width:332;height:288;mso-wrap-style:none" filled="f" stroked="f">
              <v:textbox style="mso-fit-shape-to-text:t" inset="0,0,0,0">
                <w:txbxContent>
                  <w:p w:rsidR="000B433A" w:rsidRDefault="000B433A">
                    <w:r>
                      <w:rPr>
                        <w:rFonts w:cs="Calibri"/>
                        <w:color w:val="000000"/>
                        <w:sz w:val="12"/>
                        <w:szCs w:val="12"/>
                        <w:lang w:val="en-US"/>
                      </w:rPr>
                      <w:t>20 000</w:t>
                    </w:r>
                  </w:p>
                </w:txbxContent>
              </v:textbox>
            </v:rect>
            <v:rect id="_x0000_s3195" style="position:absolute;left:115;top:342;width:332;height:288;mso-wrap-style:none" filled="f" stroked="f">
              <v:textbox style="mso-fit-shape-to-text:t" inset="0,0,0,0">
                <w:txbxContent>
                  <w:p w:rsidR="000B433A" w:rsidRDefault="000B433A">
                    <w:r>
                      <w:rPr>
                        <w:rFonts w:cs="Calibri"/>
                        <w:color w:val="000000"/>
                        <w:sz w:val="12"/>
                        <w:szCs w:val="12"/>
                        <w:lang w:val="en-US"/>
                      </w:rPr>
                      <w:t>25 000</w:t>
                    </w:r>
                  </w:p>
                </w:txbxContent>
              </v:textbox>
            </v:rect>
            <v:rect id="_x0000_s3196" style="position:absolute;left:115;top:-493;width:332;height:288;mso-wrap-style:none" filled="f" stroked="f">
              <v:textbox style="mso-fit-shape-to-text:t" inset="0,0,0,0">
                <w:txbxContent>
                  <w:p w:rsidR="000B433A" w:rsidRDefault="000B433A">
                    <w:r>
                      <w:rPr>
                        <w:rFonts w:cs="Calibri"/>
                        <w:color w:val="000000"/>
                        <w:sz w:val="12"/>
                        <w:szCs w:val="12"/>
                        <w:lang w:val="en-US"/>
                      </w:rPr>
                      <w:t>30 000</w:t>
                    </w:r>
                  </w:p>
                </w:txbxContent>
              </v:textbox>
            </v:rect>
            <v:rect id="_x0000_s3197" style="position:absolute;left:115;top:-1328;width:332;height:288;mso-wrap-style:none" filled="f" stroked="f">
              <v:textbox style="mso-fit-shape-to-text:t" inset="0,0,0,0">
                <w:txbxContent>
                  <w:p w:rsidR="000B433A" w:rsidRDefault="000B433A">
                    <w:r>
                      <w:rPr>
                        <w:rFonts w:cs="Calibri"/>
                        <w:color w:val="000000"/>
                        <w:sz w:val="12"/>
                        <w:szCs w:val="12"/>
                        <w:lang w:val="en-US"/>
                      </w:rPr>
                      <w:t>35 000</w:t>
                    </w:r>
                  </w:p>
                </w:txbxContent>
              </v:textbox>
            </v:rect>
            <v:rect id="_x0000_s3198" style="position:absolute;left:1154;top:4686;width:488;height:288;mso-wrap-style:none" filled="f" stroked="f">
              <v:textbox style="mso-fit-shape-to-text:t" inset="0,0,0,0">
                <w:txbxContent>
                  <w:p w:rsidR="000B433A" w:rsidRDefault="000B433A">
                    <w:r>
                      <w:rPr>
                        <w:rFonts w:cs="Calibri"/>
                        <w:color w:val="000000"/>
                        <w:sz w:val="12"/>
                        <w:szCs w:val="12"/>
                        <w:lang w:val="en-US"/>
                      </w:rPr>
                      <w:t>2005 (inv)</w:t>
                    </w:r>
                  </w:p>
                </w:txbxContent>
              </v:textbox>
            </v:rect>
            <v:rect id="_x0000_s3199" style="position:absolute;left:2931;top:4686;width:244;height:288;mso-wrap-style:none" filled="f" stroked="f">
              <v:textbox style="mso-fit-shape-to-text:t" inset="0,0,0,0">
                <w:txbxContent>
                  <w:p w:rsidR="000B433A" w:rsidRDefault="000B433A">
                    <w:r>
                      <w:rPr>
                        <w:rFonts w:cs="Calibri"/>
                        <w:color w:val="000000"/>
                        <w:sz w:val="12"/>
                        <w:szCs w:val="12"/>
                        <w:lang w:val="en-US"/>
                      </w:rPr>
                      <w:t>2015</w:t>
                    </w:r>
                  </w:p>
                </w:txbxContent>
              </v:textbox>
            </v:rect>
            <v:rect id="_x0000_s3200" style="position:absolute;left:4421;top:4686;width:539;height:288;mso-wrap-style:none" filled="f" stroked="f">
              <v:textbox style="mso-fit-shape-to-text:t" inset="0,0,0,0">
                <w:txbxContent>
                  <w:p w:rsidR="000B433A" w:rsidRDefault="000B433A">
                    <w:r>
                      <w:rPr>
                        <w:rFonts w:cs="Calibri"/>
                        <w:color w:val="000000"/>
                        <w:sz w:val="12"/>
                        <w:szCs w:val="12"/>
                        <w:lang w:val="en-US"/>
                      </w:rPr>
                      <w:t>WEM 2030</w:t>
                    </w:r>
                  </w:p>
                </w:txbxContent>
              </v:textbox>
            </v:rect>
            <v:rect id="_x0000_s3201" style="position:absolute;left:6069;top:4686;width:550;height:288;mso-wrap-style:none" filled="f" stroked="f">
              <v:textbox style="mso-fit-shape-to-text:t" inset="0,0,0,0">
                <w:txbxContent>
                  <w:p w:rsidR="000B433A" w:rsidRDefault="000B433A">
                    <w:r>
                      <w:rPr>
                        <w:rFonts w:cs="Calibri"/>
                        <w:color w:val="000000"/>
                        <w:sz w:val="12"/>
                        <w:szCs w:val="12"/>
                        <w:lang w:val="en-US"/>
                      </w:rPr>
                      <w:t>WAM 2030</w:t>
                    </w:r>
                  </w:p>
                </w:txbxContent>
              </v:textbox>
            </v:rect>
            <v:rect id="_x0000_s3202" style="position:absolute;left:42;top:1874;width:61;height:148;mso-wrap-style:none" filled="f" stroked="f">
              <v:textbox style="mso-fit-shape-to-text:t" inset="0,0,0,0">
                <w:txbxContent>
                  <w:p w:rsidR="000B433A" w:rsidRDefault="000B433A">
                    <w:r>
                      <w:rPr>
                        <w:rFonts w:cs="Calibri"/>
                        <w:b/>
                        <w:bCs/>
                        <w:color w:val="000000"/>
                        <w:sz w:val="2"/>
                        <w:szCs w:val="2"/>
                        <w:lang w:val="en-US"/>
                      </w:rPr>
                      <w:t>ktCO2e</w:t>
                    </w:r>
                  </w:p>
                </w:txbxContent>
              </v:textbox>
            </v:rect>
            <v:rect id="_x0000_s3203" style="position:absolute;left:1726;top:-1284;width:5966;height:457;mso-wrap-style:none" filled="f" stroked="f">
              <v:textbox style="mso-fit-shape-to-text:t" inset="0,0,0,0">
                <w:txbxContent>
                  <w:p w:rsidR="000B433A" w:rsidRPr="00010AED" w:rsidRDefault="000B433A">
                    <w:pPr>
                      <w:rPr>
                        <w:lang w:val="de-DE"/>
                      </w:rPr>
                    </w:pPr>
                    <w:r w:rsidRPr="00010AED">
                      <w:rPr>
                        <w:rFonts w:cs="Calibri"/>
                        <w:b/>
                        <w:bCs/>
                        <w:color w:val="000000"/>
                        <w:szCs w:val="24"/>
                        <w:lang w:val="de-DE"/>
                      </w:rPr>
                      <w:t xml:space="preserve">Entwicklung der </w:t>
                    </w:r>
                    <w:r>
                      <w:rPr>
                        <w:rFonts w:cs="Calibri"/>
                        <w:b/>
                        <w:bCs/>
                        <w:color w:val="000000"/>
                        <w:szCs w:val="24"/>
                        <w:lang w:val="de-DE"/>
                      </w:rPr>
                      <w:t>THG</w:t>
                    </w:r>
                    <w:r w:rsidRPr="00010AED">
                      <w:rPr>
                        <w:rFonts w:cs="Calibri"/>
                        <w:b/>
                        <w:bCs/>
                        <w:color w:val="000000"/>
                        <w:szCs w:val="24"/>
                        <w:lang w:val="de-DE"/>
                      </w:rPr>
                      <w:t xml:space="preserve">-Emissionen für die </w:t>
                    </w:r>
                    <w:r>
                      <w:rPr>
                        <w:rFonts w:cs="Calibri"/>
                        <w:b/>
                        <w:bCs/>
                        <w:color w:val="000000"/>
                        <w:szCs w:val="24"/>
                        <w:lang w:val="de-DE"/>
                      </w:rPr>
                      <w:t>Nicht-ETS-Sektoren</w:t>
                    </w:r>
                  </w:p>
                </w:txbxContent>
              </v:textbox>
            </v:rect>
            <v:rect id="_x0000_s3204" style="position:absolute;left:6949;top:-1284;width:74;height:457;mso-wrap-style:none" filled="f" stroked="f">
              <v:textbox style="mso-fit-shape-to-text:t" inset="0,0,0,0">
                <w:txbxContent>
                  <w:p w:rsidR="000B433A" w:rsidRDefault="000B433A">
                    <w:r>
                      <w:rPr>
                        <w:rFonts w:cs="Calibri"/>
                        <w:b/>
                        <w:bCs/>
                        <w:color w:val="000000"/>
                        <w:szCs w:val="24"/>
                        <w:lang w:val="en-US"/>
                      </w:rPr>
                      <w:t>-</w:t>
                    </w:r>
                  </w:p>
                </w:txbxContent>
              </v:textbox>
            </v:rect>
            <v:rect id="_x0000_s3205" style="position:absolute;left:7748;top:-893;width:79;height:89" fillcolor="#d19392" stroked="f"/>
            <v:rect id="_x0000_s3206" style="position:absolute;left:7852;top:-926;width:413;height:288;mso-wrap-style:none" filled="f" stroked="f">
              <v:textbox style="mso-fit-shape-to-text:t" inset="0,0,0,0">
                <w:txbxContent>
                  <w:p w:rsidR="000B433A" w:rsidRDefault="000B433A">
                    <w:r>
                      <w:rPr>
                        <w:rFonts w:cs="Calibri"/>
                        <w:color w:val="000000"/>
                        <w:sz w:val="12"/>
                        <w:szCs w:val="12"/>
                        <w:lang w:val="en-US"/>
                      </w:rPr>
                      <w:t>Sonstige</w:t>
                    </w:r>
                  </w:p>
                </w:txbxContent>
              </v:textbox>
            </v:rect>
            <v:rect id="_x0000_s3207" style="position:absolute;left:7748;top:-567;width:79;height:89" fillcolor="#93a9cf" stroked="f"/>
            <v:rect id="_x0000_s3208" style="position:absolute;left:7852;top:-601;width:342;height:288;mso-wrap-style:none" filled="f" stroked="f">
              <v:textbox style="mso-fit-shape-to-text:t" inset="0,0,0,0">
                <w:txbxContent>
                  <w:p w:rsidR="000B433A" w:rsidRDefault="000B433A">
                    <w:r>
                      <w:rPr>
                        <w:rFonts w:cs="Calibri"/>
                        <w:color w:val="000000"/>
                        <w:sz w:val="12"/>
                        <w:szCs w:val="12"/>
                        <w:lang w:val="en-US"/>
                      </w:rPr>
                      <w:t>Abfälle</w:t>
                    </w:r>
                  </w:p>
                </w:txbxContent>
              </v:textbox>
            </v:rect>
            <v:rect id="_x0000_s3209" style="position:absolute;left:7748;top:-240;width:79;height:79" fillcolor="#db843d" stroked="f"/>
            <v:rect id="_x0000_s3210" style="position:absolute;left:7852;top:-277;width:725;height:288;mso-wrap-style:none" filled="f" stroked="f">
              <v:textbox style="mso-fit-shape-to-text:t" inset="0,0,0,0">
                <w:txbxContent>
                  <w:p w:rsidR="000B433A" w:rsidRDefault="000B433A">
                    <w:r>
                      <w:rPr>
                        <w:rFonts w:cs="Calibri"/>
                        <w:color w:val="000000"/>
                        <w:sz w:val="12"/>
                        <w:szCs w:val="12"/>
                        <w:lang w:val="en-US"/>
                      </w:rPr>
                      <w:t>Landwirtschaft</w:t>
                    </w:r>
                  </w:p>
                </w:txbxContent>
              </v:textbox>
            </v:rect>
            <v:rect id="_x0000_s3211" style="position:absolute;left:7748;top:86;width:79;height:79" fillcolor="#4198af" stroked="f"/>
            <v:rect id="_x0000_s3212" style="position:absolute;left:7852;top:46;width:937;height:288" filled="f" stroked="f">
              <v:textbox style="mso-fit-shape-to-text:t" inset="0,0,0,0">
                <w:txbxContent>
                  <w:p w:rsidR="000B433A" w:rsidRDefault="000B433A">
                    <w:r>
                      <w:rPr>
                        <w:rFonts w:cs="Calibri"/>
                        <w:color w:val="000000"/>
                        <w:sz w:val="12"/>
                        <w:szCs w:val="12"/>
                        <w:lang w:val="en-US"/>
                      </w:rPr>
                      <w:t>Dienstleistungen</w:t>
                    </w:r>
                  </w:p>
                </w:txbxContent>
              </v:textbox>
            </v:rect>
            <v:rect id="_x0000_s3213" style="position:absolute;left:7748;top:403;width:79;height:89" fillcolor="#71588f" stroked="f"/>
            <v:rect id="_x0000_s3214" style="position:absolute;left:7852;top:370;width:577;height:288" filled="f" stroked="f">
              <v:textbox style="mso-fit-shape-to-text:t" inset="0,0,0,0">
                <w:txbxContent>
                  <w:p w:rsidR="000B433A" w:rsidRDefault="000B433A">
                    <w:r>
                      <w:rPr>
                        <w:rFonts w:cs="Calibri"/>
                        <w:color w:val="000000"/>
                        <w:sz w:val="12"/>
                        <w:szCs w:val="12"/>
                        <w:lang w:val="en-US"/>
                      </w:rPr>
                      <w:t>Wohnen</w:t>
                    </w:r>
                  </w:p>
                </w:txbxContent>
              </v:textbox>
            </v:rect>
            <v:rect id="_x0000_s3215" style="position:absolute;left:7748;top:729;width:79;height:79" fillcolor="#89a54e" stroked="f"/>
            <v:rect id="_x0000_s3216" style="position:absolute;left:7852;top:694;width:477;height:288;mso-wrap-style:none" filled="f" stroked="f">
              <v:textbox style="mso-fit-shape-to-text:t" inset="0,0,0,0">
                <w:txbxContent>
                  <w:p w:rsidR="000B433A" w:rsidRDefault="000B433A">
                    <w:r>
                      <w:rPr>
                        <w:rFonts w:cs="Calibri"/>
                        <w:color w:val="000000"/>
                        <w:sz w:val="12"/>
                        <w:szCs w:val="12"/>
                        <w:lang w:val="en-US"/>
                      </w:rPr>
                      <w:t>Transport</w:t>
                    </w:r>
                  </w:p>
                </w:txbxContent>
              </v:textbox>
            </v:rect>
            <v:rect id="_x0000_s3217" style="position:absolute;left:7748;top:1056;width:79;height:79" fillcolor="#aa4643" stroked="f"/>
            <v:rect id="_x0000_s3218" style="position:absolute;left:7852;top:1018;width:436;height:288;mso-wrap-style:none" filled="f" stroked="f">
              <v:textbox style="mso-fit-shape-to-text:t" inset="0,0,0,0">
                <w:txbxContent>
                  <w:p w:rsidR="000B433A" w:rsidRDefault="000B433A">
                    <w:r>
                      <w:rPr>
                        <w:rFonts w:cs="Calibri"/>
                        <w:color w:val="000000"/>
                        <w:sz w:val="12"/>
                        <w:szCs w:val="12"/>
                        <w:lang w:val="en-US"/>
                      </w:rPr>
                      <w:t xml:space="preserve">Industrie </w:t>
                    </w:r>
                  </w:p>
                </w:txbxContent>
              </v:textbox>
            </v:rect>
            <v:rect id="_x0000_s3219" style="position:absolute;left:7748;top:1382;width:79;height:79" fillcolor="#4572a7" stroked="f"/>
            <v:rect id="_x0000_s3220" style="position:absolute;left:7852;top:1341;width:764;height:288;mso-wrap-style:none" filled="f" stroked="f">
              <v:textbox style="mso-fit-shape-to-text:t" inset="0,0,0,0">
                <w:txbxContent>
                  <w:p w:rsidR="000B433A" w:rsidRDefault="000B433A">
                    <w:r>
                      <w:rPr>
                        <w:rFonts w:cs="Calibri"/>
                        <w:color w:val="000000"/>
                        <w:sz w:val="12"/>
                        <w:szCs w:val="12"/>
                        <w:lang w:val="en-US"/>
                      </w:rPr>
                      <w:t xml:space="preserve">Energie (Strom- </w:t>
                    </w:r>
                  </w:p>
                </w:txbxContent>
              </v:textbox>
            </v:rect>
            <v:rect id="_x0000_s3221" style="position:absolute;left:7852;top:1500;width:548;height:288;mso-wrap-style:none" filled="f" stroked="f">
              <v:textbox style="mso-fit-shape-to-text:t" inset="0,0,0,0">
                <w:txbxContent>
                  <w:p w:rsidR="000B433A" w:rsidRDefault="000B433A">
                    <w:proofErr w:type="gramStart"/>
                    <w:r>
                      <w:rPr>
                        <w:rFonts w:cs="Calibri"/>
                        <w:color w:val="000000"/>
                        <w:sz w:val="12"/>
                        <w:szCs w:val="12"/>
                        <w:lang w:val="en-US"/>
                      </w:rPr>
                      <w:t>erzeugung</w:t>
                    </w:r>
                    <w:proofErr w:type="gramEnd"/>
                    <w:r>
                      <w:rPr>
                        <w:rFonts w:cs="Calibri"/>
                        <w:color w:val="000000"/>
                        <w:sz w:val="12"/>
                        <w:szCs w:val="12"/>
                        <w:lang w:val="en-US"/>
                      </w:rPr>
                      <w:t>)</w:t>
                    </w:r>
                  </w:p>
                </w:txbxContent>
              </v:textbox>
            </v:rect>
            <v:shape id="_x0000_s3222" style="position:absolute;left:-283;top:-1388;width:9673;height:6332" coordsize="15648,10240" path="m,8hdc,4,4,,8,hal15640,hdc15645,,15648,4,15648,8hal15648,10232hdc15648,10237,15645,10240,15640,10240hal8,10240hdc4,10240,,10237,,10232hal,8hdxm16,10232hal8,10224r15632,l15632,10232,15632,8r8,8l8,16,16,8r,10224hdxe" fillcolor="#868686" strokecolor="#868686" strokeweight=".05pt">
              <v:path arrowok="t"/>
              <o:lock v:ext="edit" verticies="t"/>
            </v:shape>
            <v:rect id="_x0000_s3223" style="position:absolute;left:1384;top:-339;width:4945;height:10" fillcolor="#46aac5" strokecolor="#46aac5" strokeweight=".05pt">
              <v:stroke joinstyle="round"/>
            </v:rect>
            <v:shape id="_x0000_s3224" style="position:absolute;left:6324;top:-334;width:20;height:1939" coordsize="20,1939" path="m10,l20,1939r-10,l,,10,xe" fillcolor="#46aac5" strokecolor="#46aac5" strokeweight=".05pt">
              <v:path arrowok="t"/>
            </v:shape>
            <v:rect id="_x0000_s3225" style="position:absolute;left:4682;top:-334;width:10;height:1197" fillcolor="#4bacc6" strokecolor="#4bacc6" strokeweight=".05pt">
              <v:stroke joinstyle="round"/>
            </v:rect>
            <v:shape id="_x0000_s3226" style="position:absolute;left:3030;top:-344;width:20;height:881" coordsize="20,881" path="m20,l10,881,,880,10,,20,xe" fillcolor="#4bacc6" strokecolor="#4bacc6" strokeweight=".05pt">
              <v:path arrowok="t"/>
            </v:shape>
            <v:shape id="_x0000_s3227" style="position:absolute;left:3090;top:-33;width:702;height:287" coordsize="1136,464" path="m,8hdc,4,4,,8,hal1128,hdc1133,,1136,4,1136,8hal1136,456hdc1136,461,1133,464,1128,464hal8,464hdc4,464,,461,,456hal,8hdxm16,456hal8,448r1120,l1120,456r,-448l1128,16,8,16,16,8r,448hdxe" fillcolor="#4bacc6" strokecolor="#4bacc6" strokeweight=".05pt">
              <v:path arrowok="t"/>
              <o:lock v:ext="edit" verticies="t"/>
            </v:shape>
            <v:rect id="_x0000_s3228" style="position:absolute;left:3191;top:21;width:43;height:317;mso-wrap-style:none" filled="f" stroked="f">
              <v:textbox style="mso-fit-shape-to-text:t" inset="0,0,0,0">
                <w:txbxContent>
                  <w:p w:rsidR="000B433A" w:rsidRDefault="000B433A">
                    <w:r>
                      <w:rPr>
                        <w:rFonts w:cs="Calibri"/>
                        <w:color w:val="000000"/>
                        <w:sz w:val="14"/>
                        <w:szCs w:val="14"/>
                        <w:lang w:val="en-US"/>
                      </w:rPr>
                      <w:t>-</w:t>
                    </w:r>
                  </w:p>
                </w:txbxContent>
              </v:textbox>
            </v:rect>
            <v:rect id="_x0000_s3229" style="position:absolute;left:3260;top:21;width:348;height:317;mso-wrap-style:none" filled="f" stroked="f">
              <v:textbox style="mso-fit-shape-to-text:t" inset="0,0,0,0">
                <w:txbxContent>
                  <w:p w:rsidR="000B433A" w:rsidRDefault="000B433A">
                    <w:r>
                      <w:rPr>
                        <w:rFonts w:cs="Calibri"/>
                        <w:color w:val="000000"/>
                        <w:sz w:val="14"/>
                        <w:szCs w:val="14"/>
                        <w:lang w:val="en-US"/>
                      </w:rPr>
                      <w:t>17</w:t>
                    </w:r>
                    <w:proofErr w:type="gramStart"/>
                    <w:r>
                      <w:rPr>
                        <w:rFonts w:cs="Calibri"/>
                        <w:color w:val="000000"/>
                        <w:sz w:val="14"/>
                        <w:szCs w:val="14"/>
                        <w:lang w:val="en-US"/>
                      </w:rPr>
                      <w:t>,6</w:t>
                    </w:r>
                    <w:proofErr w:type="gramEnd"/>
                    <w:r>
                      <w:rPr>
                        <w:rFonts w:cs="Calibri"/>
                        <w:color w:val="000000"/>
                        <w:sz w:val="14"/>
                        <w:szCs w:val="14"/>
                        <w:lang w:val="en-US"/>
                      </w:rPr>
                      <w:t>%</w:t>
                    </w:r>
                  </w:p>
                </w:txbxContent>
              </v:textbox>
            </v:rect>
            <v:shape id="_x0000_s3230" style="position:absolute;left:4751;top:-13;width:643;height:277" coordsize="1040,448" path="m,8hdc,4,4,,8,hal1032,hdc1037,,1040,4,1040,8hal1040,440hdc1040,445,1037,448,1032,448hal8,448hdc4,448,,445,,440hal,8hdxm16,440hal8,432r1024,l1024,440r,-432l1032,16,8,16,16,8r,432hdxe" fillcolor="#4bacc6" strokecolor="#4bacc6" strokeweight=".05pt">
              <v:path arrowok="t"/>
              <o:lock v:ext="edit" verticies="t"/>
            </v:shape>
            <v:rect id="_x0000_s3231" style="position:absolute;left:4850;top:37;width:43;height:317;mso-wrap-style:none" filled="f" stroked="f">
              <v:textbox style="mso-fit-shape-to-text:t" inset="0,0,0,0">
                <w:txbxContent>
                  <w:p w:rsidR="000B433A" w:rsidRDefault="000B433A">
                    <w:r>
                      <w:rPr>
                        <w:rFonts w:cs="Calibri"/>
                        <w:color w:val="000000"/>
                        <w:sz w:val="14"/>
                        <w:szCs w:val="14"/>
                        <w:lang w:val="en-US"/>
                      </w:rPr>
                      <w:t>-</w:t>
                    </w:r>
                  </w:p>
                </w:txbxContent>
              </v:textbox>
            </v:rect>
            <v:rect id="_x0000_s3232" style="position:absolute;left:4919;top:37;width:348;height:317;mso-wrap-style:none" filled="f" stroked="f">
              <v:textbox style="mso-fit-shape-to-text:t" inset="0,0,0,0">
                <w:txbxContent>
                  <w:p w:rsidR="000B433A" w:rsidRDefault="000B433A">
                    <w:r>
                      <w:rPr>
                        <w:rFonts w:cs="Calibri"/>
                        <w:color w:val="000000"/>
                        <w:sz w:val="14"/>
                        <w:szCs w:val="14"/>
                        <w:lang w:val="en-US"/>
                      </w:rPr>
                      <w:t>24</w:t>
                    </w:r>
                    <w:proofErr w:type="gramStart"/>
                    <w:r>
                      <w:rPr>
                        <w:rFonts w:cs="Calibri"/>
                        <w:color w:val="000000"/>
                        <w:sz w:val="14"/>
                        <w:szCs w:val="14"/>
                        <w:lang w:val="en-US"/>
                      </w:rPr>
                      <w:t>,5</w:t>
                    </w:r>
                    <w:proofErr w:type="gramEnd"/>
                    <w:r>
                      <w:rPr>
                        <w:rFonts w:cs="Calibri"/>
                        <w:color w:val="000000"/>
                        <w:sz w:val="14"/>
                        <w:szCs w:val="14"/>
                        <w:lang w:val="en-US"/>
                      </w:rPr>
                      <w:t>%</w:t>
                    </w:r>
                  </w:p>
                </w:txbxContent>
              </v:textbox>
            </v:rect>
            <v:shape id="_x0000_s3233" style="position:absolute;left:6413;top:620;width:653;height:287" coordsize="1056,464" path="m,8hdc,4,4,,8,hal1048,hdc1053,,1056,4,1056,8hal1056,456hdc1056,461,1053,464,1048,464hal8,464hdc4,464,,461,,456hal,8hdxm16,456hal8,448r1040,l1040,456r,-448l1048,16,8,16,16,8r,448hdxe" fillcolor="#4bacc6" strokecolor="#4bacc6" strokeweight=".05pt">
              <v:path arrowok="t"/>
              <o:lock v:ext="edit" verticies="t"/>
            </v:shape>
            <v:rect id="_x0000_s3234" style="position:absolute;left:6509;top:675;width:43;height:317;mso-wrap-style:none" filled="f" stroked="f">
              <v:textbox style="mso-fit-shape-to-text:t" inset="0,0,0,0">
                <w:txbxContent>
                  <w:p w:rsidR="000B433A" w:rsidRDefault="000B433A">
                    <w:r>
                      <w:rPr>
                        <w:rFonts w:cs="Calibri"/>
                        <w:color w:val="000000"/>
                        <w:sz w:val="14"/>
                        <w:szCs w:val="14"/>
                        <w:lang w:val="en-US"/>
                      </w:rPr>
                      <w:t>-</w:t>
                    </w:r>
                  </w:p>
                </w:txbxContent>
              </v:textbox>
            </v:rect>
            <v:rect id="_x0000_s3235" style="position:absolute;left:6578;top:675;width:242;height:317;mso-wrap-style:none" filled="f" stroked="f">
              <v:textbox style="mso-fit-shape-to-text:t" inset="0,0,0,0">
                <w:txbxContent>
                  <w:p w:rsidR="000B433A" w:rsidRDefault="000B433A">
                    <w:r>
                      <w:rPr>
                        <w:rFonts w:cs="Calibri"/>
                        <w:color w:val="000000"/>
                        <w:sz w:val="14"/>
                        <w:szCs w:val="14"/>
                        <w:lang w:val="en-US"/>
                      </w:rPr>
                      <w:t>37%</w:t>
                    </w:r>
                  </w:p>
                </w:txbxContent>
              </v:textbox>
            </v:rect>
            <w10:wrap type="none"/>
            <w10:anchorlock/>
          </v:group>
        </w:pict>
      </w:r>
    </w:p>
    <w:p w:rsidR="000B433A" w:rsidRDefault="000B433A" w:rsidP="004364AD">
      <w:pPr>
        <w:pStyle w:val="Titre2"/>
        <w:numPr>
          <w:ilvl w:val="1"/>
          <w:numId w:val="1"/>
        </w:numPr>
        <w:ind w:left="851" w:hanging="851"/>
        <w:rPr>
          <w:rFonts w:ascii="Calibri" w:hAnsi="Calibri" w:cs="Calibri"/>
          <w:color w:val="1F497D"/>
          <w:sz w:val="28"/>
          <w:szCs w:val="28"/>
          <w:lang w:val="de-DE"/>
        </w:rPr>
      </w:pPr>
      <w:bookmarkStart w:id="70" w:name="_Toc7802478"/>
      <w:r>
        <w:rPr>
          <w:rFonts w:ascii="Calibri" w:hAnsi="Calibri" w:cs="Calibri"/>
          <w:color w:val="1F497D"/>
          <w:sz w:val="28"/>
          <w:lang w:val="de-DE"/>
        </w:rPr>
        <w:t>Im Bereich der erneuerbaren Energien</w:t>
      </w:r>
      <w:bookmarkEnd w:id="70"/>
      <w:r>
        <w:rPr>
          <w:rFonts w:ascii="Calibri" w:hAnsi="Calibri" w:cs="Calibri"/>
          <w:color w:val="1F497D"/>
          <w:sz w:val="28"/>
          <w:lang w:val="de-DE"/>
        </w:rPr>
        <w:t xml:space="preserve"> </w:t>
      </w:r>
    </w:p>
    <w:tbl>
      <w:tblPr>
        <w:tblW w:w="891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982"/>
        <w:gridCol w:w="984"/>
        <w:gridCol w:w="1143"/>
        <w:gridCol w:w="1418"/>
        <w:gridCol w:w="1110"/>
        <w:gridCol w:w="1282"/>
      </w:tblGrid>
      <w:tr w:rsidR="000B433A" w:rsidRPr="005759E4" w:rsidTr="002C5385">
        <w:trPr>
          <w:trHeight w:val="300"/>
          <w:tblHeader/>
        </w:trPr>
        <w:tc>
          <w:tcPr>
            <w:tcW w:w="2982" w:type="dxa"/>
            <w:shd w:val="clear" w:color="000000" w:fill="F2DDDC"/>
            <w:noWrap/>
            <w:vAlign w:val="center"/>
          </w:tcPr>
          <w:p w:rsidR="000B433A" w:rsidRPr="005759E4" w:rsidRDefault="000B433A" w:rsidP="002C5385">
            <w:pPr>
              <w:spacing w:after="0" w:line="240" w:lineRule="auto"/>
              <w:jc w:val="center"/>
              <w:rPr>
                <w:rFonts w:cs="Calibri"/>
                <w:i/>
                <w:iCs/>
                <w:color w:val="000000"/>
                <w:lang w:val="de-DE"/>
              </w:rPr>
            </w:pPr>
            <w:r w:rsidRPr="005759E4">
              <w:rPr>
                <w:rFonts w:cs="Calibri"/>
                <w:i/>
                <w:color w:val="000000"/>
                <w:sz w:val="22"/>
                <w:lang w:val="de-DE"/>
              </w:rPr>
              <w:t>GWh</w:t>
            </w:r>
          </w:p>
        </w:tc>
        <w:tc>
          <w:tcPr>
            <w:tcW w:w="984" w:type="dxa"/>
            <w:shd w:val="clear" w:color="000000" w:fill="F2DDDC"/>
            <w:vAlign w:val="center"/>
          </w:tcPr>
          <w:p w:rsidR="000B433A" w:rsidRPr="005759E4" w:rsidRDefault="000B433A" w:rsidP="002C5385">
            <w:pPr>
              <w:spacing w:after="0" w:line="240" w:lineRule="auto"/>
              <w:jc w:val="center"/>
              <w:rPr>
                <w:rFonts w:cs="Calibri"/>
                <w:b/>
                <w:color w:val="000000"/>
                <w:lang w:val="de-DE"/>
              </w:rPr>
            </w:pPr>
            <w:r w:rsidRPr="005759E4">
              <w:rPr>
                <w:rFonts w:cs="Calibri"/>
                <w:b/>
                <w:color w:val="000000"/>
                <w:sz w:val="22"/>
                <w:lang w:val="de-DE"/>
              </w:rPr>
              <w:t>Erreicht 2015</w:t>
            </w:r>
          </w:p>
        </w:tc>
        <w:tc>
          <w:tcPr>
            <w:tcW w:w="1143" w:type="dxa"/>
            <w:shd w:val="clear" w:color="000000" w:fill="F2DDDC"/>
            <w:noWrap/>
            <w:vAlign w:val="center"/>
          </w:tcPr>
          <w:p w:rsidR="000B433A" w:rsidRPr="005759E4" w:rsidRDefault="000B433A" w:rsidP="002C5385">
            <w:pPr>
              <w:spacing w:after="0" w:line="240" w:lineRule="auto"/>
              <w:jc w:val="center"/>
              <w:rPr>
                <w:b/>
                <w:color w:val="000000"/>
                <w:lang w:val="de-DE"/>
              </w:rPr>
            </w:pPr>
            <w:r w:rsidRPr="005759E4">
              <w:rPr>
                <w:b/>
                <w:color w:val="000000"/>
                <w:sz w:val="22"/>
                <w:lang w:val="de-DE"/>
              </w:rPr>
              <w:t>Erreicht 2016</w:t>
            </w:r>
          </w:p>
        </w:tc>
        <w:tc>
          <w:tcPr>
            <w:tcW w:w="1418" w:type="dxa"/>
            <w:shd w:val="clear" w:color="000000" w:fill="F2DDDC"/>
            <w:noWrap/>
            <w:vAlign w:val="center"/>
          </w:tcPr>
          <w:p w:rsidR="000B433A" w:rsidRPr="005759E4" w:rsidRDefault="000B433A" w:rsidP="002C5385">
            <w:pPr>
              <w:spacing w:after="0" w:line="240" w:lineRule="auto"/>
              <w:jc w:val="center"/>
              <w:rPr>
                <w:rFonts w:cs="Calibri"/>
                <w:b/>
                <w:color w:val="000000"/>
                <w:lang w:val="de-DE"/>
              </w:rPr>
            </w:pPr>
            <w:r w:rsidRPr="005759E4">
              <w:rPr>
                <w:rFonts w:cs="Calibri"/>
                <w:b/>
                <w:color w:val="000000"/>
                <w:sz w:val="22"/>
                <w:lang w:val="de-DE"/>
              </w:rPr>
              <w:t>Ziel bis 2020</w:t>
            </w:r>
          </w:p>
        </w:tc>
        <w:tc>
          <w:tcPr>
            <w:tcW w:w="1110" w:type="dxa"/>
            <w:shd w:val="clear" w:color="000000" w:fill="F2DDDC"/>
            <w:vAlign w:val="center"/>
          </w:tcPr>
          <w:p w:rsidR="000B433A" w:rsidRPr="005759E4" w:rsidRDefault="000B433A" w:rsidP="002C5385">
            <w:pPr>
              <w:spacing w:after="0" w:line="240" w:lineRule="auto"/>
              <w:jc w:val="center"/>
              <w:rPr>
                <w:rFonts w:cs="Calibri"/>
                <w:b/>
                <w:color w:val="000000"/>
                <w:lang w:val="de-DE"/>
              </w:rPr>
            </w:pPr>
            <w:r w:rsidRPr="005759E4">
              <w:rPr>
                <w:rFonts w:cs="Calibri"/>
                <w:b/>
                <w:color w:val="000000"/>
                <w:sz w:val="22"/>
                <w:lang w:val="de-DE"/>
              </w:rPr>
              <w:t>Ziel bis 2030 WEM</w:t>
            </w:r>
            <w:r w:rsidRPr="005759E4">
              <w:rPr>
                <w:rStyle w:val="Appelnotedebasdep"/>
                <w:rFonts w:cs="Calibri"/>
                <w:color w:val="000000"/>
                <w:lang w:val="de-DE"/>
              </w:rPr>
              <w:footnoteReference w:id="28"/>
            </w:r>
          </w:p>
        </w:tc>
        <w:tc>
          <w:tcPr>
            <w:tcW w:w="1282" w:type="dxa"/>
            <w:shd w:val="clear" w:color="000000" w:fill="F2DDDC"/>
            <w:vAlign w:val="center"/>
          </w:tcPr>
          <w:p w:rsidR="000B433A" w:rsidRPr="005759E4" w:rsidRDefault="000B433A" w:rsidP="002C5385">
            <w:pPr>
              <w:spacing w:after="0" w:line="240" w:lineRule="auto"/>
              <w:jc w:val="center"/>
              <w:rPr>
                <w:rFonts w:cs="Calibri"/>
                <w:b/>
                <w:color w:val="000000"/>
                <w:lang w:val="de-DE"/>
              </w:rPr>
            </w:pPr>
            <w:r w:rsidRPr="005759E4">
              <w:rPr>
                <w:rFonts w:cs="Calibri"/>
                <w:b/>
                <w:color w:val="000000"/>
                <w:sz w:val="22"/>
                <w:lang w:val="de-DE"/>
              </w:rPr>
              <w:t>Ziel bis 2030 WAM</w:t>
            </w:r>
            <w:r w:rsidRPr="005759E4">
              <w:rPr>
                <w:rStyle w:val="Appelnotedebasdep"/>
                <w:rFonts w:cs="Calibri"/>
                <w:color w:val="000000"/>
                <w:lang w:val="de-DE"/>
              </w:rPr>
              <w:footnoteReference w:id="29"/>
            </w:r>
          </w:p>
        </w:tc>
      </w:tr>
      <w:tr w:rsidR="000B433A" w:rsidRPr="005759E4" w:rsidTr="002C5385">
        <w:trPr>
          <w:trHeight w:val="300"/>
        </w:trPr>
        <w:tc>
          <w:tcPr>
            <w:tcW w:w="2982" w:type="dxa"/>
            <w:noWrap/>
            <w:vAlign w:val="center"/>
          </w:tcPr>
          <w:p w:rsidR="000B433A" w:rsidRPr="005759E4" w:rsidRDefault="000B433A" w:rsidP="002C5385">
            <w:pPr>
              <w:spacing w:after="0" w:line="240" w:lineRule="auto"/>
              <w:jc w:val="center"/>
              <w:rPr>
                <w:rFonts w:cs="Calibri"/>
                <w:color w:val="000000"/>
                <w:lang w:val="de-DE"/>
              </w:rPr>
            </w:pPr>
            <w:r w:rsidRPr="005759E4">
              <w:rPr>
                <w:rFonts w:cs="Calibri"/>
                <w:color w:val="000000"/>
                <w:sz w:val="22"/>
                <w:lang w:val="de-DE"/>
              </w:rPr>
              <w:t>Strom</w:t>
            </w:r>
          </w:p>
        </w:tc>
        <w:tc>
          <w:tcPr>
            <w:tcW w:w="984" w:type="dxa"/>
            <w:vAlign w:val="center"/>
          </w:tcPr>
          <w:p w:rsidR="000B433A" w:rsidRPr="005759E4" w:rsidRDefault="000B433A" w:rsidP="002C5385">
            <w:pPr>
              <w:spacing w:after="0" w:line="240" w:lineRule="auto"/>
              <w:jc w:val="center"/>
              <w:rPr>
                <w:rFonts w:cs="Calibri"/>
                <w:color w:val="000000"/>
                <w:lang w:val="de-DE"/>
              </w:rPr>
            </w:pPr>
            <w:r w:rsidRPr="005759E4">
              <w:rPr>
                <w:rFonts w:cs="Calibri"/>
                <w:color w:val="000000"/>
                <w:sz w:val="22"/>
                <w:lang w:val="de-DE"/>
              </w:rPr>
              <w:t>4060</w:t>
            </w:r>
          </w:p>
        </w:tc>
        <w:tc>
          <w:tcPr>
            <w:tcW w:w="1143" w:type="dxa"/>
            <w:noWrap/>
            <w:vAlign w:val="center"/>
          </w:tcPr>
          <w:p w:rsidR="000B433A" w:rsidRPr="005759E4" w:rsidRDefault="000B433A" w:rsidP="002C5385">
            <w:pPr>
              <w:spacing w:after="0" w:line="240" w:lineRule="auto"/>
              <w:jc w:val="center"/>
              <w:rPr>
                <w:color w:val="000000"/>
                <w:lang w:val="de-DE"/>
              </w:rPr>
            </w:pPr>
            <w:r w:rsidRPr="005759E4">
              <w:rPr>
                <w:color w:val="000000"/>
                <w:sz w:val="22"/>
                <w:lang w:val="de-DE"/>
              </w:rPr>
              <w:t>4463</w:t>
            </w:r>
          </w:p>
        </w:tc>
        <w:tc>
          <w:tcPr>
            <w:tcW w:w="1418" w:type="dxa"/>
            <w:noWrap/>
            <w:vAlign w:val="center"/>
          </w:tcPr>
          <w:p w:rsidR="000B433A" w:rsidRPr="005759E4" w:rsidRDefault="000B433A" w:rsidP="002C5385">
            <w:pPr>
              <w:spacing w:after="0" w:line="240" w:lineRule="auto"/>
              <w:jc w:val="center"/>
              <w:rPr>
                <w:rFonts w:cs="Calibri"/>
                <w:color w:val="000000"/>
                <w:lang w:val="de-DE"/>
              </w:rPr>
            </w:pPr>
            <w:r w:rsidRPr="005759E4">
              <w:rPr>
                <w:rFonts w:cs="Calibri"/>
                <w:color w:val="000000"/>
                <w:sz w:val="22"/>
                <w:lang w:val="de-DE"/>
              </w:rPr>
              <w:t>5555</w:t>
            </w:r>
          </w:p>
        </w:tc>
        <w:tc>
          <w:tcPr>
            <w:tcW w:w="1110" w:type="dxa"/>
            <w:vAlign w:val="center"/>
          </w:tcPr>
          <w:p w:rsidR="000B433A" w:rsidRPr="005759E4" w:rsidRDefault="000B433A" w:rsidP="002C5385">
            <w:pPr>
              <w:spacing w:after="0" w:line="240" w:lineRule="auto"/>
              <w:jc w:val="center"/>
              <w:rPr>
                <w:rFonts w:cs="Calibri"/>
                <w:color w:val="000000"/>
                <w:lang w:val="de-DE"/>
              </w:rPr>
            </w:pPr>
            <w:r w:rsidRPr="005759E4">
              <w:rPr>
                <w:rFonts w:cs="Calibri"/>
                <w:color w:val="000000"/>
                <w:sz w:val="22"/>
                <w:lang w:val="de-DE"/>
              </w:rPr>
              <w:t>5691</w:t>
            </w:r>
          </w:p>
        </w:tc>
        <w:tc>
          <w:tcPr>
            <w:tcW w:w="1282" w:type="dxa"/>
            <w:vAlign w:val="center"/>
          </w:tcPr>
          <w:p w:rsidR="000B433A" w:rsidRPr="005759E4" w:rsidRDefault="000B433A" w:rsidP="002C5385">
            <w:pPr>
              <w:spacing w:after="0" w:line="240" w:lineRule="auto"/>
              <w:jc w:val="center"/>
              <w:rPr>
                <w:rFonts w:cs="Calibri"/>
                <w:color w:val="000000"/>
                <w:lang w:val="de-DE"/>
              </w:rPr>
            </w:pPr>
            <w:r w:rsidRPr="005759E4">
              <w:rPr>
                <w:rFonts w:cs="Calibri"/>
                <w:color w:val="000000"/>
                <w:sz w:val="22"/>
                <w:lang w:val="de-DE"/>
              </w:rPr>
              <w:t>10081</w:t>
            </w:r>
          </w:p>
        </w:tc>
      </w:tr>
      <w:tr w:rsidR="000B433A" w:rsidRPr="005759E4" w:rsidTr="002C5385">
        <w:trPr>
          <w:trHeight w:val="300"/>
        </w:trPr>
        <w:tc>
          <w:tcPr>
            <w:tcW w:w="2982" w:type="dxa"/>
            <w:noWrap/>
            <w:vAlign w:val="center"/>
          </w:tcPr>
          <w:p w:rsidR="000B433A" w:rsidRPr="005759E4" w:rsidRDefault="000B433A" w:rsidP="002C5385">
            <w:pPr>
              <w:spacing w:after="0" w:line="240" w:lineRule="auto"/>
              <w:jc w:val="center"/>
              <w:rPr>
                <w:rFonts w:cs="Calibri"/>
                <w:color w:val="000000"/>
                <w:lang w:val="de-DE"/>
              </w:rPr>
            </w:pPr>
            <w:r w:rsidRPr="005759E4">
              <w:rPr>
                <w:rFonts w:cs="Calibri"/>
                <w:color w:val="000000"/>
                <w:sz w:val="22"/>
                <w:lang w:val="de-DE"/>
              </w:rPr>
              <w:t>Wärme</w:t>
            </w:r>
          </w:p>
        </w:tc>
        <w:tc>
          <w:tcPr>
            <w:tcW w:w="984" w:type="dxa"/>
            <w:vAlign w:val="center"/>
          </w:tcPr>
          <w:p w:rsidR="000B433A" w:rsidRPr="005759E4" w:rsidRDefault="000B433A" w:rsidP="002C5385">
            <w:pPr>
              <w:spacing w:after="0" w:line="240" w:lineRule="auto"/>
              <w:jc w:val="center"/>
              <w:rPr>
                <w:rFonts w:cs="Calibri"/>
                <w:color w:val="000000"/>
                <w:lang w:val="de-DE"/>
              </w:rPr>
            </w:pPr>
            <w:r w:rsidRPr="005759E4">
              <w:rPr>
                <w:rFonts w:cs="Calibri"/>
                <w:color w:val="000000"/>
                <w:sz w:val="22"/>
                <w:lang w:val="de-DE"/>
              </w:rPr>
              <w:t>8108</w:t>
            </w:r>
          </w:p>
        </w:tc>
        <w:tc>
          <w:tcPr>
            <w:tcW w:w="1143" w:type="dxa"/>
            <w:noWrap/>
            <w:vAlign w:val="center"/>
          </w:tcPr>
          <w:p w:rsidR="000B433A" w:rsidRPr="005759E4" w:rsidRDefault="000B433A" w:rsidP="002C5385">
            <w:pPr>
              <w:spacing w:after="0" w:line="240" w:lineRule="auto"/>
              <w:jc w:val="center"/>
              <w:rPr>
                <w:color w:val="000000"/>
                <w:lang w:val="de-DE"/>
              </w:rPr>
            </w:pPr>
            <w:r w:rsidRPr="005759E4">
              <w:rPr>
                <w:color w:val="000000"/>
                <w:sz w:val="22"/>
                <w:lang w:val="de-DE"/>
              </w:rPr>
              <w:t>8706</w:t>
            </w:r>
          </w:p>
        </w:tc>
        <w:tc>
          <w:tcPr>
            <w:tcW w:w="1418" w:type="dxa"/>
            <w:noWrap/>
            <w:vAlign w:val="center"/>
          </w:tcPr>
          <w:p w:rsidR="000B433A" w:rsidRPr="005759E4" w:rsidRDefault="000B433A" w:rsidP="002C5385">
            <w:pPr>
              <w:spacing w:after="0" w:line="240" w:lineRule="auto"/>
              <w:jc w:val="center"/>
              <w:rPr>
                <w:rFonts w:cs="Calibri"/>
                <w:color w:val="000000"/>
                <w:lang w:val="de-DE"/>
              </w:rPr>
            </w:pPr>
            <w:r w:rsidRPr="005759E4">
              <w:rPr>
                <w:rFonts w:cs="Calibri"/>
                <w:color w:val="000000"/>
                <w:sz w:val="22"/>
                <w:lang w:val="de-DE"/>
              </w:rPr>
              <w:t>8900</w:t>
            </w:r>
          </w:p>
        </w:tc>
        <w:tc>
          <w:tcPr>
            <w:tcW w:w="1110" w:type="dxa"/>
            <w:vAlign w:val="center"/>
          </w:tcPr>
          <w:p w:rsidR="000B433A" w:rsidRPr="005759E4" w:rsidRDefault="000B433A" w:rsidP="002C5385">
            <w:pPr>
              <w:spacing w:after="0" w:line="240" w:lineRule="auto"/>
              <w:jc w:val="center"/>
              <w:rPr>
                <w:rFonts w:cs="Calibri"/>
                <w:color w:val="000000"/>
                <w:lang w:val="de-DE"/>
              </w:rPr>
            </w:pPr>
            <w:r w:rsidRPr="005759E4">
              <w:rPr>
                <w:rFonts w:cs="Calibri"/>
                <w:color w:val="000000"/>
                <w:sz w:val="22"/>
                <w:lang w:val="de-DE"/>
              </w:rPr>
              <w:t>9170</w:t>
            </w:r>
          </w:p>
        </w:tc>
        <w:tc>
          <w:tcPr>
            <w:tcW w:w="1282" w:type="dxa"/>
            <w:vAlign w:val="center"/>
          </w:tcPr>
          <w:p w:rsidR="000B433A" w:rsidRPr="005759E4" w:rsidRDefault="000B433A" w:rsidP="002C5385">
            <w:pPr>
              <w:spacing w:after="0" w:line="240" w:lineRule="auto"/>
              <w:jc w:val="center"/>
              <w:rPr>
                <w:rFonts w:cs="Calibri"/>
                <w:color w:val="000000"/>
                <w:lang w:val="de-DE"/>
              </w:rPr>
            </w:pPr>
            <w:r w:rsidRPr="005759E4">
              <w:rPr>
                <w:rFonts w:cs="Calibri"/>
                <w:color w:val="000000"/>
                <w:sz w:val="22"/>
                <w:lang w:val="de-DE"/>
              </w:rPr>
              <w:t>14233</w:t>
            </w:r>
          </w:p>
        </w:tc>
      </w:tr>
      <w:tr w:rsidR="000B433A" w:rsidRPr="005759E4" w:rsidTr="002C5385">
        <w:trPr>
          <w:trHeight w:val="300"/>
        </w:trPr>
        <w:tc>
          <w:tcPr>
            <w:tcW w:w="2982" w:type="dxa"/>
            <w:noWrap/>
            <w:vAlign w:val="center"/>
          </w:tcPr>
          <w:p w:rsidR="000B433A" w:rsidRPr="005759E4" w:rsidRDefault="000B433A" w:rsidP="002C5385">
            <w:pPr>
              <w:spacing w:after="0" w:line="240" w:lineRule="auto"/>
              <w:jc w:val="center"/>
              <w:rPr>
                <w:rFonts w:cs="Calibri"/>
                <w:color w:val="000000"/>
                <w:lang w:val="de-DE"/>
              </w:rPr>
            </w:pPr>
            <w:r w:rsidRPr="005759E4">
              <w:rPr>
                <w:rFonts w:cs="Calibri"/>
                <w:color w:val="000000"/>
                <w:sz w:val="22"/>
                <w:lang w:val="de-DE"/>
              </w:rPr>
              <w:t>Transport*</w:t>
            </w:r>
          </w:p>
        </w:tc>
        <w:tc>
          <w:tcPr>
            <w:tcW w:w="984" w:type="dxa"/>
            <w:vAlign w:val="center"/>
          </w:tcPr>
          <w:p w:rsidR="000B433A" w:rsidRPr="005759E4" w:rsidRDefault="000B433A" w:rsidP="002C5385">
            <w:pPr>
              <w:spacing w:after="0" w:line="240" w:lineRule="auto"/>
              <w:jc w:val="center"/>
              <w:rPr>
                <w:rFonts w:cs="Calibri"/>
                <w:color w:val="000000"/>
                <w:lang w:val="de-DE"/>
              </w:rPr>
            </w:pPr>
            <w:r w:rsidRPr="005759E4">
              <w:rPr>
                <w:rFonts w:cs="Calibri"/>
                <w:color w:val="000000"/>
                <w:sz w:val="22"/>
                <w:lang w:val="de-DE"/>
              </w:rPr>
              <w:t>906</w:t>
            </w:r>
          </w:p>
        </w:tc>
        <w:tc>
          <w:tcPr>
            <w:tcW w:w="1143" w:type="dxa"/>
            <w:noWrap/>
            <w:vAlign w:val="center"/>
          </w:tcPr>
          <w:p w:rsidR="000B433A" w:rsidRPr="005759E4" w:rsidRDefault="000B433A" w:rsidP="002C5385">
            <w:pPr>
              <w:spacing w:after="0" w:line="240" w:lineRule="auto"/>
              <w:jc w:val="center"/>
              <w:rPr>
                <w:color w:val="000000"/>
                <w:lang w:val="de-DE"/>
              </w:rPr>
            </w:pPr>
            <w:r w:rsidRPr="005759E4">
              <w:rPr>
                <w:color w:val="000000"/>
                <w:sz w:val="22"/>
                <w:lang w:val="de-DE"/>
              </w:rPr>
              <w:t>1596</w:t>
            </w:r>
          </w:p>
        </w:tc>
        <w:tc>
          <w:tcPr>
            <w:tcW w:w="1418" w:type="dxa"/>
            <w:noWrap/>
            <w:vAlign w:val="center"/>
          </w:tcPr>
          <w:p w:rsidR="000B433A" w:rsidRPr="005759E4" w:rsidRDefault="000B433A" w:rsidP="002C5385">
            <w:pPr>
              <w:spacing w:after="0" w:line="240" w:lineRule="auto"/>
              <w:jc w:val="center"/>
              <w:rPr>
                <w:rFonts w:cs="Calibri"/>
                <w:color w:val="000000"/>
                <w:lang w:val="de-DE"/>
              </w:rPr>
            </w:pPr>
            <w:r w:rsidRPr="005759E4">
              <w:rPr>
                <w:rFonts w:cs="Calibri"/>
                <w:color w:val="000000"/>
                <w:sz w:val="22"/>
                <w:lang w:val="de-DE"/>
              </w:rPr>
              <w:t>2382</w:t>
            </w:r>
          </w:p>
        </w:tc>
        <w:tc>
          <w:tcPr>
            <w:tcW w:w="1110" w:type="dxa"/>
            <w:vAlign w:val="center"/>
          </w:tcPr>
          <w:p w:rsidR="000B433A" w:rsidRPr="005759E4" w:rsidRDefault="000B433A" w:rsidP="002C5385">
            <w:pPr>
              <w:spacing w:after="0" w:line="240" w:lineRule="auto"/>
              <w:jc w:val="center"/>
              <w:rPr>
                <w:rFonts w:cs="Calibri"/>
                <w:color w:val="000000"/>
                <w:lang w:val="de-DE"/>
              </w:rPr>
            </w:pPr>
            <w:r w:rsidRPr="005759E4">
              <w:rPr>
                <w:rFonts w:cs="Calibri"/>
                <w:color w:val="000000"/>
                <w:sz w:val="22"/>
                <w:lang w:val="de-DE"/>
              </w:rPr>
              <w:t>2263</w:t>
            </w:r>
          </w:p>
        </w:tc>
        <w:tc>
          <w:tcPr>
            <w:tcW w:w="1282" w:type="dxa"/>
            <w:vAlign w:val="center"/>
          </w:tcPr>
          <w:p w:rsidR="000B433A" w:rsidRPr="005759E4" w:rsidRDefault="000B433A" w:rsidP="002C5385">
            <w:pPr>
              <w:spacing w:after="0" w:line="240" w:lineRule="auto"/>
              <w:jc w:val="center"/>
              <w:rPr>
                <w:rFonts w:cs="Calibri"/>
                <w:color w:val="000000"/>
                <w:lang w:val="de-DE"/>
              </w:rPr>
            </w:pPr>
            <w:r w:rsidRPr="005759E4">
              <w:rPr>
                <w:rFonts w:cs="Calibri"/>
                <w:color w:val="000000"/>
                <w:sz w:val="22"/>
                <w:lang w:val="de-DE"/>
              </w:rPr>
              <w:t>3187</w:t>
            </w:r>
          </w:p>
        </w:tc>
      </w:tr>
      <w:tr w:rsidR="000B433A" w:rsidRPr="005759E4" w:rsidTr="002C5385">
        <w:trPr>
          <w:trHeight w:val="300"/>
        </w:trPr>
        <w:tc>
          <w:tcPr>
            <w:tcW w:w="2982" w:type="dxa"/>
            <w:shd w:val="clear" w:color="000000" w:fill="E6B9B8"/>
            <w:noWrap/>
            <w:vAlign w:val="center"/>
          </w:tcPr>
          <w:p w:rsidR="000B433A" w:rsidRPr="005759E4" w:rsidRDefault="000B433A" w:rsidP="002C5385">
            <w:pPr>
              <w:spacing w:after="0" w:line="240" w:lineRule="auto"/>
              <w:jc w:val="center"/>
              <w:rPr>
                <w:rFonts w:cs="Calibri"/>
                <w:color w:val="000000"/>
                <w:lang w:val="de-DE"/>
              </w:rPr>
            </w:pPr>
            <w:r w:rsidRPr="005759E4">
              <w:rPr>
                <w:rFonts w:cs="Calibri"/>
                <w:color w:val="000000"/>
                <w:sz w:val="22"/>
                <w:lang w:val="de-DE"/>
              </w:rPr>
              <w:t>Endverbrauch an erneuerbarer Energie</w:t>
            </w:r>
          </w:p>
        </w:tc>
        <w:tc>
          <w:tcPr>
            <w:tcW w:w="984" w:type="dxa"/>
            <w:shd w:val="clear" w:color="000000" w:fill="E6B9B8"/>
            <w:vAlign w:val="center"/>
          </w:tcPr>
          <w:p w:rsidR="000B433A" w:rsidRPr="005759E4" w:rsidRDefault="000B433A" w:rsidP="002C5385">
            <w:pPr>
              <w:spacing w:after="0" w:line="240" w:lineRule="auto"/>
              <w:jc w:val="center"/>
              <w:rPr>
                <w:rFonts w:cs="Calibri"/>
                <w:color w:val="000000"/>
                <w:lang w:val="de-DE"/>
              </w:rPr>
            </w:pPr>
            <w:r w:rsidRPr="005759E4">
              <w:rPr>
                <w:rFonts w:cs="Calibri"/>
                <w:color w:val="000000"/>
                <w:sz w:val="22"/>
                <w:lang w:val="de-DE"/>
              </w:rPr>
              <w:t>13073</w:t>
            </w:r>
          </w:p>
        </w:tc>
        <w:tc>
          <w:tcPr>
            <w:tcW w:w="1143" w:type="dxa"/>
            <w:shd w:val="clear" w:color="000000" w:fill="E6B9B8"/>
            <w:noWrap/>
            <w:vAlign w:val="center"/>
          </w:tcPr>
          <w:p w:rsidR="000B433A" w:rsidRPr="005759E4" w:rsidRDefault="000B433A" w:rsidP="002C5385">
            <w:pPr>
              <w:spacing w:after="0" w:line="240" w:lineRule="auto"/>
              <w:jc w:val="center"/>
              <w:rPr>
                <w:color w:val="000000"/>
                <w:lang w:val="de-DE"/>
              </w:rPr>
            </w:pPr>
            <w:r w:rsidRPr="005759E4">
              <w:rPr>
                <w:color w:val="000000"/>
                <w:sz w:val="22"/>
                <w:lang w:val="de-DE"/>
              </w:rPr>
              <w:t>14765</w:t>
            </w:r>
          </w:p>
        </w:tc>
        <w:tc>
          <w:tcPr>
            <w:tcW w:w="1418" w:type="dxa"/>
            <w:shd w:val="clear" w:color="000000" w:fill="E6B9B8"/>
            <w:noWrap/>
            <w:vAlign w:val="center"/>
          </w:tcPr>
          <w:p w:rsidR="000B433A" w:rsidRPr="005759E4" w:rsidRDefault="000B433A" w:rsidP="002C5385">
            <w:pPr>
              <w:spacing w:after="0" w:line="240" w:lineRule="auto"/>
              <w:jc w:val="center"/>
              <w:rPr>
                <w:rFonts w:cs="Calibri"/>
                <w:color w:val="000000"/>
                <w:lang w:val="de-DE"/>
              </w:rPr>
            </w:pPr>
            <w:r w:rsidRPr="005759E4">
              <w:rPr>
                <w:rFonts w:cs="Calibri"/>
                <w:color w:val="000000"/>
                <w:sz w:val="22"/>
                <w:lang w:val="de-DE"/>
              </w:rPr>
              <w:t>16837</w:t>
            </w:r>
          </w:p>
        </w:tc>
        <w:tc>
          <w:tcPr>
            <w:tcW w:w="1110" w:type="dxa"/>
            <w:shd w:val="clear" w:color="000000" w:fill="E6B9B8"/>
            <w:vAlign w:val="center"/>
          </w:tcPr>
          <w:p w:rsidR="000B433A" w:rsidRPr="005759E4" w:rsidRDefault="000B433A" w:rsidP="002C5385">
            <w:pPr>
              <w:spacing w:after="0" w:line="240" w:lineRule="auto"/>
              <w:jc w:val="center"/>
              <w:rPr>
                <w:rFonts w:cs="Calibri"/>
                <w:color w:val="000000"/>
                <w:lang w:val="de-DE"/>
              </w:rPr>
            </w:pPr>
            <w:r w:rsidRPr="005759E4">
              <w:rPr>
                <w:rFonts w:cs="Calibri"/>
                <w:color w:val="000000"/>
                <w:sz w:val="22"/>
                <w:lang w:val="de-DE"/>
              </w:rPr>
              <w:t>17124</w:t>
            </w:r>
          </w:p>
        </w:tc>
        <w:tc>
          <w:tcPr>
            <w:tcW w:w="1282" w:type="dxa"/>
            <w:shd w:val="clear" w:color="000000" w:fill="E6B9B8"/>
            <w:vAlign w:val="center"/>
          </w:tcPr>
          <w:p w:rsidR="000B433A" w:rsidRPr="005759E4" w:rsidRDefault="000B433A" w:rsidP="002C5385">
            <w:pPr>
              <w:spacing w:after="0" w:line="240" w:lineRule="auto"/>
              <w:jc w:val="center"/>
              <w:rPr>
                <w:rFonts w:cs="Calibri"/>
                <w:color w:val="000000"/>
                <w:lang w:val="de-DE"/>
              </w:rPr>
            </w:pPr>
            <w:r w:rsidRPr="005759E4">
              <w:rPr>
                <w:rFonts w:cs="Calibri"/>
                <w:color w:val="000000"/>
                <w:sz w:val="22"/>
                <w:lang w:val="de-DE"/>
              </w:rPr>
              <w:t>27501</w:t>
            </w:r>
          </w:p>
        </w:tc>
      </w:tr>
      <w:tr w:rsidR="000B433A" w:rsidRPr="005759E4" w:rsidTr="002C5385">
        <w:trPr>
          <w:trHeight w:val="300"/>
        </w:trPr>
        <w:tc>
          <w:tcPr>
            <w:tcW w:w="2982" w:type="dxa"/>
            <w:noWrap/>
            <w:vAlign w:val="center"/>
          </w:tcPr>
          <w:p w:rsidR="000B433A" w:rsidRPr="005759E4" w:rsidRDefault="000B433A" w:rsidP="002C5385">
            <w:pPr>
              <w:spacing w:after="0" w:line="240" w:lineRule="auto"/>
              <w:jc w:val="center"/>
              <w:rPr>
                <w:rFonts w:cs="Calibri"/>
                <w:color w:val="000000"/>
                <w:lang w:val="de-DE"/>
              </w:rPr>
            </w:pPr>
            <w:r w:rsidRPr="005759E4">
              <w:rPr>
                <w:rFonts w:cs="Calibri"/>
                <w:color w:val="000000"/>
                <w:sz w:val="22"/>
                <w:lang w:val="de-DE"/>
              </w:rPr>
              <w:t>Bruttoendverbrauch</w:t>
            </w:r>
          </w:p>
        </w:tc>
        <w:tc>
          <w:tcPr>
            <w:tcW w:w="984" w:type="dxa"/>
            <w:vAlign w:val="center"/>
          </w:tcPr>
          <w:p w:rsidR="000B433A" w:rsidRPr="005759E4" w:rsidRDefault="000B433A" w:rsidP="002C5385">
            <w:pPr>
              <w:spacing w:after="0" w:line="240" w:lineRule="auto"/>
              <w:jc w:val="center"/>
              <w:rPr>
                <w:rFonts w:cs="Calibri"/>
                <w:color w:val="000000"/>
                <w:lang w:val="de-DE"/>
              </w:rPr>
            </w:pPr>
            <w:r w:rsidRPr="005759E4">
              <w:rPr>
                <w:rFonts w:cs="Calibri"/>
                <w:color w:val="000000"/>
                <w:sz w:val="22"/>
                <w:lang w:val="de-DE"/>
              </w:rPr>
              <w:t>121700</w:t>
            </w:r>
          </w:p>
        </w:tc>
        <w:tc>
          <w:tcPr>
            <w:tcW w:w="1143" w:type="dxa"/>
            <w:noWrap/>
            <w:vAlign w:val="center"/>
          </w:tcPr>
          <w:p w:rsidR="000B433A" w:rsidRPr="005759E4" w:rsidRDefault="000B433A" w:rsidP="002C5385">
            <w:pPr>
              <w:spacing w:after="0" w:line="240" w:lineRule="auto"/>
              <w:jc w:val="center"/>
              <w:rPr>
                <w:color w:val="000000"/>
                <w:lang w:val="de-DE"/>
              </w:rPr>
            </w:pPr>
            <w:r w:rsidRPr="005759E4">
              <w:rPr>
                <w:color w:val="000000"/>
                <w:sz w:val="22"/>
                <w:lang w:val="de-DE"/>
              </w:rPr>
              <w:t>124194</w:t>
            </w:r>
          </w:p>
        </w:tc>
        <w:tc>
          <w:tcPr>
            <w:tcW w:w="1418" w:type="dxa"/>
            <w:noWrap/>
            <w:vAlign w:val="center"/>
          </w:tcPr>
          <w:p w:rsidR="000B433A" w:rsidRPr="005759E4" w:rsidRDefault="000B433A" w:rsidP="002C5385">
            <w:pPr>
              <w:spacing w:after="0" w:line="240" w:lineRule="auto"/>
              <w:jc w:val="center"/>
              <w:rPr>
                <w:rFonts w:cs="Calibri"/>
                <w:color w:val="000000"/>
                <w:lang w:val="de-DE"/>
              </w:rPr>
            </w:pPr>
            <w:r w:rsidRPr="005759E4">
              <w:rPr>
                <w:rFonts w:cs="Calibri"/>
                <w:color w:val="000000"/>
                <w:sz w:val="22"/>
                <w:lang w:val="de-DE"/>
              </w:rPr>
              <w:t>120770</w:t>
            </w:r>
          </w:p>
        </w:tc>
        <w:tc>
          <w:tcPr>
            <w:tcW w:w="1110" w:type="dxa"/>
            <w:vAlign w:val="center"/>
          </w:tcPr>
          <w:p w:rsidR="000B433A" w:rsidRPr="005759E4" w:rsidRDefault="000B433A" w:rsidP="002C5385">
            <w:pPr>
              <w:spacing w:after="0" w:line="240" w:lineRule="auto"/>
              <w:jc w:val="center"/>
              <w:rPr>
                <w:rFonts w:cs="Calibri"/>
                <w:color w:val="000000"/>
                <w:lang w:val="de-DE"/>
              </w:rPr>
            </w:pPr>
            <w:r w:rsidRPr="005759E4">
              <w:rPr>
                <w:rFonts w:cs="Calibri"/>
                <w:color w:val="000000"/>
                <w:sz w:val="22"/>
                <w:lang w:val="de-DE"/>
              </w:rPr>
              <w:t>131955</w:t>
            </w:r>
          </w:p>
        </w:tc>
        <w:tc>
          <w:tcPr>
            <w:tcW w:w="1282" w:type="dxa"/>
            <w:vAlign w:val="center"/>
          </w:tcPr>
          <w:p w:rsidR="000B433A" w:rsidRPr="005759E4" w:rsidRDefault="000B433A" w:rsidP="002C5385">
            <w:pPr>
              <w:spacing w:after="0" w:line="240" w:lineRule="auto"/>
              <w:jc w:val="center"/>
              <w:rPr>
                <w:rFonts w:cs="Calibri"/>
                <w:color w:val="000000"/>
                <w:lang w:val="de-DE"/>
              </w:rPr>
            </w:pPr>
            <w:r w:rsidRPr="005759E4">
              <w:rPr>
                <w:rFonts w:cs="Calibri"/>
                <w:color w:val="000000"/>
                <w:sz w:val="22"/>
                <w:lang w:val="de-DE"/>
              </w:rPr>
              <w:t>117032</w:t>
            </w:r>
          </w:p>
        </w:tc>
      </w:tr>
      <w:tr w:rsidR="000B433A" w:rsidRPr="005759E4" w:rsidTr="002C5385">
        <w:trPr>
          <w:trHeight w:val="300"/>
        </w:trPr>
        <w:tc>
          <w:tcPr>
            <w:tcW w:w="2982" w:type="dxa"/>
            <w:shd w:val="clear" w:color="000000" w:fill="E6B9B8"/>
            <w:noWrap/>
            <w:vAlign w:val="center"/>
          </w:tcPr>
          <w:p w:rsidR="000B433A" w:rsidRPr="005759E4" w:rsidRDefault="000B433A" w:rsidP="002C5385">
            <w:pPr>
              <w:spacing w:after="0" w:line="240" w:lineRule="auto"/>
              <w:jc w:val="center"/>
              <w:rPr>
                <w:rFonts w:cs="Calibri"/>
                <w:color w:val="000000"/>
                <w:lang w:val="de-DE"/>
              </w:rPr>
            </w:pPr>
            <w:r w:rsidRPr="005759E4">
              <w:rPr>
                <w:rFonts w:cs="Calibri"/>
                <w:color w:val="000000"/>
                <w:sz w:val="22"/>
                <w:lang w:val="de-DE"/>
              </w:rPr>
              <w:t>Anteil der EE am Endverbrauch</w:t>
            </w:r>
          </w:p>
        </w:tc>
        <w:tc>
          <w:tcPr>
            <w:tcW w:w="984" w:type="dxa"/>
            <w:shd w:val="clear" w:color="000000" w:fill="E6B9B8"/>
            <w:vAlign w:val="center"/>
          </w:tcPr>
          <w:p w:rsidR="000B433A" w:rsidRPr="005759E4" w:rsidRDefault="000B433A" w:rsidP="002C5385">
            <w:pPr>
              <w:spacing w:after="0" w:line="240" w:lineRule="auto"/>
              <w:jc w:val="center"/>
              <w:rPr>
                <w:rFonts w:cs="Calibri"/>
                <w:color w:val="000000"/>
                <w:lang w:val="de-DE"/>
              </w:rPr>
            </w:pPr>
            <w:r w:rsidRPr="005759E4">
              <w:rPr>
                <w:rFonts w:cs="Calibri"/>
                <w:color w:val="000000"/>
                <w:sz w:val="22"/>
                <w:lang w:val="de-DE"/>
              </w:rPr>
              <w:t>10,74 %</w:t>
            </w:r>
          </w:p>
        </w:tc>
        <w:tc>
          <w:tcPr>
            <w:tcW w:w="1143" w:type="dxa"/>
            <w:shd w:val="clear" w:color="000000" w:fill="E6B9B8"/>
            <w:noWrap/>
            <w:vAlign w:val="center"/>
          </w:tcPr>
          <w:p w:rsidR="000B433A" w:rsidRPr="005759E4" w:rsidRDefault="000B433A" w:rsidP="002C5385">
            <w:pPr>
              <w:spacing w:after="0" w:line="240" w:lineRule="auto"/>
              <w:jc w:val="center"/>
              <w:rPr>
                <w:color w:val="000000"/>
                <w:lang w:val="de-DE"/>
              </w:rPr>
            </w:pPr>
            <w:r w:rsidRPr="005759E4">
              <w:rPr>
                <w:color w:val="000000"/>
                <w:sz w:val="22"/>
                <w:lang w:val="de-DE"/>
              </w:rPr>
              <w:t>11,89 %</w:t>
            </w:r>
          </w:p>
        </w:tc>
        <w:tc>
          <w:tcPr>
            <w:tcW w:w="1418" w:type="dxa"/>
            <w:shd w:val="clear" w:color="000000" w:fill="E6B9B8"/>
            <w:noWrap/>
            <w:vAlign w:val="center"/>
          </w:tcPr>
          <w:p w:rsidR="000B433A" w:rsidRPr="005759E4" w:rsidRDefault="000B433A" w:rsidP="002C5385">
            <w:pPr>
              <w:spacing w:after="0" w:line="240" w:lineRule="auto"/>
              <w:jc w:val="center"/>
              <w:rPr>
                <w:rFonts w:cs="Calibri"/>
                <w:color w:val="000000"/>
                <w:lang w:val="de-DE"/>
              </w:rPr>
            </w:pPr>
            <w:r w:rsidRPr="005759E4">
              <w:rPr>
                <w:rFonts w:cs="Calibri"/>
                <w:color w:val="000000"/>
                <w:sz w:val="22"/>
                <w:lang w:val="de-DE"/>
              </w:rPr>
              <w:t>13,94 %</w:t>
            </w:r>
          </w:p>
        </w:tc>
        <w:tc>
          <w:tcPr>
            <w:tcW w:w="1110" w:type="dxa"/>
            <w:shd w:val="clear" w:color="000000" w:fill="E6B9B8"/>
            <w:vAlign w:val="center"/>
          </w:tcPr>
          <w:p w:rsidR="000B433A" w:rsidRPr="005759E4" w:rsidRDefault="000B433A" w:rsidP="002C5385">
            <w:pPr>
              <w:spacing w:after="0" w:line="240" w:lineRule="auto"/>
              <w:jc w:val="center"/>
              <w:rPr>
                <w:rFonts w:cs="Calibri"/>
                <w:color w:val="000000"/>
                <w:lang w:val="de-DE"/>
              </w:rPr>
            </w:pPr>
            <w:r w:rsidRPr="005759E4">
              <w:rPr>
                <w:rFonts w:cs="Calibri"/>
                <w:color w:val="000000"/>
                <w:sz w:val="22"/>
                <w:lang w:val="de-DE"/>
              </w:rPr>
              <w:t>12,98 %</w:t>
            </w:r>
          </w:p>
        </w:tc>
        <w:tc>
          <w:tcPr>
            <w:tcW w:w="1282" w:type="dxa"/>
            <w:shd w:val="clear" w:color="000000" w:fill="E6B9B8"/>
            <w:vAlign w:val="center"/>
          </w:tcPr>
          <w:p w:rsidR="000B433A" w:rsidRPr="005759E4" w:rsidRDefault="000B433A" w:rsidP="002C5385">
            <w:pPr>
              <w:spacing w:after="0" w:line="240" w:lineRule="auto"/>
              <w:jc w:val="center"/>
              <w:rPr>
                <w:rFonts w:cs="Calibri"/>
                <w:color w:val="000000"/>
                <w:lang w:val="de-DE"/>
              </w:rPr>
            </w:pPr>
            <w:r w:rsidRPr="005759E4">
              <w:rPr>
                <w:rFonts w:cs="Calibri"/>
                <w:color w:val="000000"/>
                <w:sz w:val="22"/>
                <w:lang w:val="de-DE"/>
              </w:rPr>
              <w:t>23,50 %</w:t>
            </w:r>
          </w:p>
        </w:tc>
      </w:tr>
    </w:tbl>
    <w:p w:rsidR="000B433A" w:rsidRDefault="000B433A" w:rsidP="004364AD">
      <w:pPr>
        <w:rPr>
          <w:rFonts w:cs="Calibri"/>
          <w:sz w:val="18"/>
          <w:lang w:val="de-DE"/>
        </w:rPr>
      </w:pPr>
      <w:r>
        <w:rPr>
          <w:rFonts w:cs="Calibri"/>
          <w:sz w:val="18"/>
          <w:lang w:val="de-DE"/>
        </w:rPr>
        <w:t>*Nur Biokraftstoffe und Biogas (Elektrizität EE Transport im Abschnitt „Elektrizität“ enthalten).</w:t>
      </w:r>
    </w:p>
    <w:p w:rsidR="000B433A" w:rsidRPr="005F5D9D" w:rsidRDefault="000B433A" w:rsidP="004364AD">
      <w:pPr>
        <w:rPr>
          <w:rFonts w:cs="Calibri"/>
          <w:sz w:val="18"/>
          <w:lang w:val="de-DE"/>
        </w:rPr>
      </w:pPr>
    </w:p>
    <w:p w:rsidR="000B433A" w:rsidRDefault="00372180" w:rsidP="004364AD">
      <w:pPr>
        <w:pStyle w:val="Corps"/>
        <w:keepNext/>
        <w:pBdr>
          <w:top w:val="none" w:sz="0" w:space="0" w:color="auto"/>
          <w:left w:val="none" w:sz="0" w:space="0" w:color="auto"/>
          <w:bottom w:val="none" w:sz="0" w:space="0" w:color="auto"/>
          <w:right w:val="none" w:sz="0" w:space="0" w:color="auto"/>
          <w:bar w:val="none" w:sz="0" w:color="auto"/>
        </w:pBdr>
        <w:jc w:val="center"/>
      </w:pPr>
      <w:r>
        <w:rPr>
          <w:noProof/>
          <w:lang w:val="fr-BE"/>
        </w:rPr>
        <w:drawing>
          <wp:inline distT="0" distB="0" distL="0" distR="0">
            <wp:extent cx="5782310" cy="4540250"/>
            <wp:effectExtent l="19050" t="0" r="8890" b="0"/>
            <wp:docPr id="35" name="Graphiqu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23"/>
                    <pic:cNvPicPr>
                      <a:picLocks noChangeArrowheads="1"/>
                    </pic:cNvPicPr>
                  </pic:nvPicPr>
                  <pic:blipFill>
                    <a:blip r:embed="rId35"/>
                    <a:srcRect/>
                    <a:stretch>
                      <a:fillRect/>
                    </a:stretch>
                  </pic:blipFill>
                  <pic:spPr bwMode="auto">
                    <a:xfrm>
                      <a:off x="0" y="0"/>
                      <a:ext cx="5782310" cy="4540250"/>
                    </a:xfrm>
                    <a:prstGeom prst="rect">
                      <a:avLst/>
                    </a:prstGeom>
                    <a:noFill/>
                    <a:ln w="9525">
                      <a:noFill/>
                      <a:miter lim="800000"/>
                      <a:headEnd/>
                      <a:tailEnd/>
                    </a:ln>
                  </pic:spPr>
                </pic:pic>
              </a:graphicData>
            </a:graphic>
          </wp:inline>
        </w:drawing>
      </w:r>
    </w:p>
    <w:p w:rsidR="000B433A" w:rsidRPr="00D07F58" w:rsidRDefault="000B433A" w:rsidP="004364AD">
      <w:pPr>
        <w:pStyle w:val="Lgende"/>
        <w:jc w:val="center"/>
        <w:rPr>
          <w:lang w:val="de-DE"/>
        </w:rPr>
      </w:pPr>
      <w:r>
        <w:rPr>
          <w:lang w:val="de-DE"/>
        </w:rPr>
        <w:t>Entwicklung der erneuerbaren Energien in der Wallonie</w:t>
      </w:r>
    </w:p>
    <w:p w:rsidR="000B433A" w:rsidRDefault="00372180" w:rsidP="00746ACB">
      <w:r>
        <w:rPr>
          <w:noProof/>
          <w:lang w:eastAsia="fr-BE"/>
        </w:rPr>
        <w:drawing>
          <wp:inline distT="0" distB="0" distL="0" distR="0">
            <wp:extent cx="5349240" cy="3721100"/>
            <wp:effectExtent l="19050" t="19050" r="22860" b="12700"/>
            <wp:docPr id="36"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36"/>
                    <a:srcRect/>
                    <a:stretch>
                      <a:fillRect/>
                    </a:stretch>
                  </pic:blipFill>
                  <pic:spPr bwMode="auto">
                    <a:xfrm>
                      <a:off x="0" y="0"/>
                      <a:ext cx="5349240" cy="3721100"/>
                    </a:xfrm>
                    <a:prstGeom prst="rect">
                      <a:avLst/>
                    </a:prstGeom>
                    <a:noFill/>
                    <a:ln w="9525" cmpd="sng">
                      <a:solidFill>
                        <a:srgbClr val="7F7F7F"/>
                      </a:solidFill>
                      <a:miter lim="800000"/>
                      <a:headEnd/>
                      <a:tailEnd/>
                    </a:ln>
                    <a:effectLst/>
                  </pic:spPr>
                </pic:pic>
              </a:graphicData>
            </a:graphic>
          </wp:inline>
        </w:drawing>
      </w:r>
    </w:p>
    <w:p w:rsidR="000B433A" w:rsidRDefault="00372180" w:rsidP="00746ACB">
      <w:r>
        <w:rPr>
          <w:noProof/>
          <w:lang w:eastAsia="fr-BE"/>
        </w:rPr>
        <w:drawing>
          <wp:inline distT="0" distB="0" distL="0" distR="0">
            <wp:extent cx="5380990" cy="4820285"/>
            <wp:effectExtent l="19050" t="19050" r="10160" b="18415"/>
            <wp:docPr id="37"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37"/>
                    <a:srcRect/>
                    <a:stretch>
                      <a:fillRect/>
                    </a:stretch>
                  </pic:blipFill>
                  <pic:spPr bwMode="auto">
                    <a:xfrm>
                      <a:off x="0" y="0"/>
                      <a:ext cx="5380990" cy="4820285"/>
                    </a:xfrm>
                    <a:prstGeom prst="rect">
                      <a:avLst/>
                    </a:prstGeom>
                    <a:noFill/>
                    <a:ln w="9525" cmpd="sng">
                      <a:solidFill>
                        <a:srgbClr val="7F7F7F"/>
                      </a:solidFill>
                      <a:miter lim="800000"/>
                      <a:headEnd/>
                      <a:tailEnd/>
                    </a:ln>
                    <a:effectLst/>
                  </pic:spPr>
                </pic:pic>
              </a:graphicData>
            </a:graphic>
          </wp:inline>
        </w:drawing>
      </w:r>
    </w:p>
    <w:p w:rsidR="000B433A" w:rsidRPr="00746ACB" w:rsidRDefault="00372180" w:rsidP="00746ACB">
      <w:r>
        <w:rPr>
          <w:noProof/>
          <w:lang w:eastAsia="fr-BE"/>
        </w:rPr>
        <w:drawing>
          <wp:inline distT="0" distB="0" distL="0" distR="0">
            <wp:extent cx="5708650" cy="3261360"/>
            <wp:effectExtent l="19050" t="19050" r="25400" b="1524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38"/>
                    <a:srcRect/>
                    <a:stretch>
                      <a:fillRect/>
                    </a:stretch>
                  </pic:blipFill>
                  <pic:spPr bwMode="auto">
                    <a:xfrm>
                      <a:off x="0" y="0"/>
                      <a:ext cx="5708650" cy="3261360"/>
                    </a:xfrm>
                    <a:prstGeom prst="rect">
                      <a:avLst/>
                    </a:prstGeom>
                    <a:noFill/>
                    <a:ln w="9525" cmpd="sng">
                      <a:solidFill>
                        <a:srgbClr val="7F7F7F"/>
                      </a:solidFill>
                      <a:miter lim="800000"/>
                      <a:headEnd/>
                      <a:tailEnd/>
                    </a:ln>
                    <a:effectLst/>
                  </pic:spPr>
                </pic:pic>
              </a:graphicData>
            </a:graphic>
          </wp:inline>
        </w:drawing>
      </w:r>
    </w:p>
    <w:p w:rsidR="000B433A" w:rsidRDefault="000B433A" w:rsidP="002C5385">
      <w:pPr>
        <w:pStyle w:val="Titre2"/>
        <w:ind w:left="851"/>
        <w:rPr>
          <w:rFonts w:ascii="Calibri" w:hAnsi="Calibri" w:cs="Calibri"/>
          <w:color w:val="1F497D"/>
          <w:sz w:val="28"/>
          <w:szCs w:val="28"/>
          <w:lang w:val="de-DE"/>
        </w:rPr>
      </w:pPr>
    </w:p>
    <w:p w:rsidR="000B433A" w:rsidRDefault="000B433A" w:rsidP="004364AD">
      <w:pPr>
        <w:pStyle w:val="Titre2"/>
        <w:numPr>
          <w:ilvl w:val="1"/>
          <w:numId w:val="1"/>
        </w:numPr>
        <w:ind w:left="851" w:hanging="851"/>
        <w:rPr>
          <w:rFonts w:ascii="Calibri" w:hAnsi="Calibri" w:cs="Calibri"/>
          <w:color w:val="1F497D"/>
          <w:sz w:val="28"/>
          <w:szCs w:val="28"/>
          <w:lang w:val="de-DE"/>
        </w:rPr>
      </w:pPr>
      <w:bookmarkStart w:id="71" w:name="_Toc7802479"/>
      <w:r>
        <w:rPr>
          <w:rFonts w:ascii="Calibri" w:hAnsi="Calibri" w:cs="Calibri"/>
          <w:color w:val="1F497D"/>
          <w:sz w:val="28"/>
          <w:lang w:val="de-DE"/>
        </w:rPr>
        <w:t>In Bereich der Energieeffizienz</w:t>
      </w:r>
      <w:bookmarkEnd w:id="71"/>
    </w:p>
    <w:p w:rsidR="000B433A" w:rsidRDefault="00372180" w:rsidP="002C5385">
      <w:pPr>
        <w:keepNext/>
        <w:jc w:val="center"/>
      </w:pPr>
      <w:r>
        <w:rPr>
          <w:noProof/>
          <w:lang w:eastAsia="fr-BE"/>
        </w:rPr>
        <w:drawing>
          <wp:inline distT="0" distB="0" distL="0" distR="0">
            <wp:extent cx="5782310" cy="3594100"/>
            <wp:effectExtent l="19050" t="0" r="8890" b="0"/>
            <wp:docPr id="39" name="Graphiqu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32"/>
                    <pic:cNvPicPr>
                      <a:picLocks noChangeArrowheads="1"/>
                    </pic:cNvPicPr>
                  </pic:nvPicPr>
                  <pic:blipFill>
                    <a:blip r:embed="rId39"/>
                    <a:srcRect b="-89"/>
                    <a:stretch>
                      <a:fillRect/>
                    </a:stretch>
                  </pic:blipFill>
                  <pic:spPr bwMode="auto">
                    <a:xfrm>
                      <a:off x="0" y="0"/>
                      <a:ext cx="5782310" cy="3594100"/>
                    </a:xfrm>
                    <a:prstGeom prst="rect">
                      <a:avLst/>
                    </a:prstGeom>
                    <a:noFill/>
                    <a:ln w="9525">
                      <a:noFill/>
                      <a:miter lim="800000"/>
                      <a:headEnd/>
                      <a:tailEnd/>
                    </a:ln>
                  </pic:spPr>
                </pic:pic>
              </a:graphicData>
            </a:graphic>
          </wp:inline>
        </w:drawing>
      </w:r>
    </w:p>
    <w:p w:rsidR="000B433A" w:rsidRPr="005F5D9D" w:rsidRDefault="000B433A" w:rsidP="002C5385">
      <w:pPr>
        <w:pStyle w:val="Lgende"/>
        <w:jc w:val="center"/>
        <w:rPr>
          <w:rFonts w:cs="Calibri"/>
          <w:sz w:val="22"/>
          <w:lang w:val="de-DE"/>
        </w:rPr>
      </w:pPr>
      <w:r>
        <w:rPr>
          <w:lang w:val="de-DE"/>
        </w:rPr>
        <w:t>Entwicklung des gesamten Endenergieverbrauchs</w:t>
      </w:r>
    </w:p>
    <w:p w:rsidR="000B433A" w:rsidRDefault="000B433A" w:rsidP="002C5385">
      <w:pPr>
        <w:rPr>
          <w:rFonts w:cs="Calibri"/>
          <w:szCs w:val="24"/>
          <w:lang w:val="de-DE"/>
        </w:rPr>
      </w:pPr>
    </w:p>
    <w:p w:rsidR="000B433A" w:rsidRDefault="005A6B21" w:rsidP="002C5385">
      <w:pPr>
        <w:pStyle w:val="Lgende"/>
        <w:keepNext/>
        <w:jc w:val="center"/>
      </w:pPr>
      <w:r>
        <w:pict>
          <v:group id="_x0000_s3237" editas="canvas" style="width:364.85pt;height:224pt;mso-position-horizontal-relative:char;mso-position-vertical-relative:line" coordorigin=",-1345" coordsize="7297,4480">
            <o:lock v:ext="edit" aspectratio="t"/>
            <v:shape id="_x0000_s3238" type="#_x0000_t75" style="position:absolute;top:-1345;width:7297;height:4480" o:preferrelative="f">
              <v:fill o:detectmouseclick="t"/>
              <v:path o:extrusionok="t" o:connecttype="none"/>
              <o:lock v:ext="edit" text="t"/>
            </v:shape>
            <v:rect id="_x0000_s3239" style="position:absolute;left:6;top:-1339;width:7285;height:4254" stroked="f"/>
            <v:shape id="_x0000_s3240" style="position:absolute;left:718;top:-433;width:6377;height:2253" coordsize="6377,2253" path="m,2240r6377,l6377,2253,,2253r,-13xm,1913r6377,l6377,1926,,1926r,-13xm,1599r6377,l6377,1611,,1611r,-12xm,1284r6377,l6377,1297,,1297r,-13xm,957r6377,l6377,969,,969,,957xm,642r6377,l6377,655,,655,,642xm,328r6377,l6377,340,,340,,328xm,l6377,r,13l,13,,xe" fillcolor="#d9d9d9" strokecolor="#d9d9d9" strokeweight=".65pt">
              <v:stroke joinstyle="bevel"/>
              <v:path arrowok="t"/>
              <o:lock v:ext="edit" verticies="t"/>
            </v:shape>
            <v:shape id="_x0000_s3241" style="position:absolute;left:1052;top:1530;width:5697;height:605" coordsize="5697,605" path="m,l920,r,605l,605,,xm1601,101r907,l2508,605r-907,l1601,101xm3189,126r920,l4109,605r-920,l3189,126xm4789,177r908,l5697,605r-908,l4789,177xe" fillcolor="#5b9bd5" stroked="f">
              <v:path arrowok="t"/>
              <o:lock v:ext="edit" verticies="t"/>
            </v:shape>
            <v:shape id="_x0000_s3242" style="position:absolute;left:1052;top:1329;width:5697;height:378" coordsize="5697,378" path="m,l920,r,201l,201,,xm1601,88r907,l2508,302r-907,l1601,88xm3189,101r920,l4109,327r-920,l3189,101xm4789,189r908,l5697,378r-908,l4789,189xe" fillcolor="#ed7d31" stroked="f">
              <v:path arrowok="t"/>
              <o:lock v:ext="edit" verticies="t"/>
            </v:shape>
            <v:shape id="_x0000_s3243" style="position:absolute;left:1052;top:348;width:5697;height:1170" coordsize="5697,1170" path="m,l920,r,981l,981,,xm1601,453r907,l2508,1069r-907,l1601,453xm3189,427r920,l4109,1082r-920,l3189,427xm4789,528r908,l5697,1170r-908,l4789,528xe" fillcolor="#a5a5a5" stroked="f">
              <v:path arrowok="t"/>
              <o:lock v:ext="edit" verticies="t"/>
            </v:shape>
            <v:shape id="_x0000_s3244" style="position:absolute;left:1052;top:322;width:5697;height:554" coordsize="5697,554" path="m,l920,r,26l,26,,xm1601,453r907,l2508,479r-907,l1601,453xm3189,428r920,l4109,453r-920,l3189,428xm4789,529r908,l5697,554r-908,l4789,529xe" fillcolor="#ffc000" stroked="f">
              <v:path arrowok="t"/>
              <o:lock v:ext="edit" verticies="t"/>
            </v:shape>
            <v:shape id="_x0000_s3245" style="position:absolute;left:1052;top:-256;width:5697;height:1107" coordsize="5697,1107" path="m,l920,r,578l,578,,xm1601,478r907,l2508,1031r-907,l1601,478xm3189,302r920,l4109,1006r-920,l3189,302xm4789,541r908,l5697,1107r-908,l4789,541xe" fillcolor="#4472c4" stroked="f">
              <v:path arrowok="t"/>
              <o:lock v:ext="edit" verticies="t"/>
            </v:shape>
            <v:rect id="_x0000_s3246" style="position:absolute;left:718;top:2122;width:6377;height:13" fillcolor="#d9d9d9" strokecolor="#d9d9d9" strokeweight=".65pt">
              <v:stroke joinstyle="bevel"/>
            </v:rect>
            <v:rect id="_x0000_s3247" style="position:absolute;left:499;top:2035;width:82;height:345;mso-wrap-style:none" filled="f" stroked="f">
              <v:textbox style="mso-fit-shape-to-text:t" inset="0,0,0,0">
                <w:txbxContent>
                  <w:p w:rsidR="000B433A" w:rsidRDefault="000B433A">
                    <w:r>
                      <w:rPr>
                        <w:rFonts w:cs="Calibri"/>
                        <w:i/>
                        <w:iCs/>
                        <w:color w:val="595959"/>
                        <w:sz w:val="16"/>
                        <w:szCs w:val="16"/>
                        <w:lang w:val="en-US"/>
                      </w:rPr>
                      <w:t>0</w:t>
                    </w:r>
                  </w:p>
                </w:txbxContent>
              </v:textbox>
            </v:rect>
            <v:rect id="_x0000_s3248" style="position:absolute;left:195;top:1716;width:406;height:345;mso-wrap-style:none" filled="f" stroked="f">
              <v:textbox style="mso-fit-shape-to-text:t" inset="0,0,0,0">
                <w:txbxContent>
                  <w:p w:rsidR="000B433A" w:rsidRDefault="000B433A">
                    <w:r>
                      <w:rPr>
                        <w:rFonts w:cs="Calibri"/>
                        <w:i/>
                        <w:iCs/>
                        <w:color w:val="595959"/>
                        <w:sz w:val="16"/>
                        <w:szCs w:val="16"/>
                        <w:lang w:val="en-US"/>
                      </w:rPr>
                      <w:t>20000</w:t>
                    </w:r>
                  </w:p>
                </w:txbxContent>
              </v:textbox>
            </v:rect>
            <v:rect id="_x0000_s3249" style="position:absolute;left:195;top:1397;width:406;height:345;mso-wrap-style:none" filled="f" stroked="f">
              <v:textbox style="mso-fit-shape-to-text:t" inset="0,0,0,0">
                <w:txbxContent>
                  <w:p w:rsidR="000B433A" w:rsidRDefault="000B433A">
                    <w:r>
                      <w:rPr>
                        <w:rFonts w:cs="Calibri"/>
                        <w:i/>
                        <w:iCs/>
                        <w:color w:val="595959"/>
                        <w:sz w:val="16"/>
                        <w:szCs w:val="16"/>
                        <w:lang w:val="en-US"/>
                      </w:rPr>
                      <w:t>40000</w:t>
                    </w:r>
                  </w:p>
                </w:txbxContent>
              </v:textbox>
            </v:rect>
            <v:rect id="_x0000_s3250" style="position:absolute;left:195;top:1078;width:406;height:345;mso-wrap-style:none" filled="f" stroked="f">
              <v:textbox style="mso-fit-shape-to-text:t" inset="0,0,0,0">
                <w:txbxContent>
                  <w:p w:rsidR="000B433A" w:rsidRDefault="000B433A">
                    <w:r>
                      <w:rPr>
                        <w:rFonts w:cs="Calibri"/>
                        <w:i/>
                        <w:iCs/>
                        <w:color w:val="595959"/>
                        <w:sz w:val="16"/>
                        <w:szCs w:val="16"/>
                        <w:lang w:val="en-US"/>
                      </w:rPr>
                      <w:t>60000</w:t>
                    </w:r>
                  </w:p>
                </w:txbxContent>
              </v:textbox>
            </v:rect>
            <v:rect id="_x0000_s3251" style="position:absolute;left:195;top:759;width:406;height:345;mso-wrap-style:none" filled="f" stroked="f">
              <v:textbox style="mso-fit-shape-to-text:t" inset="0,0,0,0">
                <w:txbxContent>
                  <w:p w:rsidR="000B433A" w:rsidRDefault="000B433A">
                    <w:r>
                      <w:rPr>
                        <w:rFonts w:cs="Calibri"/>
                        <w:i/>
                        <w:iCs/>
                        <w:color w:val="595959"/>
                        <w:sz w:val="16"/>
                        <w:szCs w:val="16"/>
                        <w:lang w:val="en-US"/>
                      </w:rPr>
                      <w:t>80000</w:t>
                    </w:r>
                  </w:p>
                </w:txbxContent>
              </v:textbox>
            </v:rect>
            <v:rect id="_x0000_s3252" style="position:absolute;left:119;top:440;width:487;height:345;mso-wrap-style:none" filled="f" stroked="f">
              <v:textbox style="mso-fit-shape-to-text:t" inset="0,0,0,0">
                <w:txbxContent>
                  <w:p w:rsidR="000B433A" w:rsidRDefault="000B433A">
                    <w:r>
                      <w:rPr>
                        <w:rFonts w:cs="Calibri"/>
                        <w:i/>
                        <w:iCs/>
                        <w:color w:val="595959"/>
                        <w:sz w:val="16"/>
                        <w:szCs w:val="16"/>
                        <w:lang w:val="en-US"/>
                      </w:rPr>
                      <w:t>100000</w:t>
                    </w:r>
                  </w:p>
                </w:txbxContent>
              </v:textbox>
            </v:rect>
            <v:rect id="_x0000_s3253" style="position:absolute;left:119;top:121;width:487;height:345;mso-wrap-style:none" filled="f" stroked="f">
              <v:textbox style="mso-fit-shape-to-text:t" inset="0,0,0,0">
                <w:txbxContent>
                  <w:p w:rsidR="000B433A" w:rsidRDefault="000B433A">
                    <w:r>
                      <w:rPr>
                        <w:rFonts w:cs="Calibri"/>
                        <w:i/>
                        <w:iCs/>
                        <w:color w:val="595959"/>
                        <w:sz w:val="16"/>
                        <w:szCs w:val="16"/>
                        <w:lang w:val="en-US"/>
                      </w:rPr>
                      <w:t>120000</w:t>
                    </w:r>
                  </w:p>
                </w:txbxContent>
              </v:textbox>
            </v:rect>
            <v:rect id="_x0000_s3254" style="position:absolute;left:119;top:-198;width:487;height:345;mso-wrap-style:none" filled="f" stroked="f">
              <v:textbox style="mso-fit-shape-to-text:t" inset="0,0,0,0">
                <w:txbxContent>
                  <w:p w:rsidR="000B433A" w:rsidRDefault="000B433A">
                    <w:r>
                      <w:rPr>
                        <w:rFonts w:cs="Calibri"/>
                        <w:i/>
                        <w:iCs/>
                        <w:color w:val="595959"/>
                        <w:sz w:val="16"/>
                        <w:szCs w:val="16"/>
                        <w:lang w:val="en-US"/>
                      </w:rPr>
                      <w:t>140000</w:t>
                    </w:r>
                  </w:p>
                </w:txbxContent>
              </v:textbox>
            </v:rect>
            <v:rect id="_x0000_s3255" style="position:absolute;left:119;top:-517;width:487;height:345;mso-wrap-style:none" filled="f" stroked="f">
              <v:textbox style="mso-fit-shape-to-text:t" inset="0,0,0,0">
                <w:txbxContent>
                  <w:p w:rsidR="000B433A" w:rsidRDefault="000B433A">
                    <w:r>
                      <w:rPr>
                        <w:rFonts w:cs="Calibri"/>
                        <w:i/>
                        <w:iCs/>
                        <w:color w:val="595959"/>
                        <w:sz w:val="16"/>
                        <w:szCs w:val="16"/>
                        <w:lang w:val="en-US"/>
                      </w:rPr>
                      <w:t>160000</w:t>
                    </w:r>
                  </w:p>
                </w:txbxContent>
              </v:textbox>
            </v:rect>
            <v:rect id="_x0000_s3256" style="position:absolute;left:1365;top:2231;width:325;height:345;mso-wrap-style:none" filled="f" stroked="f">
              <v:textbox style="mso-fit-shape-to-text:t" inset="0,0,0,0">
                <w:txbxContent>
                  <w:p w:rsidR="000B433A" w:rsidRDefault="000B433A">
                    <w:r>
                      <w:rPr>
                        <w:rFonts w:cs="Calibri"/>
                        <w:i/>
                        <w:iCs/>
                        <w:color w:val="595959"/>
                        <w:sz w:val="16"/>
                        <w:szCs w:val="16"/>
                        <w:lang w:val="en-US"/>
                      </w:rPr>
                      <w:t>2005</w:t>
                    </w:r>
                  </w:p>
                </w:txbxContent>
              </v:textbox>
            </v:rect>
            <v:rect id="_x0000_s3257" style="position:absolute;left:2959;top:2231;width:325;height:345;mso-wrap-style:none" filled="f" stroked="f">
              <v:textbox style="mso-fit-shape-to-text:t" inset="0,0,0,0">
                <w:txbxContent>
                  <w:p w:rsidR="000B433A" w:rsidRDefault="000B433A">
                    <w:r>
                      <w:rPr>
                        <w:rFonts w:cs="Calibri"/>
                        <w:i/>
                        <w:iCs/>
                        <w:color w:val="595959"/>
                        <w:sz w:val="16"/>
                        <w:szCs w:val="16"/>
                        <w:lang w:val="en-US"/>
                      </w:rPr>
                      <w:t>2015</w:t>
                    </w:r>
                  </w:p>
                </w:txbxContent>
              </v:textbox>
            </v:rect>
            <v:rect id="_x0000_s3258" style="position:absolute;left:4327;top:2231;width:325;height:345;mso-wrap-style:none" filled="f" stroked="f">
              <v:textbox style="mso-fit-shape-to-text:t" inset="0,0,0,0">
                <w:txbxContent>
                  <w:p w:rsidR="000B433A" w:rsidRDefault="000B433A">
                    <w:r>
                      <w:rPr>
                        <w:rFonts w:cs="Calibri"/>
                        <w:i/>
                        <w:iCs/>
                        <w:color w:val="595959"/>
                        <w:sz w:val="16"/>
                        <w:szCs w:val="16"/>
                        <w:lang w:val="en-US"/>
                      </w:rPr>
                      <w:t xml:space="preserve">2030 </w:t>
                    </w:r>
                  </w:p>
                </w:txbxContent>
              </v:textbox>
            </v:rect>
            <v:rect id="_x0000_s3259" style="position:absolute;left:4655;top:2231;width:49;height:345;mso-wrap-style:none" filled="f" stroked="f">
              <v:textbox style="mso-fit-shape-to-text:t" inset="0,0,0,0">
                <w:txbxContent>
                  <w:p w:rsidR="000B433A" w:rsidRDefault="000B433A">
                    <w:r>
                      <w:rPr>
                        <w:rFonts w:cs="Calibri"/>
                        <w:i/>
                        <w:iCs/>
                        <w:color w:val="595959"/>
                        <w:sz w:val="16"/>
                        <w:szCs w:val="16"/>
                        <w:lang w:val="en-US"/>
                      </w:rPr>
                      <w:t>-</w:t>
                    </w:r>
                  </w:p>
                </w:txbxContent>
              </v:textbox>
            </v:rect>
            <v:rect id="_x0000_s3260" style="position:absolute;left:4730;top:2231;width:358;height:345;mso-wrap-style:none" filled="f" stroked="f">
              <v:textbox style="mso-fit-shape-to-text:t" inset="0,0,0,0">
                <w:txbxContent>
                  <w:p w:rsidR="000B433A" w:rsidRDefault="000B433A">
                    <w:r>
                      <w:rPr>
                        <w:rFonts w:cs="Calibri"/>
                        <w:i/>
                        <w:iCs/>
                        <w:color w:val="595959"/>
                        <w:sz w:val="16"/>
                        <w:szCs w:val="16"/>
                        <w:lang w:val="en-US"/>
                      </w:rPr>
                      <w:t>WEM</w:t>
                    </w:r>
                  </w:p>
                </w:txbxContent>
              </v:textbox>
            </v:rect>
            <v:rect id="_x0000_s3261" style="position:absolute;left:5921;top:2231;width:325;height:345;mso-wrap-style:none" filled="f" stroked="f">
              <v:textbox style="mso-fit-shape-to-text:t" inset="0,0,0,0">
                <w:txbxContent>
                  <w:p w:rsidR="000B433A" w:rsidRDefault="000B433A">
                    <w:r>
                      <w:rPr>
                        <w:rFonts w:cs="Calibri"/>
                        <w:i/>
                        <w:iCs/>
                        <w:color w:val="595959"/>
                        <w:sz w:val="16"/>
                        <w:szCs w:val="16"/>
                        <w:lang w:val="en-US"/>
                      </w:rPr>
                      <w:t xml:space="preserve">2030 </w:t>
                    </w:r>
                  </w:p>
                </w:txbxContent>
              </v:textbox>
            </v:rect>
            <v:rect id="_x0000_s3262" style="position:absolute;left:6249;top:2231;width:49;height:345;mso-wrap-style:none" filled="f" stroked="f">
              <v:textbox style="mso-fit-shape-to-text:t" inset="0,0,0,0">
                <w:txbxContent>
                  <w:p w:rsidR="000B433A" w:rsidRDefault="000B433A">
                    <w:r>
                      <w:rPr>
                        <w:rFonts w:cs="Calibri"/>
                        <w:i/>
                        <w:iCs/>
                        <w:color w:val="595959"/>
                        <w:sz w:val="16"/>
                        <w:szCs w:val="16"/>
                        <w:lang w:val="en-US"/>
                      </w:rPr>
                      <w:t>-</w:t>
                    </w:r>
                  </w:p>
                </w:txbxContent>
              </v:textbox>
            </v:rect>
            <v:rect id="_x0000_s3263" style="position:absolute;left:6325;top:2231;width:372;height:345;mso-wrap-style:none" filled="f" stroked="f">
              <v:textbox style="mso-fit-shape-to-text:t" inset="0,0,0,0">
                <w:txbxContent>
                  <w:p w:rsidR="000B433A" w:rsidRDefault="000B433A">
                    <w:r>
                      <w:rPr>
                        <w:rFonts w:cs="Calibri"/>
                        <w:i/>
                        <w:iCs/>
                        <w:color w:val="595959"/>
                        <w:sz w:val="16"/>
                        <w:szCs w:val="16"/>
                        <w:lang w:val="en-US"/>
                      </w:rPr>
                      <w:t>WAM</w:t>
                    </w:r>
                  </w:p>
                </w:txbxContent>
              </v:textbox>
            </v:rect>
            <v:rect id="_x0000_s3264" style="position:absolute;left:1156;top:-1200;width:4029;height:457;mso-wrap-style:none" filled="f" stroked="f">
              <v:textbox style="mso-fit-shape-to-text:t" inset="0,0,0,0">
                <w:txbxContent>
                  <w:p w:rsidR="000B433A" w:rsidRDefault="000B433A">
                    <w:r w:rsidRPr="00A46F4D">
                      <w:rPr>
                        <w:rFonts w:cs="Calibri"/>
                        <w:i/>
                        <w:iCs/>
                        <w:color w:val="595959"/>
                        <w:szCs w:val="24"/>
                      </w:rPr>
                      <w:t>Gesamtendenergieverbrauch</w:t>
                    </w:r>
                    <w:r w:rsidRPr="00CF717F">
                      <w:rPr>
                        <w:rFonts w:cs="Calibri"/>
                        <w:color w:val="595959"/>
                        <w:szCs w:val="24"/>
                        <w:lang w:val="fr-FR"/>
                      </w:rPr>
                      <w:t xml:space="preserve"> </w:t>
                    </w:r>
                    <w:r>
                      <w:rPr>
                        <w:rFonts w:cs="Calibri"/>
                        <w:color w:val="595959"/>
                        <w:szCs w:val="24"/>
                        <w:lang w:val="fr-FR"/>
                      </w:rPr>
                      <w:t>nach Sektor</w:t>
                    </w:r>
                  </w:p>
                </w:txbxContent>
              </v:textbox>
            </v:rect>
            <v:rect id="_x0000_s3265" style="position:absolute;left:1531;top:2613;width:88;height:100" fillcolor="#5b9bd5" stroked="f"/>
            <v:rect id="_x0000_s3266" style="position:absolute;left:1650;top:2566;width:548;height:345;mso-wrap-style:none" filled="f" stroked="f">
              <v:textbox style="mso-fit-shape-to-text:t" inset="0,0,0,0">
                <w:txbxContent>
                  <w:p w:rsidR="000B433A" w:rsidRDefault="000B433A">
                    <w:r>
                      <w:rPr>
                        <w:rFonts w:cs="Calibri"/>
                        <w:i/>
                        <w:iCs/>
                        <w:color w:val="595959"/>
                        <w:sz w:val="16"/>
                        <w:szCs w:val="16"/>
                        <w:lang w:val="en-US"/>
                      </w:rPr>
                      <w:t>Wohnen</w:t>
                    </w:r>
                  </w:p>
                </w:txbxContent>
              </v:textbox>
            </v:rect>
            <v:rect id="_x0000_s3267" style="position:absolute;left:2502;top:2613;width:88;height:100" fillcolor="#ed7d31" stroked="f"/>
            <v:rect id="_x0000_s3268" style="position:absolute;left:2625;top:2566;width:487;height:345;mso-wrap-style:none" filled="f" stroked="f">
              <v:textbox style="mso-fit-shape-to-text:t" inset="0,0,0,0">
                <w:txbxContent>
                  <w:p w:rsidR="000B433A" w:rsidRDefault="000B433A">
                    <w:proofErr w:type="gramStart"/>
                    <w:r>
                      <w:rPr>
                        <w:rFonts w:cs="Calibri"/>
                        <w:i/>
                        <w:iCs/>
                        <w:color w:val="595959"/>
                        <w:sz w:val="16"/>
                        <w:szCs w:val="16"/>
                        <w:lang w:val="en-US"/>
                      </w:rPr>
                      <w:t>Dienstl.</w:t>
                    </w:r>
                    <w:proofErr w:type="gramEnd"/>
                  </w:p>
                </w:txbxContent>
              </v:textbox>
            </v:rect>
            <v:rect id="_x0000_s3269" style="position:absolute;left:3283;top:2613;width:88;height:100" fillcolor="#a5a5a5" stroked="f"/>
            <v:rect id="_x0000_s3270" style="position:absolute;left:3406;top:2566;width:571;height:345;mso-wrap-style:none" filled="f" stroked="f">
              <v:textbox style="mso-fit-shape-to-text:t" inset="0,0,0,0">
                <w:txbxContent>
                  <w:p w:rsidR="000B433A" w:rsidRDefault="000B433A">
                    <w:r>
                      <w:rPr>
                        <w:rFonts w:cs="Calibri"/>
                        <w:i/>
                        <w:iCs/>
                        <w:color w:val="595959"/>
                        <w:sz w:val="16"/>
                        <w:szCs w:val="16"/>
                        <w:lang w:val="en-US"/>
                      </w:rPr>
                      <w:t>Industrie</w:t>
                    </w:r>
                  </w:p>
                </w:txbxContent>
              </v:textbox>
            </v:rect>
            <v:rect id="_x0000_s3271" style="position:absolute;left:4127;top:2613;width:89;height:100" fillcolor="#ffc000" stroked="f"/>
            <v:rect id="_x0000_s3272" style="position:absolute;left:4249;top:2566;width:469;height:345;mso-wrap-style:none" filled="f" stroked="f">
              <v:textbox style="mso-fit-shape-to-text:t" inset="0,0,0,0">
                <w:txbxContent>
                  <w:p w:rsidR="000B433A" w:rsidRDefault="000B433A">
                    <w:proofErr w:type="gramStart"/>
                    <w:r>
                      <w:rPr>
                        <w:rFonts w:cs="Calibri"/>
                        <w:i/>
                        <w:iCs/>
                        <w:color w:val="595959"/>
                        <w:sz w:val="16"/>
                        <w:szCs w:val="16"/>
                        <w:lang w:val="en-US"/>
                      </w:rPr>
                      <w:t>Landw.</w:t>
                    </w:r>
                    <w:proofErr w:type="gramEnd"/>
                  </w:p>
                </w:txbxContent>
              </v:textbox>
            </v:rect>
            <v:rect id="_x0000_s3273" style="position:absolute;left:5098;top:2613;width:101;height:100" fillcolor="#4472c4" stroked="f"/>
            <v:rect id="_x0000_s3274" style="position:absolute;left:5226;top:2566;width:633;height:345;mso-wrap-style:none" filled="f" stroked="f">
              <v:textbox style="mso-fit-shape-to-text:t" inset="0,0,0,0">
                <w:txbxContent>
                  <w:p w:rsidR="000B433A" w:rsidRDefault="000B433A">
                    <w:r>
                      <w:rPr>
                        <w:rFonts w:cs="Calibri"/>
                        <w:i/>
                        <w:iCs/>
                        <w:color w:val="595959"/>
                        <w:sz w:val="16"/>
                        <w:szCs w:val="16"/>
                        <w:lang w:val="en-US"/>
                      </w:rPr>
                      <w:t>Transport</w:t>
                    </w:r>
                  </w:p>
                </w:txbxContent>
              </v:textbox>
            </v:rect>
            <v:shape id="_x0000_s3275" style="position:absolute;left:6;top:-1339;width:7285;height:4254" coordsize="9248,5408" path="m,8hdc,4,4,,8,hal9240,hdc9245,,9248,4,9248,8hal9248,5400hdc9248,5405,9245,5408,9240,5408hal8,5408hdc4,5408,,5405,,5400hal,8hdxm16,5400hal8,5392r9232,l9232,5400,9232,8r8,8l8,16,16,8r,5392hdxe" fillcolor="#d9d9d9" strokecolor="#d9d9d9" strokeweight=".05pt">
              <v:path arrowok="t"/>
              <o:lock v:ext="edit" verticies="t"/>
            </v:shape>
            <w10:wrap type="none"/>
            <w10:anchorlock/>
          </v:group>
        </w:pict>
      </w:r>
    </w:p>
    <w:p w:rsidR="000B433A" w:rsidRDefault="005A6B21" w:rsidP="002C5385">
      <w:pPr>
        <w:keepNext/>
        <w:jc w:val="center"/>
      </w:pPr>
      <w:r>
        <w:pict>
          <v:group id="_x0000_s3277" editas="canvas" style="width:370.5pt;height:210pt;mso-position-horizontal-relative:char;mso-position-vertical-relative:line" coordorigin=",-1345" coordsize="7410,4200">
            <o:lock v:ext="edit" aspectratio="t"/>
            <v:shape id="_x0000_s3278" type="#_x0000_t75" style="position:absolute;top:-1345;width:7410;height:4200" o:preferrelative="f">
              <v:fill o:detectmouseclick="t"/>
              <v:path o:extrusionok="t" o:connecttype="none"/>
              <o:lock v:ext="edit" text="t"/>
            </v:shape>
            <v:rect id="_x0000_s3279" style="position:absolute;left:72;top:-1345;width:7338;height:3975" stroked="f"/>
            <v:shape id="_x0000_s3280" style="position:absolute;left:706;top:-720;width:6442;height:2258" coordsize="6442,2258" path="m,2245r6442,l6442,2258,,2258r,-13xm,1917r6442,l6442,1930,,1930r,-13xm,1602r6442,l6442,1614,,1614r,-12xm,1286r6442,l6442,1299,,1299r,-13xm,958r6442,l6442,971,,971,,958xm,643r6442,l6442,656,,656,,643xm,315r6442,l6442,328,,328,,315xm,l6442,r,12l,12,,xe" fillcolor="#d9d9d9" strokecolor="#d9d9d9" strokeweight=".65pt">
              <v:stroke joinstyle="bevel"/>
              <v:path arrowok="t"/>
              <o:lock v:ext="edit" verticies="t"/>
            </v:shape>
            <v:shape id="_x0000_s3281" style="position:absolute;left:1053;top:1563;width:5749;height:290" coordsize="5749,290" path="m,l920,r,290l,290,,xm1613,202r921,l2534,290r-921,l1613,202xm3215,215r920,l4135,290r-920,l3215,215xm4828,215r921,l5749,290r-921,l4828,215xe" fillcolor="#5b9bd5" stroked="f">
              <v:path arrowok="t"/>
              <o:lock v:ext="edit" verticies="t"/>
            </v:shape>
            <v:shape id="_x0000_s3282" style="position:absolute;left:1053;top:491;width:5749;height:1287" coordsize="5749,1287" path="m,l920,r,1072l,1072,,xm1613,454r921,l2534,1274r-921,l1613,454xm3215,366r920,l4135,1287r-920,l3215,366xm4828,706r921,l5749,1287r-921,l4828,706xe" fillcolor="#ed7d31" stroked="f">
              <v:path arrowok="t"/>
              <o:lock v:ext="edit" verticies="t"/>
            </v:shape>
            <v:shape id="_x0000_s3283" style="position:absolute;left:1053;top:-14;width:5749;height:1211" coordsize="5749,1211" path="m,l920,r,505l,505,,xm1613,530r921,l2534,959r-921,l1613,530xm3215,429r920,l4135,871r-920,l3215,429xm4828,757r921,l5749,1211r-921,l4828,757xe" fillcolor="#a5a5a5" stroked="f">
              <v:path arrowok="t"/>
              <o:lock v:ext="edit" verticies="t"/>
            </v:shape>
            <v:shape id="_x0000_s3284" style="position:absolute;left:1053;top:-392;width:5749;height:1135" coordsize="5749,1135" path="m,l920,r,378l,378,,xm1613,542r921,l2534,908r-921,l1613,542xm3215,416r920,l4135,807r-920,l3215,416xm4828,744r921,l5749,1135r-921,l4828,744xe" fillcolor="#ffc000" stroked="f">
              <v:path arrowok="t"/>
              <o:lock v:ext="edit" verticies="t"/>
            </v:shape>
            <v:shape id="_x0000_s3285" style="position:absolute;left:1053;top:-468;width:5749;height:820" coordsize="5749,820" path="m,l920,r,76l,76,,xm1613,517r921,l2534,618r-921,l1613,517xm3215,378r920,l4135,492r-920,l3215,378xm4828,694r921,l5749,820r-921,l4828,694xe" fillcolor="#4472c4" stroked="f">
              <v:path arrowok="t"/>
              <o:lock v:ext="edit" verticies="t"/>
            </v:shape>
            <v:shape id="_x0000_s3286" style="position:absolute;left:1053;top:-493;width:5749;height:719" coordsize="5749,719" path="m,l920,r,25l,25,,xm1613,441r921,l2534,542r-921,l1613,441xm3215,277r920,l4135,403r-920,l3215,277xm4828,517r921,l5749,719r-921,l4828,517xe" fillcolor="#70ad47" stroked="f">
              <v:path arrowok="t"/>
              <o:lock v:ext="edit" verticies="t"/>
            </v:shape>
            <v:shape id="_x0000_s3287" style="position:absolute;left:1053;top:-544;width:5749;height:568" coordsize="5749,568" path="m,l920,r,51l,51,,xm1613,480r921,l2534,492r-921,l1613,480xm3215,303r920,l4135,328r-920,l3215,303xm4828,543r921,l5749,568r-921,l4828,543xe" fillcolor="#255e91" stroked="f">
              <v:path arrowok="t"/>
              <o:lock v:ext="edit" verticies="t"/>
            </v:shape>
            <v:rect id="_x0000_s3288" style="position:absolute;left:706;top:1841;width:6442;height:12" fillcolor="#d9d9d9" strokecolor="#d9d9d9" strokeweight=".65pt">
              <v:stroke joinstyle="bevel"/>
            </v:rect>
            <v:rect id="_x0000_s3289" style="position:absolute;left:493;top:1753;width:82;height:345;mso-wrap-style:none" filled="f" stroked="f">
              <v:textbox style="mso-fit-shape-to-text:t" inset="0,0,0,0">
                <w:txbxContent>
                  <w:p w:rsidR="000B433A" w:rsidRDefault="000B433A">
                    <w:r>
                      <w:rPr>
                        <w:rFonts w:cs="Calibri"/>
                        <w:color w:val="595959"/>
                        <w:sz w:val="16"/>
                        <w:szCs w:val="16"/>
                        <w:lang w:val="en-US"/>
                      </w:rPr>
                      <w:t>0</w:t>
                    </w:r>
                  </w:p>
                </w:txbxContent>
              </v:textbox>
            </v:rect>
            <v:rect id="_x0000_s3290" style="position:absolute;left:188;top:1433;width:406;height:345;mso-wrap-style:none" filled="f" stroked="f">
              <v:textbox style="mso-fit-shape-to-text:t" inset="0,0,0,0">
                <w:txbxContent>
                  <w:p w:rsidR="000B433A" w:rsidRDefault="000B433A">
                    <w:r>
                      <w:rPr>
                        <w:rFonts w:cs="Calibri"/>
                        <w:color w:val="595959"/>
                        <w:sz w:val="16"/>
                        <w:szCs w:val="16"/>
                        <w:lang w:val="en-US"/>
                      </w:rPr>
                      <w:t>20000</w:t>
                    </w:r>
                  </w:p>
                </w:txbxContent>
              </v:textbox>
            </v:rect>
            <v:rect id="_x0000_s3291" style="position:absolute;left:188;top:1113;width:406;height:345;mso-wrap-style:none" filled="f" stroked="f">
              <v:textbox style="mso-fit-shape-to-text:t" inset="0,0,0,0">
                <w:txbxContent>
                  <w:p w:rsidR="000B433A" w:rsidRDefault="000B433A">
                    <w:r>
                      <w:rPr>
                        <w:rFonts w:cs="Calibri"/>
                        <w:color w:val="595959"/>
                        <w:sz w:val="16"/>
                        <w:szCs w:val="16"/>
                        <w:lang w:val="en-US"/>
                      </w:rPr>
                      <w:t>40000</w:t>
                    </w:r>
                  </w:p>
                </w:txbxContent>
              </v:textbox>
            </v:rect>
            <v:rect id="_x0000_s3292" style="position:absolute;left:188;top:792;width:406;height:345;mso-wrap-style:none" filled="f" stroked="f">
              <v:textbox style="mso-fit-shape-to-text:t" inset="0,0,0,0">
                <w:txbxContent>
                  <w:p w:rsidR="000B433A" w:rsidRDefault="000B433A">
                    <w:r>
                      <w:rPr>
                        <w:rFonts w:cs="Calibri"/>
                        <w:color w:val="595959"/>
                        <w:sz w:val="16"/>
                        <w:szCs w:val="16"/>
                        <w:lang w:val="en-US"/>
                      </w:rPr>
                      <w:t>60000</w:t>
                    </w:r>
                  </w:p>
                </w:txbxContent>
              </v:textbox>
            </v:rect>
            <v:rect id="_x0000_s3293" style="position:absolute;left:188;top:472;width:406;height:345;mso-wrap-style:none" filled="f" stroked="f">
              <v:textbox style="mso-fit-shape-to-text:t" inset="0,0,0,0">
                <w:txbxContent>
                  <w:p w:rsidR="000B433A" w:rsidRDefault="000B433A">
                    <w:r>
                      <w:rPr>
                        <w:rFonts w:cs="Calibri"/>
                        <w:color w:val="595959"/>
                        <w:sz w:val="16"/>
                        <w:szCs w:val="16"/>
                        <w:lang w:val="en-US"/>
                      </w:rPr>
                      <w:t>80000</w:t>
                    </w:r>
                  </w:p>
                </w:txbxContent>
              </v:textbox>
            </v:rect>
            <v:rect id="_x0000_s3294" style="position:absolute;left:112;top:152;width:487;height:345;mso-wrap-style:none" filled="f" stroked="f">
              <v:textbox style="mso-fit-shape-to-text:t" inset="0,0,0,0">
                <w:txbxContent>
                  <w:p w:rsidR="000B433A" w:rsidRDefault="000B433A">
                    <w:r>
                      <w:rPr>
                        <w:rFonts w:cs="Calibri"/>
                        <w:color w:val="595959"/>
                        <w:sz w:val="16"/>
                        <w:szCs w:val="16"/>
                        <w:lang w:val="en-US"/>
                      </w:rPr>
                      <w:t>100000</w:t>
                    </w:r>
                  </w:p>
                </w:txbxContent>
              </v:textbox>
            </v:rect>
            <v:rect id="_x0000_s3295" style="position:absolute;left:112;top:-169;width:487;height:345;mso-wrap-style:none" filled="f" stroked="f">
              <v:textbox style="mso-fit-shape-to-text:t" inset="0,0,0,0">
                <w:txbxContent>
                  <w:p w:rsidR="000B433A" w:rsidRDefault="000B433A">
                    <w:r>
                      <w:rPr>
                        <w:rFonts w:cs="Calibri"/>
                        <w:color w:val="595959"/>
                        <w:sz w:val="16"/>
                        <w:szCs w:val="16"/>
                        <w:lang w:val="en-US"/>
                      </w:rPr>
                      <w:t>120000</w:t>
                    </w:r>
                  </w:p>
                </w:txbxContent>
              </v:textbox>
            </v:rect>
            <v:rect id="_x0000_s3296" style="position:absolute;left:112;top:-489;width:487;height:345;mso-wrap-style:none" filled="f" stroked="f">
              <v:textbox style="mso-fit-shape-to-text:t" inset="0,0,0,0">
                <w:txbxContent>
                  <w:p w:rsidR="000B433A" w:rsidRDefault="000B433A">
                    <w:r>
                      <w:rPr>
                        <w:rFonts w:cs="Calibri"/>
                        <w:color w:val="595959"/>
                        <w:sz w:val="16"/>
                        <w:szCs w:val="16"/>
                        <w:lang w:val="en-US"/>
                      </w:rPr>
                      <w:t>140000</w:t>
                    </w:r>
                  </w:p>
                </w:txbxContent>
              </v:textbox>
            </v:rect>
            <v:rect id="_x0000_s3297" style="position:absolute;left:112;top:-809;width:487;height:345;mso-wrap-style:none" filled="f" stroked="f">
              <v:textbox style="mso-fit-shape-to-text:t" inset="0,0,0,0">
                <w:txbxContent>
                  <w:p w:rsidR="000B433A" w:rsidRDefault="000B433A">
                    <w:r>
                      <w:rPr>
                        <w:rFonts w:cs="Calibri"/>
                        <w:color w:val="595959"/>
                        <w:sz w:val="16"/>
                        <w:szCs w:val="16"/>
                        <w:lang w:val="en-US"/>
                      </w:rPr>
                      <w:t>160000</w:t>
                    </w:r>
                  </w:p>
                </w:txbxContent>
              </v:textbox>
            </v:rect>
            <v:rect id="_x0000_s3298" style="position:absolute;left:1374;top:1950;width:325;height:345;mso-wrap-style:none" filled="f" stroked="f">
              <v:textbox style="mso-fit-shape-to-text:t" inset="0,0,0,0">
                <w:txbxContent>
                  <w:p w:rsidR="000B433A" w:rsidRDefault="000B433A">
                    <w:r>
                      <w:rPr>
                        <w:rFonts w:cs="Calibri"/>
                        <w:color w:val="595959"/>
                        <w:sz w:val="16"/>
                        <w:szCs w:val="16"/>
                        <w:lang w:val="en-US"/>
                      </w:rPr>
                      <w:t>2005</w:t>
                    </w:r>
                  </w:p>
                </w:txbxContent>
              </v:textbox>
            </v:rect>
            <v:rect id="_x0000_s3299" style="position:absolute;left:2983;top:1950;width:325;height:345;mso-wrap-style:none" filled="f" stroked="f">
              <v:textbox style="mso-fit-shape-to-text:t" inset="0,0,0,0">
                <w:txbxContent>
                  <w:p w:rsidR="000B433A" w:rsidRDefault="000B433A">
                    <w:r>
                      <w:rPr>
                        <w:rFonts w:cs="Calibri"/>
                        <w:color w:val="595959"/>
                        <w:sz w:val="16"/>
                        <w:szCs w:val="16"/>
                        <w:lang w:val="en-US"/>
                      </w:rPr>
                      <w:t>2015</w:t>
                    </w:r>
                  </w:p>
                </w:txbxContent>
              </v:textbox>
            </v:rect>
            <v:rect id="_x0000_s3300" style="position:absolute;left:4364;top:1950;width:325;height:345;mso-wrap-style:none" filled="f" stroked="f">
              <v:textbox style="mso-fit-shape-to-text:t" inset="0,0,0,0">
                <w:txbxContent>
                  <w:p w:rsidR="000B433A" w:rsidRDefault="000B433A">
                    <w:r>
                      <w:rPr>
                        <w:rFonts w:cs="Calibri"/>
                        <w:color w:val="595959"/>
                        <w:sz w:val="16"/>
                        <w:szCs w:val="16"/>
                        <w:lang w:val="en-US"/>
                      </w:rPr>
                      <w:t xml:space="preserve">2030 </w:t>
                    </w:r>
                  </w:p>
                </w:txbxContent>
              </v:textbox>
            </v:rect>
            <v:rect id="_x0000_s3301" style="position:absolute;left:4692;top:1950;width:49;height:345;mso-wrap-style:none" filled="f" stroked="f">
              <v:textbox style="mso-fit-shape-to-text:t" inset="0,0,0,0">
                <w:txbxContent>
                  <w:p w:rsidR="000B433A" w:rsidRDefault="000B433A">
                    <w:r>
                      <w:rPr>
                        <w:rFonts w:cs="Calibri"/>
                        <w:color w:val="595959"/>
                        <w:sz w:val="16"/>
                        <w:szCs w:val="16"/>
                        <w:lang w:val="en-US"/>
                      </w:rPr>
                      <w:t>-</w:t>
                    </w:r>
                  </w:p>
                </w:txbxContent>
              </v:textbox>
            </v:rect>
            <v:rect id="_x0000_s3302" style="position:absolute;left:4768;top:1950;width:358;height:345;mso-wrap-style:none" filled="f" stroked="f">
              <v:textbox style="mso-fit-shape-to-text:t" inset="0,0,0,0">
                <w:txbxContent>
                  <w:p w:rsidR="000B433A" w:rsidRDefault="000B433A">
                    <w:r>
                      <w:rPr>
                        <w:rFonts w:cs="Calibri"/>
                        <w:color w:val="595959"/>
                        <w:sz w:val="16"/>
                        <w:szCs w:val="16"/>
                        <w:lang w:val="en-US"/>
                      </w:rPr>
                      <w:t>WEM</w:t>
                    </w:r>
                  </w:p>
                </w:txbxContent>
              </v:textbox>
            </v:rect>
            <v:rect id="_x0000_s3303" style="position:absolute;left:5973;top:1950;width:325;height:345;mso-wrap-style:none" filled="f" stroked="f">
              <v:textbox style="mso-fit-shape-to-text:t" inset="0,0,0,0">
                <w:txbxContent>
                  <w:p w:rsidR="000B433A" w:rsidRDefault="000B433A">
                    <w:r>
                      <w:rPr>
                        <w:rFonts w:cs="Calibri"/>
                        <w:color w:val="595959"/>
                        <w:sz w:val="16"/>
                        <w:szCs w:val="16"/>
                        <w:lang w:val="en-US"/>
                      </w:rPr>
                      <w:t xml:space="preserve">2030 </w:t>
                    </w:r>
                  </w:p>
                </w:txbxContent>
              </v:textbox>
            </v:rect>
            <v:rect id="_x0000_s3304" style="position:absolute;left:6301;top:1950;width:49;height:345;mso-wrap-style:none" filled="f" stroked="f">
              <v:textbox style="mso-fit-shape-to-text:t" inset="0,0,0,0">
                <w:txbxContent>
                  <w:p w:rsidR="000B433A" w:rsidRDefault="000B433A">
                    <w:r>
                      <w:rPr>
                        <w:rFonts w:cs="Calibri"/>
                        <w:color w:val="595959"/>
                        <w:sz w:val="16"/>
                        <w:szCs w:val="16"/>
                        <w:lang w:val="en-US"/>
                      </w:rPr>
                      <w:t>-</w:t>
                    </w:r>
                  </w:p>
                </w:txbxContent>
              </v:textbox>
            </v:rect>
            <v:rect id="_x0000_s3305" style="position:absolute;left:6377;top:1950;width:372;height:345;mso-wrap-style:none" filled="f" stroked="f">
              <v:textbox style="mso-fit-shape-to-text:t" inset="0,0,0,0">
                <w:txbxContent>
                  <w:p w:rsidR="000B433A" w:rsidRDefault="000B433A">
                    <w:r>
                      <w:rPr>
                        <w:rFonts w:cs="Calibri"/>
                        <w:color w:val="595959"/>
                        <w:sz w:val="16"/>
                        <w:szCs w:val="16"/>
                        <w:lang w:val="en-US"/>
                      </w:rPr>
                      <w:t>WAM</w:t>
                    </w:r>
                  </w:p>
                </w:txbxContent>
              </v:textbox>
            </v:rect>
            <v:rect id="_x0000_s3306" style="position:absolute;left:771;top:-1150;width:4941;height:457" filled="f" stroked="f">
              <v:textbox style="mso-fit-shape-to-text:t" inset="0,0,0,0">
                <w:txbxContent>
                  <w:p w:rsidR="000B433A" w:rsidRDefault="000B433A">
                    <w:r w:rsidRPr="00A46F4D">
                      <w:rPr>
                        <w:rFonts w:cs="Calibri"/>
                        <w:color w:val="595959"/>
                        <w:szCs w:val="24"/>
                        <w:lang w:val="fr-FR"/>
                      </w:rPr>
                      <w:t xml:space="preserve">Gesamtendenergieverbrauch </w:t>
                    </w:r>
                    <w:r>
                      <w:rPr>
                        <w:rFonts w:cs="Calibri"/>
                        <w:color w:val="595959"/>
                        <w:szCs w:val="24"/>
                        <w:lang w:val="fr-FR"/>
                      </w:rPr>
                      <w:t xml:space="preserve">nach </w:t>
                    </w:r>
                    <w:r w:rsidRPr="0079404F">
                      <w:rPr>
                        <w:rFonts w:cs="Calibri"/>
                        <w:color w:val="595959"/>
                        <w:szCs w:val="24"/>
                        <w:lang w:val="fr-FR"/>
                      </w:rPr>
                      <w:t>Energieträger</w:t>
                    </w:r>
                  </w:p>
                </w:txbxContent>
              </v:textbox>
            </v:rect>
            <v:rect id="_x0000_s3307" style="position:absolute;left:1418;top:2333;width:89;height:101" fillcolor="#5b9bd5" stroked="f"/>
            <v:rect id="_x0000_s3308" style="position:absolute;left:1541;top:2286;width:426;height:345;mso-wrap-style:none" filled="f" stroked="f">
              <v:textbox style="mso-fit-shape-to-text:t" inset="0,0,0,0">
                <w:txbxContent>
                  <w:p w:rsidR="000B433A" w:rsidRDefault="000B433A">
                    <w:proofErr w:type="gramStart"/>
                    <w:r>
                      <w:rPr>
                        <w:rFonts w:cs="Calibri"/>
                        <w:color w:val="595959"/>
                        <w:sz w:val="16"/>
                        <w:szCs w:val="16"/>
                        <w:lang w:val="en-US"/>
                      </w:rPr>
                      <w:t>Festst.</w:t>
                    </w:r>
                    <w:proofErr w:type="gramEnd"/>
                  </w:p>
                </w:txbxContent>
              </v:textbox>
            </v:rect>
            <v:rect id="_x0000_s3309" style="position:absolute;left:2036;top:2333;width:101;height:101" fillcolor="#ed7d31" stroked="f"/>
            <v:rect id="_x0000_s3310" style="position:absolute;left:2164;top:2286;width:143;height:345;mso-wrap-style:none" filled="f" stroked="f">
              <v:textbox style="mso-fit-shape-to-text:t" inset="0,0,0,0">
                <w:txbxContent>
                  <w:p w:rsidR="000B433A" w:rsidRDefault="000B433A">
                    <w:r>
                      <w:rPr>
                        <w:rFonts w:cs="Calibri"/>
                        <w:color w:val="595959"/>
                        <w:sz w:val="16"/>
                        <w:szCs w:val="16"/>
                        <w:lang w:val="en-US"/>
                      </w:rPr>
                      <w:t>Öl</w:t>
                    </w:r>
                  </w:p>
                </w:txbxContent>
              </v:textbox>
            </v:rect>
            <v:rect id="_x0000_s3311" style="position:absolute;left:2477;top:2333;width:89;height:101" fillcolor="#a5a5a5" stroked="f"/>
            <v:rect id="_x0000_s3312" style="position:absolute;left:2600;top:2286;width:241;height:345;mso-wrap-style:none" filled="f" stroked="f">
              <v:textbox style="mso-fit-shape-to-text:t" inset="0,0,0,0">
                <w:txbxContent>
                  <w:p w:rsidR="000B433A" w:rsidRDefault="000B433A">
                    <w:r>
                      <w:rPr>
                        <w:rFonts w:cs="Calibri"/>
                        <w:color w:val="595959"/>
                        <w:sz w:val="16"/>
                        <w:szCs w:val="16"/>
                        <w:lang w:val="en-US"/>
                      </w:rPr>
                      <w:t>Gas</w:t>
                    </w:r>
                  </w:p>
                </w:txbxContent>
              </v:textbox>
            </v:rect>
            <v:rect id="_x0000_s3313" style="position:absolute;left:2969;top:2333;width:101;height:101" fillcolor="#ffc000" stroked="f"/>
            <v:rect id="_x0000_s3314" style="position:absolute;left:3094;top:2286;width:396;height:345;mso-wrap-style:none" filled="f" stroked="f">
              <v:textbox style="mso-fit-shape-to-text:t" inset="0,0,0,0">
                <w:txbxContent>
                  <w:p w:rsidR="000B433A" w:rsidRDefault="000B433A">
                    <w:r>
                      <w:rPr>
                        <w:rFonts w:cs="Calibri"/>
                        <w:color w:val="595959"/>
                        <w:sz w:val="16"/>
                        <w:szCs w:val="16"/>
                        <w:lang w:val="en-US"/>
                      </w:rPr>
                      <w:t>Strom</w:t>
                    </w:r>
                  </w:p>
                </w:txbxContent>
              </v:textbox>
            </v:rect>
            <v:rect id="_x0000_s3315" style="position:absolute;left:3852;top:2333;width:88;height:101" fillcolor="#4472c4" stroked="f"/>
            <v:rect id="_x0000_s3316" style="position:absolute;left:3972;top:2286;width:781;height:345;mso-wrap-style:none" filled="f" stroked="f">
              <v:textbox style="mso-fit-shape-to-text:t" inset="0,0,0,0">
                <w:txbxContent>
                  <w:p w:rsidR="000B433A" w:rsidRDefault="000B433A">
                    <w:r>
                      <w:rPr>
                        <w:rFonts w:cs="Calibri"/>
                        <w:color w:val="595959"/>
                        <w:sz w:val="16"/>
                        <w:szCs w:val="16"/>
                        <w:lang w:val="en-US"/>
                      </w:rPr>
                      <w:t>Dampf KWK</w:t>
                    </w:r>
                  </w:p>
                </w:txbxContent>
              </v:textbox>
            </v:rect>
            <v:rect id="_x0000_s3317" style="position:absolute;left:4961;top:2333;width:101;height:101" fillcolor="#70ad47" stroked="f"/>
            <v:rect id="_x0000_s3318" style="position:absolute;left:5087;top:2286;width:157;height:345;mso-wrap-style:none" filled="f" stroked="f">
              <v:textbox style="mso-fit-shape-to-text:t" inset="0,0,0,0">
                <w:txbxContent>
                  <w:p w:rsidR="000B433A" w:rsidRDefault="000B433A">
                    <w:r>
                      <w:rPr>
                        <w:rFonts w:cs="Calibri"/>
                        <w:color w:val="595959"/>
                        <w:sz w:val="16"/>
                        <w:szCs w:val="16"/>
                        <w:lang w:val="en-US"/>
                      </w:rPr>
                      <w:t>EE</w:t>
                    </w:r>
                  </w:p>
                </w:txbxContent>
              </v:textbox>
            </v:rect>
            <v:rect id="_x0000_s3319" style="position:absolute;left:5453;top:2333;width:101;height:101" fillcolor="#255e91" stroked="f"/>
            <v:rect id="_x0000_s3320" style="position:absolute;left:5579;top:2286;width:550;height:345;mso-wrap-style:none" filled="f" stroked="f">
              <v:textbox style="mso-fit-shape-to-text:t" inset="0,0,0,0">
                <w:txbxContent>
                  <w:p w:rsidR="000B433A" w:rsidRDefault="000B433A">
                    <w:r>
                      <w:rPr>
                        <w:rFonts w:cs="Calibri"/>
                        <w:color w:val="595959"/>
                        <w:sz w:val="16"/>
                        <w:szCs w:val="16"/>
                        <w:lang w:val="en-US"/>
                      </w:rPr>
                      <w:t>Sonstige</w:t>
                    </w:r>
                  </w:p>
                </w:txbxContent>
              </v:textbox>
            </v:rect>
            <v:shape id="_x0000_s3321" style="position:absolute;left:6;top:-1339;width:7338;height:3975" coordsize="9312,5040" path="m,8hdc,4,4,,8,hal9304,hdc9309,,9312,4,9312,8hal9312,5032hdc9312,5037,9309,5040,9304,5040hal8,5040hdc4,5040,,5037,,5032hal,8hdxm16,5032hal8,5024r9296,l9296,5032,9296,8r8,8l8,16,16,8r,5024hdxe" fillcolor="#d9d9d9" strokecolor="#d9d9d9" strokeweight=".05pt">
              <v:path arrowok="t"/>
              <o:lock v:ext="edit" verticies="t"/>
            </v:shape>
            <w10:wrap type="none"/>
            <w10:anchorlock/>
          </v:group>
        </w:pict>
      </w:r>
    </w:p>
    <w:p w:rsidR="000B433A" w:rsidRPr="008F6F57" w:rsidRDefault="005A6B21" w:rsidP="002C5385">
      <w:pPr>
        <w:keepNext/>
        <w:spacing w:after="200"/>
        <w:jc w:val="center"/>
        <w:rPr>
          <w:rFonts w:cs="Calibri"/>
          <w:szCs w:val="24"/>
          <w:lang w:val="de-DE"/>
        </w:rPr>
      </w:pPr>
      <w:r w:rsidRPr="005A6B21">
        <w:rPr>
          <w:rFonts w:cs="Calibri"/>
          <w:lang w:val="de-DE"/>
        </w:rPr>
      </w:r>
      <w:r w:rsidRPr="005A6B21">
        <w:rPr>
          <w:rFonts w:cs="Calibri"/>
          <w:lang w:val="de-DE"/>
        </w:rPr>
        <w:pict>
          <v:group id="_x0000_s3323" editas="canvas" style="width:367.05pt;height:277.1pt;mso-position-horizontal-relative:char;mso-position-vertical-relative:line" coordorigin=",-1345" coordsize="7341,5542">
            <o:lock v:ext="edit" aspectratio="t"/>
            <v:shape id="_x0000_s3324" type="#_x0000_t75" style="position:absolute;top:-1345;width:7341;height:5542" o:preferrelative="f">
              <v:fill o:detectmouseclick="t"/>
              <v:path o:extrusionok="t" o:connecttype="none"/>
              <o:lock v:ext="edit" text="t"/>
            </v:shape>
            <v:rect id="_x0000_s3325" style="position:absolute;left:8;top:-1337;width:7291;height:5260" stroked="f"/>
            <v:shape id="_x0000_s3326" style="position:absolute;left:864;top:-595;width:3987;height:4291" coordsize="3987,4291" path="m,4276r3987,l3987,4291,,4291r,-15xm,2851r3987,l3987,2866,,2866r,-15xm,2138r3987,l3987,2153,,2153r,-15xm,1426r3987,l3987,1441,,1441r,-15xm,713r3987,l3987,728,,728,,713xm,l3987,r,16l,16,,xe" fillcolor="#d9d9d9" strokecolor="#d9d9d9">
              <v:stroke joinstyle="bevel"/>
              <v:path arrowok="t"/>
              <o:lock v:ext="edit" verticies="t"/>
            </v:shape>
            <v:shape id="_x0000_s3327" style="position:absolute;left:1038;top:2604;width:3639;height:364" coordsize="3639,364" path="m,l637,r,364l,364,,xm1001,304r637,l1638,364r-637,l1001,304xm2001,304r637,l2638,364r-637,l2001,304xm3002,319r637,l3639,364r-637,l3002,319xe" fillcolor="#5b9bd5" stroked="f">
              <v:path arrowok="t"/>
              <o:lock v:ext="edit" verticies="t"/>
            </v:shape>
            <v:shape id="_x0000_s3328" style="position:absolute;left:1038;top:1619;width:3639;height:1304" coordsize="3639,1304" path="m,l637,r,985l,985,,xm1001,546r637,l1638,1289r-637,l1001,546xm2001,485r637,l2638,1289r-637,l2001,485xm3002,849r637,l3639,1304r-637,l3002,849xe" fillcolor="#ed7d31" stroked="f">
              <v:path arrowok="t"/>
              <o:lock v:ext="edit" verticies="t"/>
            </v:shape>
            <v:shape id="_x0000_s3329" style="position:absolute;left:1038;top:952;width:3639;height:1516" coordsize="3639,1516" path="m,l637,r,667l,667,,xm1001,637r637,l1638,1213r-637,l1001,637xm2001,333r637,l2638,1152r-637,l2001,333xm3002,712r637,l3639,1516r-637,l3002,712xe" fillcolor="#a5a5a5" stroked="f">
              <v:path arrowok="t"/>
              <o:lock v:ext="edit" verticies="t"/>
            </v:shape>
            <v:shape id="_x0000_s3330" style="position:absolute;left:1038;top:906;width:3639;height:758" coordsize="3639,758" path="m,l637,r,46l,46,,xm1001,455r637,l1638,683r-637,l1001,455xm2001,106r637,l2638,379r-637,l2001,106xm3002,334r637,l3639,758r-637,l3002,334xe" fillcolor="#ffc000" stroked="f">
              <v:path arrowok="t"/>
              <o:lock v:ext="edit" verticies="t"/>
            </v:shape>
            <v:shape id="_x0000_s3331" style="position:absolute;left:1038;top:-94;width:1638;height:1455" coordsize="1638,1455" path="m,l637,r,1000l,1000,,xm1001,879r637,l1638,1455r-637,l1001,879xe" fillcolor="#4472c4" stroked="f">
              <v:path arrowok="t"/>
              <o:lock v:ext="edit" verticies="t"/>
            </v:shape>
            <v:shape id="_x0000_s3332" style="position:absolute;left:1038;top:-170;width:3639;height:1410" coordsize="3639,1410" path="m,l637,r,76l,76,,xm1001,910r637,l1638,955r-637,l1001,910xm2001,1122r637,l2638,1182r-637,l2001,1122xm3002,1349r637,l3639,1410r-637,l3002,1349xe" fillcolor="#70ad47" stroked="f">
              <v:path arrowok="t"/>
              <o:lock v:ext="edit" verticies="t"/>
            </v:shape>
            <v:shape id="_x0000_s3333" style="position:absolute;left:1038;top:724;width:3639;height:2335" coordsize="3639,2335" path="m,2244r637,l637,2335,,2335r,-91xm1001,r637,l1638,16r-637,l1001,xm2001,182r637,l2638,228r-637,l2001,182xm3002,440r637,l3639,455r-637,l3002,440xe" fillcolor="#255e91" stroked="f">
              <v:path arrowok="t"/>
              <o:lock v:ext="edit" verticies="t"/>
            </v:shape>
            <v:rect id="_x0000_s3334" style="position:absolute;left:864;top:2968;width:3987;height:15" fillcolor="#d9d9d9" strokecolor="#d9d9d9">
              <v:stroke joinstyle="bevel"/>
            </v:rect>
            <v:rect id="_x0000_s3335" style="position:absolute;left:184;top:3572;width:56;height:373;mso-wrap-style:none" filled="f" stroked="f">
              <v:textbox style="mso-fit-shape-to-text:t" inset="0,0,0,0">
                <w:txbxContent>
                  <w:p w:rsidR="000B433A" w:rsidRDefault="000B433A">
                    <w:r>
                      <w:rPr>
                        <w:rFonts w:cs="Calibri"/>
                        <w:color w:val="595959"/>
                        <w:sz w:val="18"/>
                        <w:szCs w:val="18"/>
                        <w:lang w:val="en-US"/>
                      </w:rPr>
                      <w:t>-</w:t>
                    </w:r>
                  </w:p>
                </w:txbxContent>
              </v:textbox>
            </v:rect>
            <v:rect id="_x0000_s3336" style="position:absolute;left:244;top:3572;width:457;height:373;mso-wrap-style:none" filled="f" stroked="f">
              <v:textbox style="mso-fit-shape-to-text:t" inset="0,0,0,0">
                <w:txbxContent>
                  <w:p w:rsidR="000B433A" w:rsidRDefault="000B433A">
                    <w:r>
                      <w:rPr>
                        <w:rFonts w:cs="Calibri"/>
                        <w:color w:val="595959"/>
                        <w:sz w:val="18"/>
                        <w:szCs w:val="18"/>
                        <w:lang w:val="en-US"/>
                      </w:rPr>
                      <w:t>50000</w:t>
                    </w:r>
                  </w:p>
                </w:txbxContent>
              </v:textbox>
            </v:rect>
            <v:rect id="_x0000_s3337" style="position:absolute;left:608;top:2861;width:92;height:373;mso-wrap-style:none" filled="f" stroked="f">
              <v:textbox style="mso-fit-shape-to-text:t" inset="0,0,0,0">
                <w:txbxContent>
                  <w:p w:rsidR="000B433A" w:rsidRDefault="000B433A">
                    <w:r>
                      <w:rPr>
                        <w:rFonts w:cs="Calibri"/>
                        <w:color w:val="595959"/>
                        <w:sz w:val="18"/>
                        <w:szCs w:val="18"/>
                        <w:lang w:val="en-US"/>
                      </w:rPr>
                      <w:t>0</w:t>
                    </w:r>
                  </w:p>
                </w:txbxContent>
              </v:textbox>
            </v:rect>
            <v:rect id="_x0000_s3338" style="position:absolute;left:242;top:2150;width:457;height:373;mso-wrap-style:none" filled="f" stroked="f">
              <v:textbox style="mso-fit-shape-to-text:t" inset="0,0,0,0">
                <w:txbxContent>
                  <w:p w:rsidR="000B433A" w:rsidRDefault="000B433A">
                    <w:r>
                      <w:rPr>
                        <w:rFonts w:cs="Calibri"/>
                        <w:color w:val="595959"/>
                        <w:sz w:val="18"/>
                        <w:szCs w:val="18"/>
                        <w:lang w:val="en-US"/>
                      </w:rPr>
                      <w:t>50000</w:t>
                    </w:r>
                  </w:p>
                </w:txbxContent>
              </v:textbox>
            </v:rect>
            <v:rect id="_x0000_s3339" style="position:absolute;left:150;top:1439;width:548;height:373;mso-wrap-style:none" filled="f" stroked="f">
              <v:textbox style="mso-fit-shape-to-text:t" inset="0,0,0,0">
                <w:txbxContent>
                  <w:p w:rsidR="000B433A" w:rsidRDefault="000B433A">
                    <w:r>
                      <w:rPr>
                        <w:rFonts w:cs="Calibri"/>
                        <w:color w:val="595959"/>
                        <w:sz w:val="18"/>
                        <w:szCs w:val="18"/>
                        <w:lang w:val="en-US"/>
                      </w:rPr>
                      <w:t>100000</w:t>
                    </w:r>
                  </w:p>
                </w:txbxContent>
              </v:textbox>
            </v:rect>
            <v:rect id="_x0000_s3340" style="position:absolute;left:150;top:728;width:548;height:373;mso-wrap-style:none" filled="f" stroked="f">
              <v:textbox style="mso-fit-shape-to-text:t" inset="0,0,0,0">
                <w:txbxContent>
                  <w:p w:rsidR="000B433A" w:rsidRDefault="000B433A">
                    <w:r>
                      <w:rPr>
                        <w:rFonts w:cs="Calibri"/>
                        <w:color w:val="595959"/>
                        <w:sz w:val="18"/>
                        <w:szCs w:val="18"/>
                        <w:lang w:val="en-US"/>
                      </w:rPr>
                      <w:t>150000</w:t>
                    </w:r>
                  </w:p>
                </w:txbxContent>
              </v:textbox>
            </v:rect>
            <v:rect id="_x0000_s3341" style="position:absolute;left:150;top:17;width:548;height:373;mso-wrap-style:none" filled="f" stroked="f">
              <v:textbox style="mso-fit-shape-to-text:t" inset="0,0,0,0">
                <w:txbxContent>
                  <w:p w:rsidR="000B433A" w:rsidRDefault="000B433A">
                    <w:r>
                      <w:rPr>
                        <w:rFonts w:cs="Calibri"/>
                        <w:color w:val="595959"/>
                        <w:sz w:val="18"/>
                        <w:szCs w:val="18"/>
                        <w:lang w:val="en-US"/>
                      </w:rPr>
                      <w:t>200000</w:t>
                    </w:r>
                  </w:p>
                </w:txbxContent>
              </v:textbox>
            </v:rect>
            <v:rect id="_x0000_s3342" style="position:absolute;left:150;top:-694;width:548;height:373;mso-wrap-style:none" filled="f" stroked="f">
              <v:textbox style="mso-fit-shape-to-text:t" inset="0,0,0,0">
                <w:txbxContent>
                  <w:p w:rsidR="000B433A" w:rsidRDefault="000B433A">
                    <w:r>
                      <w:rPr>
                        <w:rFonts w:cs="Calibri"/>
                        <w:color w:val="595959"/>
                        <w:sz w:val="18"/>
                        <w:szCs w:val="18"/>
                        <w:lang w:val="en-US"/>
                      </w:rPr>
                      <w:t>250000</w:t>
                    </w:r>
                  </w:p>
                </w:txbxContent>
              </v:textbox>
            </v:rect>
            <v:rect id="_x0000_s3343" style="position:absolute;left:1187;top:3098;width:365;height:373;mso-wrap-style:none" filled="f" stroked="f">
              <v:textbox style="mso-fit-shape-to-text:t" inset="0,0,0,0">
                <w:txbxContent>
                  <w:p w:rsidR="000B433A" w:rsidRDefault="000B433A">
                    <w:r>
                      <w:rPr>
                        <w:rFonts w:cs="Calibri"/>
                        <w:color w:val="595959"/>
                        <w:sz w:val="18"/>
                        <w:szCs w:val="18"/>
                        <w:lang w:val="en-US"/>
                      </w:rPr>
                      <w:t>2005</w:t>
                    </w:r>
                  </w:p>
                </w:txbxContent>
              </v:textbox>
            </v:rect>
            <v:rect id="_x0000_s3344" style="position:absolute;left:2186;top:3098;width:365;height:373;mso-wrap-style:none" filled="f" stroked="f">
              <v:textbox style="mso-fit-shape-to-text:t" inset="0,0,0,0">
                <w:txbxContent>
                  <w:p w:rsidR="000B433A" w:rsidRDefault="000B433A">
                    <w:r>
                      <w:rPr>
                        <w:rFonts w:cs="Calibri"/>
                        <w:color w:val="595959"/>
                        <w:sz w:val="18"/>
                        <w:szCs w:val="18"/>
                        <w:lang w:val="en-US"/>
                      </w:rPr>
                      <w:t>2015</w:t>
                    </w:r>
                  </w:p>
                </w:txbxContent>
              </v:textbox>
            </v:rect>
            <v:rect id="_x0000_s3345" style="position:absolute;left:2912;top:3098;width:365;height:373;mso-wrap-style:none" filled="f" stroked="f">
              <v:textbox style="mso-fit-shape-to-text:t" inset="0,0,0,0">
                <w:txbxContent>
                  <w:p w:rsidR="000B433A" w:rsidRDefault="000B433A">
                    <w:r>
                      <w:rPr>
                        <w:rFonts w:cs="Calibri"/>
                        <w:color w:val="595959"/>
                        <w:sz w:val="18"/>
                        <w:szCs w:val="18"/>
                        <w:lang w:val="en-US"/>
                      </w:rPr>
                      <w:t xml:space="preserve">2030 </w:t>
                    </w:r>
                  </w:p>
                </w:txbxContent>
              </v:textbox>
            </v:rect>
            <v:rect id="_x0000_s3346" style="position:absolute;left:3307;top:3098;width:56;height:373;mso-wrap-style:none" filled="f" stroked="f">
              <v:textbox style="mso-fit-shape-to-text:t" inset="0,0,0,0">
                <w:txbxContent>
                  <w:p w:rsidR="000B433A" w:rsidRDefault="000B433A">
                    <w:r>
                      <w:rPr>
                        <w:rFonts w:cs="Calibri"/>
                        <w:color w:val="595959"/>
                        <w:sz w:val="18"/>
                        <w:szCs w:val="18"/>
                        <w:lang w:val="en-US"/>
                      </w:rPr>
                      <w:t>-</w:t>
                    </w:r>
                  </w:p>
                </w:txbxContent>
              </v:textbox>
            </v:rect>
            <v:rect id="_x0000_s3347" style="position:absolute;left:3398;top:3098;width:402;height:373;mso-wrap-style:none" filled="f" stroked="f">
              <v:textbox style="mso-fit-shape-to-text:t" inset="0,0,0,0">
                <w:txbxContent>
                  <w:p w:rsidR="000B433A" w:rsidRDefault="000B433A">
                    <w:r>
                      <w:rPr>
                        <w:rFonts w:cs="Calibri"/>
                        <w:color w:val="595959"/>
                        <w:sz w:val="18"/>
                        <w:szCs w:val="18"/>
                        <w:lang w:val="en-US"/>
                      </w:rPr>
                      <w:t>WEM</w:t>
                    </w:r>
                  </w:p>
                </w:txbxContent>
              </v:textbox>
            </v:rect>
            <v:rect id="_x0000_s3348" style="position:absolute;left:3912;top:3098;width:365;height:373;mso-wrap-style:none" filled="f" stroked="f">
              <v:textbox style="mso-fit-shape-to-text:t" inset="0,0,0,0">
                <w:txbxContent>
                  <w:p w:rsidR="000B433A" w:rsidRDefault="000B433A">
                    <w:r>
                      <w:rPr>
                        <w:rFonts w:cs="Calibri"/>
                        <w:color w:val="595959"/>
                        <w:sz w:val="18"/>
                        <w:szCs w:val="18"/>
                        <w:lang w:val="en-US"/>
                      </w:rPr>
                      <w:t xml:space="preserve">2030 </w:t>
                    </w:r>
                  </w:p>
                </w:txbxContent>
              </v:textbox>
            </v:rect>
            <v:rect id="_x0000_s3349" style="position:absolute;left:4306;top:3098;width:56;height:373;mso-wrap-style:none" filled="f" stroked="f">
              <v:textbox style="mso-fit-shape-to-text:t" inset="0,0,0,0">
                <w:txbxContent>
                  <w:p w:rsidR="000B433A" w:rsidRDefault="000B433A">
                    <w:r>
                      <w:rPr>
                        <w:rFonts w:cs="Calibri"/>
                        <w:color w:val="595959"/>
                        <w:sz w:val="18"/>
                        <w:szCs w:val="18"/>
                        <w:lang w:val="en-US"/>
                      </w:rPr>
                      <w:t>-</w:t>
                    </w:r>
                  </w:p>
                </w:txbxContent>
              </v:textbox>
            </v:rect>
            <v:rect id="_x0000_s3350" style="position:absolute;left:4397;top:3098;width:419;height:373;mso-wrap-style:none" filled="f" stroked="f">
              <v:textbox style="mso-fit-shape-to-text:t" inset="0,0,0,0">
                <w:txbxContent>
                  <w:p w:rsidR="000B433A" w:rsidRDefault="000B433A">
                    <w:r>
                      <w:rPr>
                        <w:rFonts w:cs="Calibri"/>
                        <w:color w:val="595959"/>
                        <w:sz w:val="18"/>
                        <w:szCs w:val="18"/>
                        <w:lang w:val="en-US"/>
                      </w:rPr>
                      <w:t>WAM</w:t>
                    </w:r>
                  </w:p>
                </w:txbxContent>
              </v:textbox>
            </v:rect>
            <v:rect id="_x0000_s3351" style="position:absolute;left:1501;top:-1171;width:2776;height:513;mso-wrap-style:none" filled="f" stroked="f">
              <v:textbox style="mso-fit-shape-to-text:t" inset="0,0,0,0">
                <w:txbxContent>
                  <w:p w:rsidR="000B433A" w:rsidRDefault="000B433A">
                    <w:r w:rsidRPr="00CC7B3C">
                      <w:rPr>
                        <w:rFonts w:cs="Calibri"/>
                        <w:color w:val="595959"/>
                        <w:sz w:val="28"/>
                        <w:szCs w:val="28"/>
                        <w:lang w:val="en-US"/>
                      </w:rPr>
                      <w:t>Primärenergieverbrauch</w:t>
                    </w:r>
                    <w:r>
                      <w:rPr>
                        <w:rFonts w:cs="Calibri"/>
                        <w:color w:val="595959"/>
                        <w:sz w:val="28"/>
                        <w:szCs w:val="28"/>
                        <w:lang w:val="en-US"/>
                      </w:rPr>
                      <w:t xml:space="preserve"> </w:t>
                    </w:r>
                  </w:p>
                </w:txbxContent>
              </v:textbox>
            </v:rect>
            <v:rect id="_x0000_s3352" style="position:absolute;left:5177;top:-291;width:106;height:121" fillcolor="#255e91" stroked="f"/>
            <v:rect id="_x0000_s3353" style="position:absolute;left:5325;top:-353;width:1744;height:373;mso-wrap-style:none" filled="f" stroked="f">
              <v:textbox style="mso-fit-shape-to-text:t" inset="0,0,0,0">
                <w:txbxContent>
                  <w:p w:rsidR="000B433A" w:rsidRDefault="000B433A">
                    <w:r>
                      <w:rPr>
                        <w:rFonts w:cs="Calibri"/>
                        <w:color w:val="595959"/>
                        <w:sz w:val="18"/>
                        <w:szCs w:val="18"/>
                        <w:lang w:val="en-US"/>
                      </w:rPr>
                      <w:t>Electricity (importation)</w:t>
                    </w:r>
                  </w:p>
                </w:txbxContent>
              </v:textbox>
            </v:rect>
            <v:rect id="_x0000_s3354" style="position:absolute;left:5177;top:270;width:106;height:121" fillcolor="#70ad47" stroked="f"/>
            <v:rect id="_x0000_s3355" style="position:absolute;left:5325;top:208;width:1544;height:373;mso-wrap-style:none" filled="f" stroked="f">
              <v:textbox style="mso-fit-shape-to-text:t" inset="0,0,0,0">
                <w:txbxContent>
                  <w:p w:rsidR="000B433A" w:rsidRDefault="000B433A">
                    <w:r>
                      <w:rPr>
                        <w:rFonts w:cs="Calibri"/>
                        <w:color w:val="595959"/>
                        <w:sz w:val="18"/>
                        <w:szCs w:val="18"/>
                        <w:lang w:val="en-US"/>
                      </w:rPr>
                      <w:t xml:space="preserve">Other (i.e. waste non </w:t>
                    </w:r>
                  </w:p>
                </w:txbxContent>
              </v:textbox>
            </v:rect>
            <v:rect id="_x0000_s3356" style="position:absolute;left:5325;top:435;width:832;height:373;mso-wrap-style:none" filled="f" stroked="f">
              <v:textbox style="mso-fit-shape-to-text:t" inset="0,0,0,0">
                <w:txbxContent>
                  <w:p w:rsidR="000B433A" w:rsidRDefault="000B433A">
                    <w:proofErr w:type="gramStart"/>
                    <w:r>
                      <w:rPr>
                        <w:rFonts w:cs="Calibri"/>
                        <w:color w:val="595959"/>
                        <w:sz w:val="18"/>
                        <w:szCs w:val="18"/>
                        <w:lang w:val="en-US"/>
                      </w:rPr>
                      <w:t>renewable</w:t>
                    </w:r>
                    <w:proofErr w:type="gramEnd"/>
                    <w:r>
                      <w:rPr>
                        <w:rFonts w:cs="Calibri"/>
                        <w:color w:val="595959"/>
                        <w:sz w:val="18"/>
                        <w:szCs w:val="18"/>
                        <w:lang w:val="en-US"/>
                      </w:rPr>
                      <w:t>)</w:t>
                    </w:r>
                  </w:p>
                </w:txbxContent>
              </v:textbox>
            </v:rect>
            <v:rect id="_x0000_s3357" style="position:absolute;left:5177;top:831;width:106;height:121" fillcolor="#4472c4" stroked="f"/>
            <v:rect id="_x0000_s3358" style="position:absolute;left:5325;top:769;width:567;height:373;mso-wrap-style:none" filled="f" stroked="f">
              <v:textbox style="mso-fit-shape-to-text:t" inset="0,0,0,0">
                <w:txbxContent>
                  <w:p w:rsidR="000B433A" w:rsidRDefault="000B433A">
                    <w:r>
                      <w:rPr>
                        <w:rFonts w:cs="Calibri"/>
                        <w:color w:val="595959"/>
                        <w:sz w:val="18"/>
                        <w:szCs w:val="18"/>
                        <w:lang w:val="en-US"/>
                      </w:rPr>
                      <w:t>Nuclear</w:t>
                    </w:r>
                  </w:p>
                </w:txbxContent>
              </v:textbox>
            </v:rect>
            <v:rect id="_x0000_s3359" style="position:absolute;left:5177;top:1391;width:106;height:122" fillcolor="#ffc000" stroked="f"/>
            <v:rect id="_x0000_s3360" style="position:absolute;left:5325;top:1329;width:883;height:373;mso-wrap-style:none" filled="f" stroked="f">
              <v:textbox style="mso-fit-shape-to-text:t" inset="0,0,0,0">
                <w:txbxContent>
                  <w:p w:rsidR="000B433A" w:rsidRDefault="000B433A">
                    <w:r>
                      <w:rPr>
                        <w:rFonts w:cs="Calibri"/>
                        <w:color w:val="595959"/>
                        <w:sz w:val="18"/>
                        <w:szCs w:val="18"/>
                        <w:lang w:val="en-US"/>
                      </w:rPr>
                      <w:t>Renewables</w:t>
                    </w:r>
                  </w:p>
                </w:txbxContent>
              </v:textbox>
            </v:rect>
            <v:rect id="_x0000_s3361" style="position:absolute;left:5177;top:1952;width:106;height:122" fillcolor="#a5a5a5" stroked="f"/>
            <v:rect id="_x0000_s3362" style="position:absolute;left:5325;top:1890;width:242;height:373;mso-wrap-style:none" filled="f" stroked="f">
              <v:textbox style="mso-fit-shape-to-text:t" inset="0,0,0,0">
                <w:txbxContent>
                  <w:p w:rsidR="000B433A" w:rsidRDefault="000B433A">
                    <w:proofErr w:type="gramStart"/>
                    <w:r>
                      <w:rPr>
                        <w:rFonts w:cs="Calibri"/>
                        <w:color w:val="595959"/>
                        <w:sz w:val="18"/>
                        <w:szCs w:val="18"/>
                        <w:lang w:val="en-US"/>
                      </w:rPr>
                      <w:t>gas</w:t>
                    </w:r>
                    <w:proofErr w:type="gramEnd"/>
                  </w:p>
                </w:txbxContent>
              </v:textbox>
            </v:rect>
            <v:rect id="_x0000_s3363" style="position:absolute;left:5177;top:2513;width:106;height:122" fillcolor="#ed7d31" stroked="f"/>
            <v:rect id="_x0000_s3364" style="position:absolute;left:5325;top:2451;width:178;height:373;mso-wrap-style:none" filled="f" stroked="f">
              <v:textbox style="mso-fit-shape-to-text:t" inset="0,0,0,0">
                <w:txbxContent>
                  <w:p w:rsidR="000B433A" w:rsidRDefault="000B433A">
                    <w:proofErr w:type="gramStart"/>
                    <w:r>
                      <w:rPr>
                        <w:rFonts w:cs="Calibri"/>
                        <w:color w:val="595959"/>
                        <w:sz w:val="18"/>
                        <w:szCs w:val="18"/>
                        <w:lang w:val="en-US"/>
                      </w:rPr>
                      <w:t>oil</w:t>
                    </w:r>
                    <w:proofErr w:type="gramEnd"/>
                  </w:p>
                </w:txbxContent>
              </v:textbox>
            </v:rect>
            <v:rect id="_x0000_s3365" style="position:absolute;left:5177;top:3074;width:106;height:122" fillcolor="#5b9bd5" stroked="f"/>
            <v:rect id="_x0000_s3366" style="position:absolute;left:5325;top:3012;width:734;height:373;mso-wrap-style:none" filled="f" stroked="f">
              <v:textbox style="mso-fit-shape-to-text:t" inset="0,0,0,0">
                <w:txbxContent>
                  <w:p w:rsidR="000B433A" w:rsidRDefault="000B433A">
                    <w:proofErr w:type="gramStart"/>
                    <w:r>
                      <w:rPr>
                        <w:rFonts w:cs="Calibri"/>
                        <w:color w:val="595959"/>
                        <w:sz w:val="18"/>
                        <w:szCs w:val="18"/>
                        <w:lang w:val="en-US"/>
                      </w:rPr>
                      <w:t>solid</w:t>
                    </w:r>
                    <w:proofErr w:type="gramEnd"/>
                    <w:r>
                      <w:rPr>
                        <w:rFonts w:cs="Calibri"/>
                        <w:color w:val="595959"/>
                        <w:sz w:val="18"/>
                        <w:szCs w:val="18"/>
                        <w:lang w:val="en-US"/>
                      </w:rPr>
                      <w:t xml:space="preserve"> fuels</w:t>
                    </w:r>
                  </w:p>
                </w:txbxContent>
              </v:textbox>
            </v:rect>
            <v:shape id="_x0000_s3367" style="position:absolute;left:8;top:-1337;width:7291;height:5260" coordsize="7696,5552" path="m,8hdc,4,4,,8,hal7688,hdc7693,,7696,4,7696,8hal7696,5544hdc7696,5549,7693,5552,7688,5552hal8,5552hdc4,5552,,5549,,5544hal,8hdxm16,5544hal8,5536r7680,l7680,5544,7680,8r8,8l8,16,16,8r,5536hdxe" fillcolor="#d9d9d9" strokecolor="#d9d9d9" strokeweight=".05pt">
              <v:path arrowok="t"/>
              <o:lock v:ext="edit" verticies="t"/>
            </v:shape>
            <w10:wrap type="none"/>
            <w10:anchorlock/>
          </v:group>
        </w:pict>
      </w:r>
      <w:r w:rsidR="000B433A" w:rsidRPr="005F5D9D">
        <w:rPr>
          <w:rFonts w:cs="Calibri"/>
          <w:lang w:val="de-DE"/>
        </w:rPr>
        <w:br w:type="page"/>
      </w:r>
    </w:p>
    <w:p w:rsidR="000B433A" w:rsidRPr="00093D26" w:rsidRDefault="000B433A" w:rsidP="00C53F8D">
      <w:pPr>
        <w:pStyle w:val="Titre1"/>
        <w:numPr>
          <w:ilvl w:val="0"/>
          <w:numId w:val="1"/>
        </w:numPr>
        <w:ind w:left="851" w:hanging="851"/>
        <w:rPr>
          <w:rFonts w:ascii="Calibri" w:hAnsi="Calibri" w:cs="Calibri"/>
          <w:smallCaps/>
          <w:color w:val="1F497D"/>
          <w:sz w:val="32"/>
          <w:szCs w:val="32"/>
          <w:u w:val="single"/>
          <w:lang w:val="de-DE"/>
        </w:rPr>
      </w:pPr>
      <w:bookmarkStart w:id="72" w:name="_Toc7802480"/>
      <w:r>
        <w:rPr>
          <w:rFonts w:ascii="Calibri" w:hAnsi="Calibri" w:cs="Calibri"/>
          <w:smallCaps/>
          <w:color w:val="1F497D"/>
          <w:sz w:val="32"/>
          <w:u w:val="single"/>
          <w:lang w:val="de-DE"/>
        </w:rPr>
        <w:t>Forschung, Innovation, Wettbewerbsfähigkeit</w:t>
      </w:r>
      <w:bookmarkEnd w:id="72"/>
    </w:p>
    <w:p w:rsidR="000B433A" w:rsidRPr="008B21DA" w:rsidRDefault="000B433A" w:rsidP="00587F93">
      <w:pPr>
        <w:rPr>
          <w:rFonts w:cs="Calibri"/>
          <w:color w:val="222222"/>
          <w:szCs w:val="24"/>
          <w:lang w:val="de-DE"/>
        </w:rPr>
      </w:pPr>
      <w:r>
        <w:rPr>
          <w:rFonts w:cs="Calibri"/>
          <w:color w:val="222222"/>
          <w:lang w:val="de-DE"/>
        </w:rPr>
        <w:t>Unsere Art der Entwicklung und die Art der Gesellschaft, die wir uns für zukünftige Generationen wünschen, müssen die strategischen Entscheidungen definieren, die wir heute treffen. Aus diesem Grund wurden auf europäischer Ebene fünf vorrangige Themen definiert, um die Forschungsinvestitionen zu konzentrieren, nämlich nachhaltige Entwicklung, erneuerbare Energien, Technologieforschung, Altern und Lebensqualität sowie Gesundheit.</w:t>
      </w:r>
    </w:p>
    <w:p w:rsidR="000B433A" w:rsidRPr="008B21DA" w:rsidRDefault="000B433A">
      <w:pPr>
        <w:rPr>
          <w:rFonts w:cs="Calibri"/>
          <w:color w:val="222222"/>
          <w:szCs w:val="24"/>
          <w:lang w:val="de-DE"/>
        </w:rPr>
      </w:pPr>
      <w:r>
        <w:rPr>
          <w:rFonts w:cs="Calibri"/>
          <w:color w:val="222222"/>
          <w:lang w:val="de-DE"/>
        </w:rPr>
        <w:t>Diese strategischen Themen leisten klar identifizierten gesellschaftlichen Herausforderungen Genüge und entsprechen aufstrebenden Wirtschaftsräumen mit hohem Innovationspotenzial. Die seit 2005 in der Wallonie bestehenden Wettbewerbscluster BIOWIN (für Biowissenschaften), SKYWIN (Luft- und Raumfahrt), WAGRALIM (für die Agroindustrie), LOGISTICS EN WALLONIE (für die Logistik), MECATECH (für den Maschinenbau) und GREENWIN (für Umwelttechnologien) vereinen die wallonischen Arbeitskräfte zu diesen Themen. Sie stützen sich auf das bestehende wallonische Industriesystem, aber auch auf Fachwissen und Wissen in den Bereichen Technologie, Forschung und Innovation für die wirtschaftliche Umstellung der Wallonie durch die Schaffung neuer Aktivitäten, die den Herausforderungen der Gesellschaft gerecht werden. Diese Wettbewerbs-Cluster basieren auf einer Partnerschaft zwischen Universitäten, Hochschulen, Forschungszentren und Unternehmen jeder Größe. Die Konzentration der Forschungsanstrengungen führt auch zur Internationalisierung der wallonischen Akteure durch ihre Teilnahme an gemeinsamen Forschungsprogrammen (Horizon 2020, ERA-NET, EUREKA etc.) oder Forschungsinfrastrukturen (ESFRI).</w:t>
      </w:r>
    </w:p>
    <w:p w:rsidR="000B433A" w:rsidRPr="008B21DA" w:rsidRDefault="000B433A">
      <w:pPr>
        <w:rPr>
          <w:rFonts w:cs="Calibri"/>
          <w:color w:val="222222"/>
          <w:szCs w:val="24"/>
          <w:lang w:val="de-DE"/>
        </w:rPr>
      </w:pPr>
      <w:r w:rsidRPr="008B21DA">
        <w:rPr>
          <w:rFonts w:cs="Calibri"/>
          <w:color w:val="222222"/>
          <w:szCs w:val="24"/>
          <w:lang w:val="de-DE"/>
        </w:rPr>
        <w:br/>
      </w:r>
      <w:r>
        <w:rPr>
          <w:rFonts w:cs="Calibri"/>
          <w:color w:val="222222"/>
          <w:lang w:val="de-DE"/>
        </w:rPr>
        <w:t>Insbesondere wurden auch im Bereich der erneuerbaren Energien und der Energieeffizienz thematische Cluster etabliert. Sie bringen Forschungsakteure zusammen, um Energieforschungsprojekte zu fördern. Es handelt sich um folgende Cluster: „TWEED“ für erneuerbare Energien und „CAP 2020“ für den ökologischen Bau von Gebäuden. Darüber hinaus konzentriert sich der Wettbewerbs-Cluster GreenWin auf Innovationen in den Bereichen grüne Chemie und nachhaltige Materialien (einschließlich ihrer Anwendungen in Gebäuden mit null oder nahezu null Energieverbrauch).</w:t>
      </w:r>
    </w:p>
    <w:p w:rsidR="000B433A" w:rsidRPr="008B21DA" w:rsidRDefault="000B433A" w:rsidP="00587F93">
      <w:pPr>
        <w:rPr>
          <w:rFonts w:cs="Calibri"/>
          <w:color w:val="222222"/>
          <w:szCs w:val="24"/>
          <w:lang w:val="de-DE"/>
        </w:rPr>
      </w:pPr>
      <w:r>
        <w:rPr>
          <w:rFonts w:cs="Calibri"/>
          <w:color w:val="222222"/>
          <w:lang w:val="de-DE"/>
        </w:rPr>
        <w:t xml:space="preserve">Da die Energieforschung Teil der europäischen Energieverpflichtungen der Wallonie ist, ist es unerlässlich, </w:t>
      </w:r>
      <w:r w:rsidRPr="008B21DA">
        <w:rPr>
          <w:rFonts w:cs="Calibri"/>
          <w:szCs w:val="24"/>
          <w:lang w:val="de-DE"/>
        </w:rPr>
        <w:t xml:space="preserve">die wichtigsten Forschungsbereiche, für die die Wallonie Fachwissen entwickelt hat, sowohl in Forschungszentren und Universitäten als auch in Unternehmen genau zu ermitteln. Diese lassen sich wie folgt zusammenfassen: </w:t>
      </w:r>
    </w:p>
    <w:p w:rsidR="000B433A" w:rsidRDefault="000B433A">
      <w:pPr>
        <w:pStyle w:val="Paragraphedeliste"/>
        <w:numPr>
          <w:ilvl w:val="0"/>
          <w:numId w:val="48"/>
        </w:numPr>
        <w:spacing w:before="120"/>
        <w:rPr>
          <w:rFonts w:cs="Calibri"/>
          <w:szCs w:val="24"/>
          <w:lang w:val="de-DE"/>
        </w:rPr>
      </w:pPr>
      <w:r>
        <w:rPr>
          <w:rFonts w:cs="Calibri"/>
          <w:lang w:val="de-DE"/>
        </w:rPr>
        <w:t xml:space="preserve">Erneuerbare Energien wie zum Beispiel die Konzentration der Sonnenenergie (eher exportorientiert); KWK-Kleinstanlagen im Wohnsektor; vorausschauende Instandhaltung von Windkraftanlagen; Montage und Integration von Solarzellen; Herstellung und Betrieb von Wärmepumpen; Herstellung von Komponenten für Wasserkraftwerke; </w:t>
      </w:r>
    </w:p>
    <w:p w:rsidR="000B433A" w:rsidRDefault="000B433A">
      <w:pPr>
        <w:pStyle w:val="Paragraphedeliste"/>
        <w:numPr>
          <w:ilvl w:val="0"/>
          <w:numId w:val="48"/>
        </w:numPr>
        <w:spacing w:before="120"/>
        <w:rPr>
          <w:rFonts w:cs="Calibri"/>
          <w:szCs w:val="24"/>
          <w:lang w:val="de-DE"/>
        </w:rPr>
      </w:pPr>
      <w:r>
        <w:rPr>
          <w:rFonts w:cs="Calibri"/>
          <w:lang w:val="de-DE"/>
        </w:rPr>
        <w:t>Technologien und Geschäftsmodelle für „smarte" Stromnetzlösungen (und sonstige Energien mit Datenmanagement): Optimierungssimulatoren und -algorithmen; Produktionsprognosen (EA und Wind); aktives Lastmanagement; autonome Sensoren; Logistik; Netzwerk- und Stadtteilmanagement;</w:t>
      </w:r>
    </w:p>
    <w:p w:rsidR="000B433A" w:rsidRDefault="000B433A">
      <w:pPr>
        <w:pStyle w:val="Paragraphedeliste"/>
        <w:numPr>
          <w:ilvl w:val="0"/>
          <w:numId w:val="48"/>
        </w:numPr>
        <w:spacing w:before="120"/>
        <w:rPr>
          <w:rFonts w:cs="Calibri"/>
          <w:szCs w:val="24"/>
          <w:lang w:val="de-DE"/>
        </w:rPr>
      </w:pPr>
      <w:r>
        <w:rPr>
          <w:rFonts w:cs="Calibri"/>
          <w:lang w:val="de-DE"/>
        </w:rPr>
        <w:t xml:space="preserve">Bauelemente: Umweltqualität von Baustoffen und Recycling; Dämm-, Anti-Kondensations- und Niedrig-Emissions-Glas; tragende und isolierende Geopolymer-Estriche; Dämmblöcke für Bauknoten; Niedrig-Emissions- und Biodächer; in Bauelemente integrierte Solarzellen; Holzrahmenbau; </w:t>
      </w:r>
    </w:p>
    <w:p w:rsidR="000B433A" w:rsidRDefault="000B433A">
      <w:pPr>
        <w:pStyle w:val="Paragraphedeliste"/>
        <w:numPr>
          <w:ilvl w:val="0"/>
          <w:numId w:val="48"/>
        </w:numPr>
        <w:spacing w:before="120"/>
        <w:rPr>
          <w:rFonts w:cs="Calibri"/>
          <w:color w:val="222222"/>
          <w:szCs w:val="24"/>
          <w:lang w:val="de-DE"/>
        </w:rPr>
      </w:pPr>
      <w:r>
        <w:rPr>
          <w:rFonts w:cs="Calibri"/>
          <w:lang w:val="de-DE"/>
        </w:rPr>
        <w:t>Lagerung (täglich und saisonübergreifend): Batterien (und deren Recycling) und Notstromversorgung; Phasenwechselmaterialien; Druckluftspeicher, Akkumulatoren, Hybridbatterien (Lithium, Redox-Fluss,...); Tools zur Lagerverwaltung;</w:t>
      </w:r>
    </w:p>
    <w:p w:rsidR="000B433A" w:rsidRDefault="000B433A">
      <w:pPr>
        <w:pStyle w:val="Paragraphedeliste"/>
        <w:numPr>
          <w:ilvl w:val="0"/>
          <w:numId w:val="48"/>
        </w:numPr>
        <w:spacing w:before="120"/>
        <w:rPr>
          <w:rFonts w:cs="Calibri"/>
          <w:color w:val="222222"/>
          <w:szCs w:val="24"/>
          <w:lang w:val="de-DE"/>
        </w:rPr>
      </w:pPr>
      <w:r>
        <w:rPr>
          <w:rFonts w:cs="Calibri"/>
          <w:color w:val="222222"/>
          <w:lang w:val="de-DE"/>
        </w:rPr>
        <w:t>Fahrzeuge mit niedrigem Emissionsgrad (Alternative zu Elektrofahrzeugen): Erdgasmotoren; Luftschifffahrt; leichte Fahrzeuge; Verbesserungen des Schienenverkehrs;</w:t>
      </w:r>
    </w:p>
    <w:p w:rsidR="000B433A" w:rsidRDefault="000B433A">
      <w:pPr>
        <w:pStyle w:val="Paragraphedeliste"/>
        <w:numPr>
          <w:ilvl w:val="0"/>
          <w:numId w:val="48"/>
        </w:numPr>
        <w:spacing w:before="120"/>
        <w:rPr>
          <w:rFonts w:cs="Calibri"/>
          <w:color w:val="222222"/>
          <w:szCs w:val="24"/>
          <w:lang w:val="de-DE"/>
        </w:rPr>
      </w:pPr>
      <w:r>
        <w:rPr>
          <w:rFonts w:cs="Calibri"/>
          <w:color w:val="222222"/>
          <w:lang w:val="de-DE"/>
        </w:rPr>
        <w:t>Elektrofahrzeuge: Integration in das Netz; Ladestationen</w:t>
      </w:r>
    </w:p>
    <w:p w:rsidR="000B433A" w:rsidRDefault="000B433A">
      <w:pPr>
        <w:pStyle w:val="Paragraphedeliste"/>
        <w:numPr>
          <w:ilvl w:val="0"/>
          <w:numId w:val="48"/>
        </w:numPr>
        <w:spacing w:before="120"/>
        <w:rPr>
          <w:rFonts w:cs="Calibri"/>
          <w:color w:val="222222"/>
          <w:szCs w:val="24"/>
          <w:lang w:val="de-DE"/>
        </w:rPr>
      </w:pPr>
      <w:r>
        <w:rPr>
          <w:rFonts w:cs="Calibri"/>
          <w:color w:val="222222"/>
          <w:lang w:val="de-DE"/>
        </w:rPr>
        <w:t xml:space="preserve">Kreislaufwirtschaft: „Reverse“-Metallurgie; Recycling von Materialien (z. B. seltene Erden, Energie, Abwasser, seltene Metalle); Gipsrecycling; Verbundglasrecycling; </w:t>
      </w:r>
    </w:p>
    <w:p w:rsidR="000B433A" w:rsidRDefault="000B433A">
      <w:pPr>
        <w:pStyle w:val="Paragraphedeliste"/>
        <w:numPr>
          <w:ilvl w:val="0"/>
          <w:numId w:val="48"/>
        </w:numPr>
        <w:spacing w:before="120"/>
        <w:rPr>
          <w:rFonts w:cs="Calibri"/>
          <w:color w:val="222222"/>
          <w:szCs w:val="24"/>
          <w:lang w:val="de-DE"/>
        </w:rPr>
      </w:pPr>
      <w:r>
        <w:rPr>
          <w:rFonts w:cs="Calibri"/>
          <w:color w:val="222222"/>
          <w:lang w:val="de-DE"/>
        </w:rPr>
        <w:t>Fortschrittliche Biokraftstoffe: Wasserstoffproduktion auf Basis von Enzymen und Algen; Molekulare Rückgewinnung in Brennstofffaulbehältern; Wasserstoffproduktion und Brennstoffzellen; Biokohle; synthetische Kraftstoffe aus festen Abfällen; Schlammrückgewinnung aus Kläranlagen</w:t>
      </w:r>
    </w:p>
    <w:p w:rsidR="000B433A" w:rsidRPr="008B21DA" w:rsidRDefault="000B433A">
      <w:pPr>
        <w:rPr>
          <w:rFonts w:cs="Calibri"/>
          <w:color w:val="222222"/>
          <w:szCs w:val="24"/>
          <w:lang w:val="de-DE"/>
        </w:rPr>
      </w:pPr>
      <w:r>
        <w:rPr>
          <w:rFonts w:cs="Calibri"/>
          <w:color w:val="222222"/>
          <w:lang w:val="de-DE"/>
        </w:rPr>
        <w:t xml:space="preserve">Die wallonischen Prioritäten werden auf der Grundlage der strategischen Prioritäten der wallonischen Strategie der intelligenten Spezialisierung in Forschung und Innovation (RIS3) festgelegt, die sich insbesondere auf die Bereiche konzentriert, in denen ein Fachwissen in der wallonischen Region anerkannt wird, und im Einklang mit dem europäischen Fahrplan (SET-Plan). </w:t>
      </w:r>
    </w:p>
    <w:p w:rsidR="000B433A" w:rsidRPr="008B21DA" w:rsidRDefault="000B433A" w:rsidP="00587F93">
      <w:pPr>
        <w:rPr>
          <w:rFonts w:cs="Calibri"/>
          <w:color w:val="222222"/>
          <w:szCs w:val="24"/>
          <w:lang w:val="de-DE"/>
        </w:rPr>
      </w:pPr>
      <w:r>
        <w:rPr>
          <w:rFonts w:cs="Calibri"/>
          <w:color w:val="222222"/>
          <w:lang w:val="de-DE"/>
        </w:rPr>
        <w:t>Die Energieforschung erfolgt entweder mittels Ausschreibungsangeboten oder durch sogenannte „Schalter“-Beihilfen, deren Themen mit den Prioritäten des SET-Plans und dem Potenzial der wallonischen Wissenschafts- und Industriegemeinschaft (RIS3) übereinstimmen.</w:t>
      </w:r>
    </w:p>
    <w:p w:rsidR="000B433A" w:rsidRPr="008B21DA" w:rsidRDefault="000B433A" w:rsidP="007A5478">
      <w:pPr>
        <w:rPr>
          <w:rFonts w:cs="Calibri"/>
          <w:color w:val="222222"/>
          <w:szCs w:val="24"/>
          <w:lang w:val="de-DE"/>
        </w:rPr>
      </w:pPr>
      <w:r>
        <w:rPr>
          <w:rFonts w:cs="Calibri"/>
          <w:color w:val="222222"/>
          <w:lang w:val="de-DE"/>
        </w:rPr>
        <w:t>Ein Teil der jährlichen Budgets für Forschung und Entwicklung wird wie folgt zugewiesen:</w:t>
      </w:r>
    </w:p>
    <w:p w:rsidR="000B433A" w:rsidRPr="00D60004" w:rsidRDefault="000B433A">
      <w:pPr>
        <w:pStyle w:val="Paragraphedeliste"/>
        <w:numPr>
          <w:ilvl w:val="0"/>
          <w:numId w:val="53"/>
        </w:numPr>
        <w:spacing w:before="120"/>
        <w:rPr>
          <w:rFonts w:cs="Calibri"/>
          <w:color w:val="222222"/>
          <w:szCs w:val="24"/>
          <w:lang w:val="de-DE"/>
        </w:rPr>
      </w:pPr>
      <w:r w:rsidRPr="00D60004">
        <w:rPr>
          <w:rFonts w:cs="Calibri"/>
          <w:color w:val="222222"/>
          <w:lang w:val="de-DE"/>
        </w:rPr>
        <w:t>Für Forschungsprojekte, die sich direkt mit Energie und Klima befassen, bis zu 4</w:t>
      </w:r>
      <w:r>
        <w:rPr>
          <w:rFonts w:cs="Calibri"/>
          <w:color w:val="222222"/>
          <w:lang w:val="de-DE"/>
        </w:rPr>
        <w:t xml:space="preserve"> </w:t>
      </w:r>
      <w:r w:rsidRPr="00D60004">
        <w:rPr>
          <w:rFonts w:cs="Calibri"/>
          <w:color w:val="222222"/>
          <w:lang w:val="de-DE"/>
        </w:rPr>
        <w:t>%;</w:t>
      </w:r>
    </w:p>
    <w:p w:rsidR="000B433A" w:rsidRDefault="000B433A">
      <w:pPr>
        <w:pStyle w:val="Paragraphedeliste"/>
        <w:numPr>
          <w:ilvl w:val="0"/>
          <w:numId w:val="53"/>
        </w:numPr>
        <w:spacing w:before="120"/>
        <w:rPr>
          <w:rFonts w:cs="Calibri"/>
          <w:color w:val="222222"/>
          <w:szCs w:val="24"/>
          <w:lang w:val="de-DE"/>
        </w:rPr>
      </w:pPr>
      <w:r>
        <w:rPr>
          <w:rFonts w:cs="Calibri"/>
          <w:color w:val="222222"/>
          <w:lang w:val="de-DE"/>
        </w:rPr>
        <w:t>Forschungs- und Innovationsprojekte, die eine Klima- oder Energiedimension integrieren, wenn sich das Forschungsthema nicht direkt mit Klima oder Energie befasst, sondern ergänzt wird, um seine Leistung (Dekarbonisierung oder Energieeffizienz) um bis zu 11 % zu steigern.</w:t>
      </w:r>
    </w:p>
    <w:p w:rsidR="000B433A" w:rsidRPr="008B21DA" w:rsidRDefault="000B433A" w:rsidP="007A5478">
      <w:pPr>
        <w:rPr>
          <w:rFonts w:cs="Calibri"/>
          <w:color w:val="222222"/>
          <w:szCs w:val="24"/>
          <w:lang w:val="de-DE"/>
        </w:rPr>
      </w:pPr>
      <w:r>
        <w:rPr>
          <w:rFonts w:cs="Calibri"/>
          <w:color w:val="222222"/>
          <w:lang w:val="de-DE"/>
        </w:rPr>
        <w:t>Zusätzliche Ressourcen könnten für die F&amp;E in den Bereichen Energie und Klima bereitgestellt werden, wenn es die Einnahmen zulassen.</w:t>
      </w:r>
    </w:p>
    <w:p w:rsidR="000B433A" w:rsidRPr="00093D26" w:rsidRDefault="000B433A" w:rsidP="00C53F8D">
      <w:pPr>
        <w:pStyle w:val="Titre1"/>
        <w:numPr>
          <w:ilvl w:val="0"/>
          <w:numId w:val="1"/>
        </w:numPr>
        <w:ind w:left="851" w:hanging="851"/>
        <w:rPr>
          <w:rFonts w:ascii="Calibri" w:hAnsi="Calibri" w:cs="Calibri"/>
          <w:smallCaps/>
          <w:color w:val="1F497D"/>
          <w:sz w:val="32"/>
          <w:szCs w:val="32"/>
          <w:u w:val="single"/>
          <w:lang w:val="de-DE"/>
        </w:rPr>
      </w:pPr>
      <w:bookmarkStart w:id="73" w:name="_Toc7802481"/>
      <w:r>
        <w:rPr>
          <w:rFonts w:ascii="Calibri" w:hAnsi="Calibri" w:cs="Calibri"/>
          <w:smallCaps/>
          <w:color w:val="1F497D"/>
          <w:sz w:val="32"/>
          <w:u w:val="single"/>
          <w:lang w:val="de-DE"/>
        </w:rPr>
        <w:t>Anpassung an die Klimaänderung</w:t>
      </w:r>
      <w:bookmarkEnd w:id="73"/>
    </w:p>
    <w:p w:rsidR="000B433A" w:rsidRPr="00D07F58" w:rsidRDefault="000B433A" w:rsidP="00FE11CC">
      <w:pPr>
        <w:rPr>
          <w:lang w:val="de-DE"/>
        </w:rPr>
      </w:pPr>
      <w:r w:rsidRPr="00D07F58">
        <w:rPr>
          <w:lang w:val="de-DE"/>
        </w:rPr>
        <w:t>Im Jahr 2011 bewertete die Wallonie die wichtigsten Auswirkungen der Klimaänderung, an die sie sich anpassen muss</w:t>
      </w:r>
      <w:r>
        <w:rPr>
          <w:rStyle w:val="Appelnotedebasdep"/>
          <w:lang w:val="de-DE"/>
        </w:rPr>
        <w:footnoteReference w:id="30"/>
      </w:r>
      <w:r w:rsidRPr="00D07F58">
        <w:rPr>
          <w:lang w:val="de-DE"/>
        </w:rPr>
        <w:t>. Im LKEP 2016 - 2022 wurden in diesem Zusammenhang etwa 20 Anpassungsmaßnahmen aufgenommen.</w:t>
      </w:r>
    </w:p>
    <w:p w:rsidR="000B433A" w:rsidRPr="00D07F58" w:rsidRDefault="000B433A" w:rsidP="00FE11CC">
      <w:pPr>
        <w:rPr>
          <w:lang w:val="de-DE"/>
        </w:rPr>
      </w:pPr>
      <w:r w:rsidRPr="00D07F58">
        <w:rPr>
          <w:lang w:val="de-DE"/>
        </w:rPr>
        <w:t>Seitdem hat die Wallonie die Zusammenarbeit auf verschiedenen Ebenen vervielfacht, um Anpassungsmaßnahmen zu entwickeln:</w:t>
      </w:r>
    </w:p>
    <w:p w:rsidR="000B433A" w:rsidRPr="00D07F58" w:rsidRDefault="000B433A">
      <w:pPr>
        <w:pStyle w:val="Paragraphedeliste"/>
        <w:numPr>
          <w:ilvl w:val="0"/>
          <w:numId w:val="54"/>
        </w:numPr>
        <w:spacing w:after="200"/>
        <w:jc w:val="left"/>
        <w:rPr>
          <w:lang w:val="de-DE"/>
        </w:rPr>
      </w:pPr>
      <w:r>
        <w:rPr>
          <w:lang w:val="de-DE"/>
        </w:rPr>
        <w:t>Auf Benelux-Ebene: Die Wallonie beteiligt sich aktiv an den Initiativen des Benelux-Generalsekretariats zu den Themen Gesundheit, Transport, Energie und Krisenmanagement im Zusammenhang mit der Klimaänderung.</w:t>
      </w:r>
    </w:p>
    <w:p w:rsidR="000B433A" w:rsidRPr="00D07F58" w:rsidRDefault="000B433A">
      <w:pPr>
        <w:pStyle w:val="Paragraphedeliste"/>
        <w:numPr>
          <w:ilvl w:val="0"/>
          <w:numId w:val="54"/>
        </w:numPr>
        <w:spacing w:after="200"/>
        <w:jc w:val="left"/>
        <w:rPr>
          <w:lang w:val="de-DE"/>
        </w:rPr>
      </w:pPr>
      <w:r>
        <w:rPr>
          <w:lang w:val="de-DE"/>
        </w:rPr>
        <w:t>Auf nationaler Ebene: Die Wallonie trägt wie jedes belgische Unternehmen zu den Maßnahmen des Nationalen Anpassungsplans 2017 - 2020 (NAP) bei.</w:t>
      </w:r>
    </w:p>
    <w:p w:rsidR="000B433A" w:rsidRPr="00D07F58" w:rsidRDefault="000B433A">
      <w:pPr>
        <w:pStyle w:val="Paragraphedeliste"/>
        <w:numPr>
          <w:ilvl w:val="0"/>
          <w:numId w:val="54"/>
        </w:numPr>
        <w:spacing w:after="200"/>
        <w:jc w:val="left"/>
        <w:rPr>
          <w:lang w:val="de-DE"/>
        </w:rPr>
      </w:pPr>
      <w:r>
        <w:rPr>
          <w:lang w:val="de-DE"/>
        </w:rPr>
        <w:t>Auf kommunaler Ebene: Die Wallonie hilft und unterstützt als territorialer Koordinator seine Gemeinden bei der Integration der Anpassung an den Klimawandel in ihre lokalen Pläne, wie es Europa im Rahmen des Konvents der Bürgermeister gefordert hat (Belgien gehört zu den drei wichtigsten Mitgliedstaaten, in denen der Konvent der Bürgermeister am stärksten vertreten ist).</w:t>
      </w:r>
    </w:p>
    <w:p w:rsidR="000B433A" w:rsidRPr="00D07F58" w:rsidRDefault="000B433A" w:rsidP="00FE11CC">
      <w:pPr>
        <w:rPr>
          <w:lang w:val="de-DE"/>
        </w:rPr>
      </w:pPr>
      <w:r w:rsidRPr="00D07F58">
        <w:rPr>
          <w:lang w:val="de-DE"/>
        </w:rPr>
        <w:t xml:space="preserve">Auf sektoraler Ebene sind verschiedene Initiativen entstanden, die es verdienen, im Rahmen dieses Plans verfolgt zu werden. Im Hinblick auf das Hochwassermanagement, das eine der wichtigsten identifizierten Auswirkungen darstellt, integrieren die Pläne des Hochwasserrisikomanagements (HWRM) den Klimawandel durch die Hochwassergefahrenkarte. Die GISER-Zelle bietet Beratung und Anleitung, um das Risiko von Erosion und Abfluss in landwirtschaftlichen Parzellen zu verringern, die auch in benachbarten Häusern Schäden verursachen können. Das Waldgesetzbuch fördert waldbauliche Praktiken zur Anpassung der wallonischen Wälder an die Auswirkungen des Klimawandels, und das Observatoire wallon de la Santé des Forêts (Wallonische Observatorium für Waldgesundheit) überwacht den Gesundheitszustand der Waldbestände in Zusammenarbeit mit benachbarten Regionen. Schließlich wird der wallonische Plan „Ozonspitzen und große Hitze“ während der Hitzewellen ausgelöst, um eine </w:t>
      </w:r>
      <w:r>
        <w:rPr>
          <w:lang w:val="de-DE"/>
        </w:rPr>
        <w:t>angemessene</w:t>
      </w:r>
      <w:r w:rsidRPr="00D07F58">
        <w:rPr>
          <w:lang w:val="de-DE"/>
        </w:rPr>
        <w:t xml:space="preserve"> Sensibilisierung und eine </w:t>
      </w:r>
      <w:r>
        <w:rPr>
          <w:lang w:val="de-DE"/>
        </w:rPr>
        <w:t>angemessene</w:t>
      </w:r>
      <w:r w:rsidRPr="00D07F58">
        <w:rPr>
          <w:lang w:val="de-DE"/>
        </w:rPr>
        <w:t xml:space="preserve"> Kommunikation mit der Bevölkerung über das zu anzunehmende Verhalten zu gewährleisten.</w:t>
      </w:r>
    </w:p>
    <w:p w:rsidR="000B433A" w:rsidRPr="00D07F58" w:rsidRDefault="000B433A" w:rsidP="00FE11CC">
      <w:pPr>
        <w:rPr>
          <w:lang w:val="de-DE"/>
        </w:rPr>
      </w:pPr>
      <w:r w:rsidRPr="00D07F58">
        <w:rPr>
          <w:lang w:val="de-DE"/>
        </w:rPr>
        <w:t>Eine der ersten Maßnahmen des Nationalen Anpassungsplans war die Erstellung neuer Referenzklimaszenarien für Belgien auf der Grundlage der RCP-Szenarien des IPCC und der im Rahmen des CORDEX-Programms durchgeführten Arbeiten. Diese neuen Szenarien werden es ermöglichen, Informationen zu aktualisieren und die Kenntnisse über die Auswirkungen des Klimawandels in Belgien zu verbessern.</w:t>
      </w:r>
    </w:p>
    <w:p w:rsidR="000B433A" w:rsidRPr="00D07F58" w:rsidRDefault="000B433A" w:rsidP="00FE11CC">
      <w:pPr>
        <w:rPr>
          <w:lang w:val="de-DE"/>
        </w:rPr>
      </w:pPr>
      <w:r w:rsidRPr="00D07F58">
        <w:rPr>
          <w:lang w:val="de-DE"/>
        </w:rPr>
        <w:t>Abhängig von den Ergebnissen der Bewertungen der LKEP-Pläne 2016 - 2022 und des NAP 2017 - 2020 werden die Maßnahmen voraussichtlich bis 2030 verlängert und neue Maßnahmen ausgearbeitet.</w:t>
      </w:r>
    </w:p>
    <w:p w:rsidR="000B433A" w:rsidRPr="00D07F58" w:rsidRDefault="000B433A" w:rsidP="00FE11CC">
      <w:pPr>
        <w:rPr>
          <w:lang w:val="de-DE"/>
        </w:rPr>
      </w:pPr>
      <w:r w:rsidRPr="00D07F58">
        <w:rPr>
          <w:lang w:val="de-DE"/>
        </w:rPr>
        <w:t>Möglicherweise könnte man in der Wallonie die Entwicklung der Agroforstwirtschaft in Betracht ziehen. Es laufen Projekte, um den Nutzen dieser Kombination von landwirtschaftlichen Nutzpflanzen mit holzigen Elementen in Bezug auf Bodenerhaltung, Resistenz gegenüber Wasserstress, Schutz der biologischen Vielfalt, Biomasseproduktion, Einkommenssicherheit (durch Risikostreuung) zu bewerten.</w:t>
      </w:r>
    </w:p>
    <w:p w:rsidR="000B433A" w:rsidRPr="00D07F58" w:rsidRDefault="000B433A">
      <w:pPr>
        <w:spacing w:after="200"/>
        <w:jc w:val="left"/>
        <w:rPr>
          <w:lang w:val="de-DE"/>
        </w:rPr>
      </w:pPr>
      <w:r w:rsidRPr="00D07F58">
        <w:rPr>
          <w:lang w:val="de-DE"/>
        </w:rPr>
        <w:br w:type="page"/>
      </w:r>
    </w:p>
    <w:p w:rsidR="000B433A" w:rsidRPr="00093D26" w:rsidRDefault="000B433A" w:rsidP="00C53F8D">
      <w:pPr>
        <w:pStyle w:val="Titre1"/>
        <w:numPr>
          <w:ilvl w:val="0"/>
          <w:numId w:val="1"/>
        </w:numPr>
        <w:ind w:left="851" w:hanging="851"/>
        <w:rPr>
          <w:rFonts w:ascii="Calibri" w:hAnsi="Calibri" w:cs="Calibri"/>
          <w:smallCaps/>
          <w:color w:val="1F497D"/>
          <w:sz w:val="32"/>
          <w:szCs w:val="32"/>
          <w:u w:val="single"/>
          <w:lang w:val="de-DE"/>
        </w:rPr>
      </w:pPr>
      <w:r w:rsidRPr="00CB06A6">
        <w:rPr>
          <w:rFonts w:ascii="Calibri" w:hAnsi="Calibri" w:cs="Calibri"/>
          <w:smallCaps/>
          <w:color w:val="1F497D"/>
          <w:sz w:val="32"/>
          <w:lang w:val="de-DE"/>
        </w:rPr>
        <w:t xml:space="preserve"> </w:t>
      </w:r>
      <w:bookmarkStart w:id="74" w:name="_Toc7802482"/>
      <w:r>
        <w:rPr>
          <w:rFonts w:ascii="Calibri" w:hAnsi="Calibri" w:cs="Calibri"/>
          <w:smallCaps/>
          <w:color w:val="1F497D"/>
          <w:sz w:val="32"/>
          <w:u w:val="single"/>
          <w:lang w:val="de-DE"/>
        </w:rPr>
        <w:t>Internationale Finanzierung</w:t>
      </w:r>
      <w:bookmarkEnd w:id="74"/>
      <w:r>
        <w:rPr>
          <w:rFonts w:ascii="Calibri" w:hAnsi="Calibri" w:cs="Calibri"/>
          <w:smallCaps/>
          <w:color w:val="1F497D"/>
          <w:sz w:val="32"/>
          <w:u w:val="single"/>
          <w:lang w:val="de-DE"/>
        </w:rPr>
        <w:t xml:space="preserve"> </w:t>
      </w:r>
    </w:p>
    <w:p w:rsidR="000B433A" w:rsidRPr="005F5D9D" w:rsidRDefault="000B433A" w:rsidP="003E7DFE">
      <w:pPr>
        <w:rPr>
          <w:rFonts w:cs="Calibri"/>
          <w:lang w:val="de-DE"/>
        </w:rPr>
      </w:pPr>
      <w:r>
        <w:rPr>
          <w:rFonts w:cs="Calibri"/>
          <w:lang w:val="de-DE"/>
        </w:rPr>
        <w:t xml:space="preserve">Die internationale Finanzierung ist immer ein zentrales Thema bei den internationalen Verhandlungen zum Klimawandel gewesen. Nach den wichtigen Meilensteinen des Kyoto-Protokolls, der Vereinbarungen von Marrakesch und Kopenhagen enthält das Pariser Abkommen (COP21 - Dezember 2015) ein breites Kapitel über die Klimafinanzierung mit recht verbindlichen Optionen für die Industrieländer. Es bestätigt die verbindliche Verpflichtung von jährlich 100 Mrd. Dollar ab 2020. Somit ist es unbedingt notwendig, dass die Teilnehmer am Übereinkommen ihre jeweiligen Beiträge einplanen. </w:t>
      </w:r>
    </w:p>
    <w:p w:rsidR="000B433A" w:rsidRDefault="000B433A" w:rsidP="003E7DFE">
      <w:pPr>
        <w:rPr>
          <w:rFonts w:cs="Calibri"/>
          <w:lang w:val="de-DE"/>
        </w:rPr>
      </w:pPr>
      <w:r>
        <w:rPr>
          <w:rFonts w:cs="Calibri"/>
          <w:lang w:val="de-DE"/>
        </w:rPr>
        <w:t xml:space="preserve">Es bieten sich zwei hauptsächliche Möglichkeiten an, an diesem weltweiten Unterfangen mitzuwirken: die Durchführung bilateraler „Nord-Süd“-Solidaritätsprojekte und die Beteiligung an multilateralen Fonds, von denen die beiden bekanntesten der „Globale Klimaschutzfonds“ und der „Anpassungsfonds“ sind. Die Wallonie hat, mittels einem „Klima-Solidaritätsfonds des Wassers“, ebenfalls einen neuartigen Mechanismus für die Finanzierung von Anpassungsmaßnahmen eingerichtet. </w:t>
      </w:r>
    </w:p>
    <w:p w:rsidR="000B433A" w:rsidRDefault="000B433A" w:rsidP="003E7DFE">
      <w:pPr>
        <w:rPr>
          <w:rFonts w:cs="Calibri"/>
          <w:lang w:val="de-DE"/>
        </w:rPr>
      </w:pPr>
      <w:r>
        <w:rPr>
          <w:rFonts w:cs="Calibri"/>
          <w:lang w:val="de-DE"/>
        </w:rPr>
        <w:t>Darüber hinaus hat die Regierung beschlossen, den Kyoto-Fonds zur Finanzierung internationaler Klimaprojekte zu aktivieren. Diese Finanzierung erfolgt insbesondere über den „Energy Access Fund“. Ziel ist es, den Privatsektor in den Ländern südlich der Sahara in Afrika und Asien zu unterstützen, um den Zugang zu Haushaltsenergie und den Einsatz erneuerbarer Energien im industriellen und gewerblichen Sektor zu ermöglichen.</w:t>
      </w:r>
    </w:p>
    <w:p w:rsidR="000B433A" w:rsidRDefault="000B433A">
      <w:pPr>
        <w:spacing w:after="200"/>
        <w:jc w:val="left"/>
        <w:rPr>
          <w:rFonts w:cs="Calibri"/>
          <w:lang w:val="de-DE"/>
        </w:rPr>
      </w:pPr>
      <w:r>
        <w:rPr>
          <w:rFonts w:cs="Calibri"/>
          <w:lang w:val="de-DE"/>
        </w:rPr>
        <w:br w:type="page"/>
      </w:r>
    </w:p>
    <w:p w:rsidR="000B433A" w:rsidRPr="009141C4" w:rsidRDefault="000B433A" w:rsidP="00C53F8D">
      <w:pPr>
        <w:ind w:left="851" w:hanging="851"/>
        <w:rPr>
          <w:rFonts w:cs="Calibri"/>
          <w:vanish/>
          <w:lang w:val="de-DE"/>
          <w:specVanish/>
        </w:rPr>
      </w:pPr>
    </w:p>
    <w:p w:rsidR="000B433A" w:rsidRPr="00093D26" w:rsidRDefault="000B433A" w:rsidP="00093D26">
      <w:pPr>
        <w:pStyle w:val="Titre1"/>
        <w:numPr>
          <w:ilvl w:val="0"/>
          <w:numId w:val="1"/>
        </w:numPr>
        <w:ind w:left="851" w:hanging="851"/>
        <w:rPr>
          <w:rFonts w:ascii="Calibri" w:hAnsi="Calibri" w:cs="Calibri"/>
          <w:smallCaps/>
          <w:color w:val="1F497D"/>
          <w:sz w:val="32"/>
          <w:szCs w:val="32"/>
          <w:u w:val="single"/>
          <w:lang w:val="de-DE"/>
        </w:rPr>
      </w:pPr>
      <w:r w:rsidRPr="009141C4">
        <w:rPr>
          <w:rFonts w:ascii="Calibri" w:hAnsi="Calibri" w:cs="Calibri"/>
          <w:smallCaps/>
          <w:color w:val="1F497D"/>
          <w:sz w:val="32"/>
          <w:lang w:val="de-DE"/>
        </w:rPr>
        <w:t xml:space="preserve"> </w:t>
      </w:r>
      <w:bookmarkStart w:id="75" w:name="_Toc7802483"/>
      <w:r>
        <w:rPr>
          <w:rFonts w:ascii="Calibri" w:hAnsi="Calibri" w:cs="Calibri"/>
          <w:smallCaps/>
          <w:color w:val="1F497D"/>
          <w:sz w:val="32"/>
          <w:u w:val="single"/>
          <w:lang w:val="de-DE"/>
        </w:rPr>
        <w:t>Schlussfolgerungen</w:t>
      </w:r>
      <w:bookmarkEnd w:id="75"/>
      <w:r>
        <w:rPr>
          <w:rFonts w:ascii="Calibri" w:hAnsi="Calibri" w:cs="Calibri"/>
          <w:smallCaps/>
          <w:color w:val="1F497D"/>
          <w:sz w:val="32"/>
          <w:u w:val="single"/>
          <w:lang w:val="de-DE"/>
        </w:rPr>
        <w:t xml:space="preserve"> </w:t>
      </w:r>
    </w:p>
    <w:p w:rsidR="000B433A" w:rsidRPr="005F5D9D" w:rsidRDefault="000B433A" w:rsidP="00842711">
      <w:pPr>
        <w:rPr>
          <w:rFonts w:cs="Calibri"/>
          <w:b/>
          <w:szCs w:val="24"/>
          <w:lang w:val="de-DE"/>
        </w:rPr>
      </w:pPr>
      <w:r>
        <w:rPr>
          <w:rFonts w:cs="Calibri"/>
          <w:b/>
          <w:lang w:val="de-DE"/>
        </w:rPr>
        <w:t>ANHANG 1: Liste der Politiken und Maßnahmen im Bereich der Dekarbonisierung, der Energieeffizienz und der erneuerbaren Energiequellen (LKEP 2016 - 2022)</w:t>
      </w:r>
      <w:r>
        <w:rPr>
          <w:rStyle w:val="Appelnotedebasdep"/>
          <w:rFonts w:cs="Calibri"/>
          <w:b w:val="0"/>
          <w:szCs w:val="24"/>
          <w:lang w:val="de-DE"/>
        </w:rPr>
        <w:footnoteReference w:id="31"/>
      </w:r>
      <w:r>
        <w:rPr>
          <w:rFonts w:cs="Calibri"/>
          <w:b/>
          <w:lang w:val="de-DE"/>
        </w:rPr>
        <w:t xml:space="preserve"> </w:t>
      </w:r>
    </w:p>
    <w:p w:rsidR="000B433A" w:rsidRDefault="000B433A" w:rsidP="00842711">
      <w:pPr>
        <w:rPr>
          <w:rFonts w:cs="Calibri"/>
          <w:b/>
          <w:szCs w:val="24"/>
          <w:lang w:val="de-DE"/>
        </w:rPr>
      </w:pPr>
      <w:r>
        <w:rPr>
          <w:rFonts w:cs="Calibri"/>
          <w:b/>
          <w:lang w:val="de-DE"/>
        </w:rPr>
        <w:t>Übergreifende Maßnahmen</w:t>
      </w:r>
    </w:p>
    <w:p w:rsidR="000B433A" w:rsidRPr="00BB2050" w:rsidRDefault="000B433A" w:rsidP="00BB2050">
      <w:pPr>
        <w:pStyle w:val="Paragraphedeliste"/>
        <w:numPr>
          <w:ilvl w:val="0"/>
          <w:numId w:val="2"/>
        </w:numPr>
        <w:rPr>
          <w:rFonts w:cs="Calibri"/>
          <w:sz w:val="22"/>
          <w:lang w:val="de-DE"/>
        </w:rPr>
      </w:pPr>
      <w:r>
        <w:rPr>
          <w:rFonts w:cs="Calibri"/>
          <w:sz w:val="22"/>
          <w:lang w:val="de-DE"/>
        </w:rPr>
        <w:t>Einen Energie-Klima-Aktionsplan bis 2030 erstellen</w:t>
      </w:r>
    </w:p>
    <w:p w:rsidR="000B433A" w:rsidRPr="00BB2050" w:rsidRDefault="000B433A" w:rsidP="00BB2050">
      <w:pPr>
        <w:pStyle w:val="Paragraphedeliste"/>
        <w:numPr>
          <w:ilvl w:val="0"/>
          <w:numId w:val="2"/>
        </w:numPr>
        <w:rPr>
          <w:rFonts w:cs="Calibri"/>
          <w:b/>
          <w:szCs w:val="24"/>
          <w:lang w:val="de-DE"/>
        </w:rPr>
      </w:pPr>
      <w:r>
        <w:rPr>
          <w:rFonts w:cs="Calibri"/>
          <w:sz w:val="22"/>
          <w:lang w:val="de-DE"/>
        </w:rPr>
        <w:t xml:space="preserve">Die Wiederverwendung und Wiederverwertung von Abfällen entwickeln </w:t>
      </w:r>
    </w:p>
    <w:p w:rsidR="000B433A" w:rsidRDefault="000B433A" w:rsidP="00842711">
      <w:pPr>
        <w:rPr>
          <w:rFonts w:cs="Calibri"/>
          <w:b/>
          <w:szCs w:val="24"/>
          <w:lang w:val="de-DE"/>
        </w:rPr>
      </w:pPr>
      <w:r>
        <w:rPr>
          <w:rFonts w:cs="Calibri"/>
          <w:b/>
          <w:lang w:val="de-DE"/>
        </w:rPr>
        <w:t xml:space="preserve">„Industrie“-Maßnahmen </w:t>
      </w:r>
    </w:p>
    <w:p w:rsidR="000B433A" w:rsidRPr="00BB2050" w:rsidRDefault="000B433A" w:rsidP="00BB2050">
      <w:pPr>
        <w:pStyle w:val="Paragraphedeliste"/>
        <w:numPr>
          <w:ilvl w:val="0"/>
          <w:numId w:val="2"/>
        </w:numPr>
        <w:rPr>
          <w:rFonts w:cs="Calibri"/>
          <w:sz w:val="22"/>
          <w:lang w:val="de-DE"/>
        </w:rPr>
      </w:pPr>
      <w:r>
        <w:rPr>
          <w:rFonts w:cs="Calibri"/>
          <w:sz w:val="22"/>
          <w:lang w:val="de-DE"/>
        </w:rPr>
        <w:t xml:space="preserve">Die Umsetzung der „ETS“-Richtlinie fortsetzen </w:t>
      </w:r>
    </w:p>
    <w:p w:rsidR="000B433A" w:rsidRPr="00BB2050" w:rsidRDefault="000B433A" w:rsidP="00BB2050">
      <w:pPr>
        <w:pStyle w:val="Paragraphedeliste"/>
        <w:numPr>
          <w:ilvl w:val="0"/>
          <w:numId w:val="2"/>
        </w:numPr>
        <w:rPr>
          <w:rFonts w:cs="Calibri"/>
          <w:sz w:val="22"/>
          <w:lang w:val="de-DE"/>
        </w:rPr>
      </w:pPr>
      <w:r>
        <w:rPr>
          <w:rFonts w:cs="Calibri"/>
          <w:sz w:val="22"/>
          <w:lang w:val="de-DE"/>
        </w:rPr>
        <w:t>Das Konzept „Branchenvereinbarungen“ in einer zweiten Generation von Vereinbarungen fortführen</w:t>
      </w:r>
    </w:p>
    <w:p w:rsidR="000B433A" w:rsidRPr="00BB2050" w:rsidRDefault="000B433A" w:rsidP="00BB2050">
      <w:pPr>
        <w:pStyle w:val="Paragraphedeliste"/>
        <w:numPr>
          <w:ilvl w:val="0"/>
          <w:numId w:val="2"/>
        </w:numPr>
        <w:rPr>
          <w:rFonts w:cs="Calibri"/>
          <w:sz w:val="22"/>
          <w:lang w:val="de-DE"/>
        </w:rPr>
      </w:pPr>
      <w:r>
        <w:rPr>
          <w:rFonts w:cs="Calibri"/>
          <w:sz w:val="22"/>
          <w:lang w:val="de-DE"/>
        </w:rPr>
        <w:t>Den Ansatz der freiwilligen Vereinbarungen auf KMU/SKU ausdehnen</w:t>
      </w:r>
    </w:p>
    <w:p w:rsidR="000B433A" w:rsidRPr="00BB2050" w:rsidRDefault="000B433A" w:rsidP="00BB2050">
      <w:pPr>
        <w:pStyle w:val="Paragraphedeliste"/>
        <w:numPr>
          <w:ilvl w:val="0"/>
          <w:numId w:val="2"/>
        </w:numPr>
        <w:rPr>
          <w:rFonts w:cs="Calibri"/>
          <w:sz w:val="22"/>
          <w:lang w:val="de-DE"/>
        </w:rPr>
      </w:pPr>
      <w:r>
        <w:rPr>
          <w:rFonts w:cs="Calibri"/>
          <w:sz w:val="22"/>
          <w:lang w:val="de-DE"/>
        </w:rPr>
        <w:t>Die Betriebsbedingungen in den Umweltgenehmigungen an die gesetzlichen Bestimmungen anpassen</w:t>
      </w:r>
    </w:p>
    <w:p w:rsidR="000B433A" w:rsidRPr="00BB2050" w:rsidRDefault="000B433A" w:rsidP="00BB2050">
      <w:pPr>
        <w:pStyle w:val="Paragraphedeliste"/>
        <w:numPr>
          <w:ilvl w:val="0"/>
          <w:numId w:val="2"/>
        </w:numPr>
        <w:rPr>
          <w:rFonts w:cs="Calibri"/>
          <w:szCs w:val="24"/>
          <w:lang w:val="de-DE"/>
        </w:rPr>
      </w:pPr>
      <w:r>
        <w:rPr>
          <w:rFonts w:cs="Calibri"/>
          <w:lang w:val="de-DE"/>
        </w:rPr>
        <w:t>Die Verbrennung/Beseitigung zugunsten des Recyclings begrenzen</w:t>
      </w:r>
    </w:p>
    <w:p w:rsidR="000B433A" w:rsidRPr="00BB2050" w:rsidRDefault="000B433A" w:rsidP="00BB2050">
      <w:pPr>
        <w:pStyle w:val="Paragraphedeliste"/>
        <w:numPr>
          <w:ilvl w:val="0"/>
          <w:numId w:val="2"/>
        </w:numPr>
        <w:rPr>
          <w:rFonts w:cs="Calibri"/>
          <w:szCs w:val="24"/>
          <w:lang w:val="de-DE"/>
        </w:rPr>
      </w:pPr>
      <w:r>
        <w:rPr>
          <w:rFonts w:cs="Calibri"/>
          <w:lang w:val="de-DE"/>
        </w:rPr>
        <w:t>Pläne zur Reduzierung von diffusen Partikelemissionen (PRDP) einführen</w:t>
      </w:r>
    </w:p>
    <w:p w:rsidR="000B433A" w:rsidRPr="00BB2050" w:rsidRDefault="000B433A" w:rsidP="00BB2050">
      <w:pPr>
        <w:pStyle w:val="Paragraphedeliste"/>
        <w:numPr>
          <w:ilvl w:val="0"/>
          <w:numId w:val="2"/>
        </w:numPr>
        <w:rPr>
          <w:rFonts w:cs="Calibri"/>
          <w:szCs w:val="24"/>
          <w:lang w:val="de-DE"/>
        </w:rPr>
      </w:pPr>
      <w:r>
        <w:rPr>
          <w:rFonts w:cs="Calibri"/>
          <w:lang w:val="de-DE"/>
        </w:rPr>
        <w:t>Kleine und mittelständische Unternehmen zur Integration einer kohlenstoffarmen Komponente in ihren strategischen Denkansatz ermutigen</w:t>
      </w:r>
    </w:p>
    <w:p w:rsidR="000B433A" w:rsidRPr="00BB2050" w:rsidRDefault="000B433A" w:rsidP="00BB2050">
      <w:pPr>
        <w:pStyle w:val="Paragraphedeliste"/>
        <w:numPr>
          <w:ilvl w:val="0"/>
          <w:numId w:val="2"/>
        </w:numPr>
        <w:rPr>
          <w:rFonts w:cs="Calibri"/>
          <w:szCs w:val="24"/>
          <w:lang w:val="de-DE"/>
        </w:rPr>
      </w:pPr>
      <w:r>
        <w:rPr>
          <w:rFonts w:cs="Calibri"/>
          <w:lang w:val="de-DE"/>
        </w:rPr>
        <w:t>Die Kreislaufwirtschaft in der wallonischen Industrie weiterentwickeln</w:t>
      </w:r>
    </w:p>
    <w:p w:rsidR="000B433A" w:rsidRDefault="000B433A" w:rsidP="00842711">
      <w:pPr>
        <w:rPr>
          <w:rFonts w:cs="Calibri"/>
          <w:b/>
          <w:szCs w:val="24"/>
          <w:lang w:val="de-DE"/>
        </w:rPr>
      </w:pPr>
      <w:r>
        <w:rPr>
          <w:rFonts w:cs="Calibri"/>
          <w:b/>
          <w:lang w:val="de-DE"/>
        </w:rPr>
        <w:t>„Energie“-Maßnahmen</w:t>
      </w:r>
    </w:p>
    <w:p w:rsidR="000B433A" w:rsidRPr="00BB2050" w:rsidRDefault="000B433A" w:rsidP="00BB2050">
      <w:pPr>
        <w:pStyle w:val="Paragraphedeliste"/>
        <w:numPr>
          <w:ilvl w:val="0"/>
          <w:numId w:val="2"/>
        </w:numPr>
        <w:rPr>
          <w:rFonts w:cs="Calibri"/>
          <w:sz w:val="22"/>
          <w:lang w:val="de-DE"/>
        </w:rPr>
      </w:pPr>
      <w:r>
        <w:rPr>
          <w:rFonts w:cs="Calibri"/>
          <w:sz w:val="22"/>
          <w:lang w:val="de-DE"/>
        </w:rPr>
        <w:t>Innovative Lösungen für die Nutzung erneuerbaren Energien fördern, die F&amp;E unterstützen</w:t>
      </w:r>
    </w:p>
    <w:p w:rsidR="000B433A" w:rsidRPr="00BB2050" w:rsidRDefault="000B433A" w:rsidP="00BB2050">
      <w:pPr>
        <w:pStyle w:val="Paragraphedeliste"/>
        <w:numPr>
          <w:ilvl w:val="0"/>
          <w:numId w:val="2"/>
        </w:numPr>
        <w:rPr>
          <w:rFonts w:cs="Calibri"/>
          <w:sz w:val="22"/>
          <w:lang w:val="de-DE"/>
        </w:rPr>
      </w:pPr>
      <w:r>
        <w:rPr>
          <w:rFonts w:cs="Calibri"/>
          <w:sz w:val="22"/>
          <w:lang w:val="de-DE"/>
        </w:rPr>
        <w:t>Die Erzeugung von grünem Strom fördern</w:t>
      </w:r>
    </w:p>
    <w:p w:rsidR="000B433A" w:rsidRPr="00BB2050" w:rsidRDefault="000B433A" w:rsidP="00BB2050">
      <w:pPr>
        <w:pStyle w:val="Paragraphedeliste"/>
        <w:numPr>
          <w:ilvl w:val="0"/>
          <w:numId w:val="2"/>
        </w:numPr>
        <w:rPr>
          <w:rFonts w:cs="Calibri"/>
          <w:sz w:val="22"/>
          <w:lang w:val="de-DE"/>
        </w:rPr>
      </w:pPr>
      <w:r>
        <w:rPr>
          <w:rFonts w:cs="Calibri"/>
          <w:sz w:val="22"/>
          <w:lang w:val="de-DE"/>
        </w:rPr>
        <w:t>Investitionsprämien für Anlagen zur Gewinnung erneuerbarer Energien aufrechterhalten</w:t>
      </w:r>
    </w:p>
    <w:p w:rsidR="000B433A" w:rsidRPr="00BB2050" w:rsidRDefault="000B433A" w:rsidP="00BB2050">
      <w:pPr>
        <w:pStyle w:val="Paragraphedeliste"/>
        <w:numPr>
          <w:ilvl w:val="0"/>
          <w:numId w:val="2"/>
        </w:numPr>
        <w:rPr>
          <w:rFonts w:cs="Calibri"/>
          <w:sz w:val="22"/>
          <w:lang w:val="de-DE"/>
        </w:rPr>
      </w:pPr>
      <w:r>
        <w:rPr>
          <w:rFonts w:cs="Calibri"/>
          <w:sz w:val="22"/>
          <w:lang w:val="de-DE"/>
        </w:rPr>
        <w:t>Die Stromerzeugung aus Abfällen verdoppeln</w:t>
      </w:r>
    </w:p>
    <w:p w:rsidR="000B433A" w:rsidRPr="00BB2050" w:rsidRDefault="000B433A" w:rsidP="00BB2050">
      <w:pPr>
        <w:pStyle w:val="Paragraphedeliste"/>
        <w:numPr>
          <w:ilvl w:val="0"/>
          <w:numId w:val="2"/>
        </w:numPr>
        <w:rPr>
          <w:rFonts w:cs="Calibri"/>
          <w:sz w:val="22"/>
          <w:lang w:val="de-DE"/>
        </w:rPr>
      </w:pPr>
      <w:r>
        <w:rPr>
          <w:rFonts w:cs="Calibri"/>
          <w:sz w:val="22"/>
          <w:lang w:val="de-DE"/>
        </w:rPr>
        <w:t>Die Einspeisung von Biogas in das Erdgasnetz fördern</w:t>
      </w:r>
    </w:p>
    <w:p w:rsidR="000B433A" w:rsidRPr="00BB2050" w:rsidRDefault="000B433A" w:rsidP="00BB2050">
      <w:pPr>
        <w:pStyle w:val="Paragraphedeliste"/>
        <w:numPr>
          <w:ilvl w:val="0"/>
          <w:numId w:val="2"/>
        </w:numPr>
        <w:rPr>
          <w:rFonts w:cs="Calibri"/>
          <w:sz w:val="22"/>
          <w:lang w:val="de-DE"/>
        </w:rPr>
      </w:pPr>
      <w:r>
        <w:rPr>
          <w:rFonts w:cs="Calibri"/>
          <w:sz w:val="22"/>
          <w:lang w:val="de-DE"/>
        </w:rPr>
        <w:t>Die Bevölkerung ermutigen, auf einen umweltfreundlicheren Brennstoff überzuwechseln</w:t>
      </w:r>
    </w:p>
    <w:p w:rsidR="000B433A" w:rsidRPr="00BB2050" w:rsidRDefault="000B433A" w:rsidP="00BB2050">
      <w:pPr>
        <w:pStyle w:val="Paragraphedeliste"/>
        <w:numPr>
          <w:ilvl w:val="0"/>
          <w:numId w:val="2"/>
        </w:numPr>
        <w:rPr>
          <w:rFonts w:cs="Calibri"/>
          <w:sz w:val="22"/>
          <w:lang w:val="de-DE"/>
        </w:rPr>
      </w:pPr>
      <w:r>
        <w:rPr>
          <w:rFonts w:cs="Calibri"/>
          <w:sz w:val="22"/>
          <w:lang w:val="de-DE"/>
        </w:rPr>
        <w:t>Das Verteilungsnetz für Erdgas ausdehnen</w:t>
      </w:r>
    </w:p>
    <w:p w:rsidR="000B433A" w:rsidRPr="00BB2050" w:rsidRDefault="000B433A" w:rsidP="00BB2050">
      <w:pPr>
        <w:pStyle w:val="Paragraphedeliste"/>
        <w:numPr>
          <w:ilvl w:val="0"/>
          <w:numId w:val="2"/>
        </w:numPr>
        <w:rPr>
          <w:rFonts w:cs="Calibri"/>
          <w:sz w:val="22"/>
          <w:lang w:val="de-DE"/>
        </w:rPr>
      </w:pPr>
      <w:r>
        <w:rPr>
          <w:rFonts w:cs="Calibri"/>
          <w:sz w:val="22"/>
          <w:lang w:val="de-DE"/>
        </w:rPr>
        <w:t>Eine Raumordnungspolitik fördern, die die Energiewende einschließt</w:t>
      </w:r>
    </w:p>
    <w:p w:rsidR="000B433A" w:rsidRPr="00BB2050" w:rsidRDefault="000B433A" w:rsidP="00BB2050">
      <w:pPr>
        <w:pStyle w:val="Paragraphedeliste"/>
        <w:numPr>
          <w:ilvl w:val="0"/>
          <w:numId w:val="2"/>
        </w:numPr>
        <w:rPr>
          <w:rFonts w:cs="Calibri"/>
          <w:sz w:val="22"/>
          <w:lang w:val="de-DE"/>
        </w:rPr>
      </w:pPr>
      <w:r>
        <w:rPr>
          <w:rFonts w:cs="Calibri"/>
          <w:sz w:val="22"/>
          <w:lang w:val="de-DE"/>
        </w:rPr>
        <w:t>Einen Rahmen für den Flexibilitätsmarkt schaffen</w:t>
      </w:r>
    </w:p>
    <w:p w:rsidR="000B433A" w:rsidRPr="00BB2050" w:rsidRDefault="000B433A" w:rsidP="00BB2050">
      <w:pPr>
        <w:pStyle w:val="Paragraphedeliste"/>
        <w:numPr>
          <w:ilvl w:val="0"/>
          <w:numId w:val="2"/>
        </w:numPr>
        <w:rPr>
          <w:rFonts w:cs="Calibri"/>
          <w:sz w:val="22"/>
          <w:lang w:val="de-DE"/>
        </w:rPr>
      </w:pPr>
      <w:r>
        <w:rPr>
          <w:rFonts w:cs="Calibri"/>
          <w:sz w:val="22"/>
          <w:lang w:val="de-DE"/>
        </w:rPr>
        <w:t>Die Produktionsflexibilität umsetzen</w:t>
      </w:r>
    </w:p>
    <w:p w:rsidR="000B433A" w:rsidRPr="00BB2050" w:rsidRDefault="000B433A" w:rsidP="00BB2050">
      <w:pPr>
        <w:pStyle w:val="Paragraphedeliste"/>
        <w:numPr>
          <w:ilvl w:val="0"/>
          <w:numId w:val="2"/>
        </w:numPr>
        <w:rPr>
          <w:rFonts w:cs="Calibri"/>
          <w:sz w:val="22"/>
          <w:lang w:val="de-DE"/>
        </w:rPr>
      </w:pPr>
      <w:r>
        <w:rPr>
          <w:rFonts w:cs="Calibri"/>
          <w:sz w:val="22"/>
          <w:lang w:val="de-DE"/>
        </w:rPr>
        <w:t>Speicherungslösungen entwickeln und den Netzbetrieb durch Förderung von Forschung und Pilotprojekten verbessern</w:t>
      </w:r>
    </w:p>
    <w:p w:rsidR="000B433A" w:rsidRPr="00BB2050" w:rsidRDefault="000B433A" w:rsidP="00BB2050">
      <w:pPr>
        <w:pStyle w:val="Paragraphedeliste"/>
        <w:numPr>
          <w:ilvl w:val="0"/>
          <w:numId w:val="2"/>
        </w:numPr>
        <w:rPr>
          <w:rFonts w:cs="Calibri"/>
          <w:b/>
          <w:szCs w:val="24"/>
          <w:lang w:val="de-DE"/>
        </w:rPr>
      </w:pPr>
      <w:r>
        <w:rPr>
          <w:rFonts w:cs="Calibri"/>
          <w:sz w:val="22"/>
          <w:lang w:val="de-DE"/>
        </w:rPr>
        <w:t>Intelligente Netze entwickeln und kontrollieren</w:t>
      </w:r>
    </w:p>
    <w:p w:rsidR="000B433A" w:rsidRDefault="000B433A" w:rsidP="00842711">
      <w:pPr>
        <w:rPr>
          <w:rFonts w:cs="Calibri"/>
          <w:b/>
          <w:szCs w:val="24"/>
          <w:lang w:val="de-DE"/>
        </w:rPr>
      </w:pPr>
      <w:r>
        <w:rPr>
          <w:rFonts w:cs="Calibri"/>
          <w:b/>
          <w:lang w:val="de-DE"/>
        </w:rPr>
        <w:t>„Gebäude“-Maßnahmen</w:t>
      </w:r>
    </w:p>
    <w:p w:rsidR="000B433A" w:rsidRPr="00BB2050" w:rsidRDefault="000B433A" w:rsidP="00BB2050">
      <w:pPr>
        <w:pStyle w:val="Paragraphedeliste"/>
        <w:numPr>
          <w:ilvl w:val="0"/>
          <w:numId w:val="2"/>
        </w:numPr>
        <w:rPr>
          <w:rFonts w:cs="Calibri"/>
          <w:sz w:val="22"/>
          <w:lang w:val="de-DE"/>
        </w:rPr>
      </w:pPr>
      <w:r>
        <w:rPr>
          <w:rFonts w:cs="Calibri"/>
          <w:sz w:val="22"/>
          <w:lang w:val="de-DE"/>
        </w:rPr>
        <w:t xml:space="preserve">Die Aktionen in der Erziehung in den Bereichen Energie, Klima und Luftqualität fortsetzen und weiterentwickeln </w:t>
      </w:r>
    </w:p>
    <w:p w:rsidR="000B433A" w:rsidRPr="00BB2050" w:rsidRDefault="000B433A" w:rsidP="00BB2050">
      <w:pPr>
        <w:pStyle w:val="Paragraphedeliste"/>
        <w:numPr>
          <w:ilvl w:val="0"/>
          <w:numId w:val="2"/>
        </w:numPr>
        <w:rPr>
          <w:rFonts w:cs="Calibri"/>
          <w:sz w:val="22"/>
          <w:lang w:val="de-DE"/>
        </w:rPr>
      </w:pPr>
      <w:r>
        <w:rPr>
          <w:rFonts w:cs="Calibri"/>
          <w:sz w:val="22"/>
          <w:lang w:val="de-DE"/>
        </w:rPr>
        <w:t>Nachhaltige energetische Verhaltensweisen fördern</w:t>
      </w:r>
    </w:p>
    <w:p w:rsidR="000B433A" w:rsidRPr="00D07F58" w:rsidRDefault="000B433A" w:rsidP="00BB2050">
      <w:pPr>
        <w:pStyle w:val="Paragraphedeliste"/>
        <w:numPr>
          <w:ilvl w:val="0"/>
          <w:numId w:val="2"/>
        </w:numPr>
        <w:rPr>
          <w:lang w:val="de-DE"/>
        </w:rPr>
      </w:pPr>
      <w:r>
        <w:rPr>
          <w:rFonts w:cs="Calibri"/>
          <w:sz w:val="22"/>
          <w:lang w:val="de-DE"/>
        </w:rPr>
        <w:t>Anreize für wallonische Haushalte zur Reduzierung ihres Kohlenstoff-Fußabdrucks schaffen</w:t>
      </w:r>
    </w:p>
    <w:p w:rsidR="000B433A" w:rsidRPr="00D07F58" w:rsidRDefault="000B433A" w:rsidP="00BB2050">
      <w:pPr>
        <w:pStyle w:val="Paragraphedeliste"/>
        <w:numPr>
          <w:ilvl w:val="0"/>
          <w:numId w:val="2"/>
        </w:numPr>
        <w:rPr>
          <w:lang w:val="de-DE"/>
        </w:rPr>
      </w:pPr>
      <w:r>
        <w:rPr>
          <w:rFonts w:cs="Calibri"/>
          <w:sz w:val="22"/>
          <w:lang w:val="de-DE"/>
        </w:rPr>
        <w:t>Privatpersonen über die bestehende Gesetzgebung und die guten Praktiken in Bezug auf die Luftqualität informieren</w:t>
      </w:r>
    </w:p>
    <w:p w:rsidR="000B433A" w:rsidRPr="00D07F58" w:rsidRDefault="000B433A" w:rsidP="00BB2050">
      <w:pPr>
        <w:pStyle w:val="Paragraphedeliste"/>
        <w:numPr>
          <w:ilvl w:val="0"/>
          <w:numId w:val="2"/>
        </w:numPr>
        <w:rPr>
          <w:lang w:val="de-DE"/>
        </w:rPr>
      </w:pPr>
      <w:r>
        <w:rPr>
          <w:rFonts w:cs="Calibri"/>
          <w:sz w:val="22"/>
          <w:lang w:val="de-DE"/>
        </w:rPr>
        <w:t xml:space="preserve">Die Energiestandards (der EU) gemäß den Europäischen Richtlinien weiter verstärken </w:t>
      </w:r>
    </w:p>
    <w:p w:rsidR="000B433A" w:rsidRPr="00D07F58" w:rsidRDefault="000B433A" w:rsidP="00BB2050">
      <w:pPr>
        <w:pStyle w:val="Paragraphedeliste"/>
        <w:numPr>
          <w:ilvl w:val="0"/>
          <w:numId w:val="2"/>
        </w:numPr>
        <w:rPr>
          <w:lang w:val="de-DE"/>
        </w:rPr>
      </w:pPr>
      <w:r>
        <w:rPr>
          <w:rFonts w:cs="Calibri"/>
          <w:sz w:val="22"/>
          <w:lang w:val="de-DE"/>
        </w:rPr>
        <w:t>Einen Rahmen für die „Energieleistungsverträge“ festlegen</w:t>
      </w:r>
    </w:p>
    <w:p w:rsidR="000B433A" w:rsidRPr="00D07F58" w:rsidRDefault="000B433A" w:rsidP="00BB2050">
      <w:pPr>
        <w:pStyle w:val="Paragraphedeliste"/>
        <w:numPr>
          <w:ilvl w:val="0"/>
          <w:numId w:val="2"/>
        </w:numPr>
        <w:rPr>
          <w:lang w:val="de-DE"/>
        </w:rPr>
      </w:pPr>
      <w:r>
        <w:rPr>
          <w:rFonts w:cs="Calibri"/>
          <w:sz w:val="22"/>
          <w:lang w:val="de-DE"/>
        </w:rPr>
        <w:t xml:space="preserve">Soziale, ethische und umweltrelevante Aspekte in die Vergabe öffentlicher Bauaufträge einbeziehen </w:t>
      </w:r>
    </w:p>
    <w:p w:rsidR="000B433A" w:rsidRPr="00D07F58" w:rsidRDefault="000B433A" w:rsidP="00BB2050">
      <w:pPr>
        <w:pStyle w:val="Paragraphedeliste"/>
        <w:numPr>
          <w:ilvl w:val="0"/>
          <w:numId w:val="2"/>
        </w:numPr>
        <w:rPr>
          <w:lang w:val="de-DE"/>
        </w:rPr>
      </w:pPr>
      <w:r>
        <w:rPr>
          <w:rFonts w:cs="Calibri"/>
          <w:sz w:val="22"/>
          <w:lang w:val="de-DE"/>
        </w:rPr>
        <w:t xml:space="preserve"> Gütezeichen für Unternehmen für Isolierungen, Lüftungs-, Heizungs- und Klimaanlagen (NRQUAL) einführen und fördern</w:t>
      </w:r>
    </w:p>
    <w:p w:rsidR="000B433A" w:rsidRPr="00D07F58" w:rsidRDefault="000B433A" w:rsidP="00BB2050">
      <w:pPr>
        <w:pStyle w:val="Paragraphedeliste"/>
        <w:numPr>
          <w:ilvl w:val="0"/>
          <w:numId w:val="2"/>
        </w:numPr>
        <w:rPr>
          <w:lang w:val="de-DE"/>
        </w:rPr>
      </w:pPr>
      <w:r>
        <w:rPr>
          <w:rFonts w:cs="Calibri"/>
          <w:sz w:val="22"/>
          <w:lang w:val="de-DE"/>
        </w:rPr>
        <w:t>Energieprämien und Prämien für die Instandsetzung von Wohnungen und „Wohnungsschecks“ gewähren</w:t>
      </w:r>
    </w:p>
    <w:p w:rsidR="000B433A" w:rsidRPr="00D07F58" w:rsidRDefault="000B433A" w:rsidP="00BB2050">
      <w:pPr>
        <w:pStyle w:val="Paragraphedeliste"/>
        <w:numPr>
          <w:ilvl w:val="0"/>
          <w:numId w:val="2"/>
        </w:numPr>
        <w:rPr>
          <w:lang w:val="de-DE"/>
        </w:rPr>
      </w:pPr>
      <w:r>
        <w:rPr>
          <w:rFonts w:cs="Calibri"/>
          <w:sz w:val="22"/>
          <w:lang w:val="de-DE"/>
        </w:rPr>
        <w:t>Darlehen für den Zugang zu Wohnungen und für die Renovierung (Accesspack/Ecopack/Rénopack) gewähren</w:t>
      </w:r>
    </w:p>
    <w:p w:rsidR="000B433A" w:rsidRDefault="000B433A" w:rsidP="00BB2050">
      <w:pPr>
        <w:pStyle w:val="Paragraphedeliste"/>
        <w:numPr>
          <w:ilvl w:val="0"/>
          <w:numId w:val="2"/>
        </w:numPr>
      </w:pPr>
      <w:r>
        <w:rPr>
          <w:rFonts w:cs="Calibri"/>
          <w:sz w:val="22"/>
          <w:lang w:val="de-DE"/>
        </w:rPr>
        <w:t xml:space="preserve">Öffentliche Wohnungen renovieren </w:t>
      </w:r>
    </w:p>
    <w:p w:rsidR="000B433A" w:rsidRPr="00D07F58" w:rsidRDefault="000B433A" w:rsidP="00BB2050">
      <w:pPr>
        <w:pStyle w:val="Paragraphedeliste"/>
        <w:numPr>
          <w:ilvl w:val="0"/>
          <w:numId w:val="2"/>
        </w:numPr>
        <w:rPr>
          <w:lang w:val="de-DE"/>
        </w:rPr>
      </w:pPr>
      <w:r>
        <w:rPr>
          <w:rFonts w:cs="Calibri"/>
          <w:sz w:val="22"/>
          <w:lang w:val="de-DE"/>
        </w:rPr>
        <w:t xml:space="preserve">Wohnungen über das kommunale Verankerungsprogramm schaffen </w:t>
      </w:r>
    </w:p>
    <w:p w:rsidR="000B433A" w:rsidRPr="00D07F58" w:rsidRDefault="000B433A" w:rsidP="00BB2050">
      <w:pPr>
        <w:pStyle w:val="Paragraphedeliste"/>
        <w:numPr>
          <w:ilvl w:val="0"/>
          <w:numId w:val="2"/>
        </w:numPr>
        <w:rPr>
          <w:lang w:val="de-DE"/>
        </w:rPr>
      </w:pPr>
      <w:r>
        <w:rPr>
          <w:rFonts w:cs="Calibri"/>
          <w:sz w:val="22"/>
          <w:lang w:val="de-DE"/>
        </w:rPr>
        <w:t>Ein neues UREBA-Sonderprogramm für die Renovierung öffentlicher Gebäude einführen</w:t>
      </w:r>
    </w:p>
    <w:p w:rsidR="000B433A" w:rsidRPr="00D07F58" w:rsidRDefault="000B433A" w:rsidP="00BB2050">
      <w:pPr>
        <w:pStyle w:val="Paragraphedeliste"/>
        <w:numPr>
          <w:ilvl w:val="0"/>
          <w:numId w:val="2"/>
        </w:numPr>
        <w:rPr>
          <w:lang w:val="de-DE"/>
        </w:rPr>
      </w:pPr>
      <w:r>
        <w:rPr>
          <w:rFonts w:cs="Calibri"/>
          <w:sz w:val="22"/>
          <w:lang w:val="de-DE"/>
        </w:rPr>
        <w:t>Ein dynamisches Energiemanagement öffentlicher Gebäude sicherstellen</w:t>
      </w:r>
    </w:p>
    <w:p w:rsidR="000B433A" w:rsidRPr="00D07F58" w:rsidRDefault="000B433A" w:rsidP="00BB2050">
      <w:pPr>
        <w:pStyle w:val="Paragraphedeliste"/>
        <w:numPr>
          <w:ilvl w:val="0"/>
          <w:numId w:val="2"/>
        </w:numPr>
        <w:rPr>
          <w:lang w:val="de-DE"/>
        </w:rPr>
      </w:pPr>
      <w:r>
        <w:rPr>
          <w:rFonts w:cs="Calibri"/>
          <w:sz w:val="22"/>
          <w:lang w:val="de-DE"/>
        </w:rPr>
        <w:t>Eine energieeffiziente Renovierung von regionalen öffentlichen Gebäuden vornehmen</w:t>
      </w:r>
    </w:p>
    <w:p w:rsidR="000B433A" w:rsidRDefault="000B433A" w:rsidP="00BB2050">
      <w:pPr>
        <w:pStyle w:val="Paragraphedeliste"/>
        <w:numPr>
          <w:ilvl w:val="0"/>
          <w:numId w:val="2"/>
        </w:numPr>
      </w:pPr>
      <w:r>
        <w:rPr>
          <w:rFonts w:cs="Calibri"/>
          <w:sz w:val="22"/>
          <w:lang w:val="de-DE"/>
        </w:rPr>
        <w:t xml:space="preserve">Fachkräfte sensibilisieren und zertifizieren </w:t>
      </w:r>
    </w:p>
    <w:p w:rsidR="000B433A" w:rsidRPr="00D07F58" w:rsidRDefault="000B433A" w:rsidP="00BB2050">
      <w:pPr>
        <w:pStyle w:val="Paragraphedeliste"/>
        <w:numPr>
          <w:ilvl w:val="0"/>
          <w:numId w:val="2"/>
        </w:numPr>
        <w:rPr>
          <w:lang w:val="de-DE"/>
        </w:rPr>
      </w:pPr>
      <w:r>
        <w:rPr>
          <w:rFonts w:cs="Calibri"/>
          <w:sz w:val="22"/>
          <w:lang w:val="de-DE"/>
        </w:rPr>
        <w:t>Die im Plan für nachhaltige Entwicklung des ÖDW empfohlenen Maßahmen umsetzen</w:t>
      </w:r>
    </w:p>
    <w:p w:rsidR="000B433A" w:rsidRPr="00D07F58" w:rsidRDefault="000B433A" w:rsidP="00BB2050">
      <w:pPr>
        <w:pStyle w:val="Paragraphedeliste"/>
        <w:numPr>
          <w:ilvl w:val="0"/>
          <w:numId w:val="2"/>
        </w:numPr>
        <w:rPr>
          <w:lang w:val="de-DE"/>
        </w:rPr>
      </w:pPr>
      <w:r>
        <w:rPr>
          <w:rFonts w:cs="Calibri"/>
          <w:sz w:val="22"/>
          <w:lang w:val="de-DE"/>
        </w:rPr>
        <w:t>Agenturen für Sozialwohnungen ermutigen, die Energieeffizienz der von ihnen verwalteten Gebäude zu erhöhen</w:t>
      </w:r>
    </w:p>
    <w:p w:rsidR="000B433A" w:rsidRPr="00D07F58" w:rsidRDefault="000B433A" w:rsidP="00BB2050">
      <w:pPr>
        <w:pStyle w:val="Paragraphedeliste"/>
        <w:numPr>
          <w:ilvl w:val="0"/>
          <w:numId w:val="2"/>
        </w:numPr>
        <w:rPr>
          <w:lang w:val="de-DE"/>
        </w:rPr>
      </w:pPr>
      <w:r>
        <w:rPr>
          <w:rFonts w:cs="Calibri"/>
          <w:sz w:val="22"/>
          <w:lang w:val="de-DE"/>
        </w:rPr>
        <w:t>Auf die städtebaulichen Regeln einwirken, um die Hindernisse für eine energieeffiziente Renovierung von Wohnungen zu beseitigen</w:t>
      </w:r>
    </w:p>
    <w:p w:rsidR="000B433A" w:rsidRPr="00D07F58" w:rsidRDefault="000B433A" w:rsidP="00BB2050">
      <w:pPr>
        <w:pStyle w:val="Paragraphedeliste"/>
        <w:numPr>
          <w:ilvl w:val="0"/>
          <w:numId w:val="2"/>
        </w:numPr>
        <w:rPr>
          <w:lang w:val="de-DE"/>
        </w:rPr>
      </w:pPr>
      <w:r>
        <w:rPr>
          <w:rFonts w:cs="Calibri"/>
          <w:sz w:val="22"/>
          <w:lang w:val="de-DE"/>
        </w:rPr>
        <w:t xml:space="preserve">Auf die Raumordnung durch Erhöhung der Anzahl der Grenzgemeinschaften einwirken </w:t>
      </w:r>
    </w:p>
    <w:p w:rsidR="000B433A" w:rsidRPr="00D07F58" w:rsidRDefault="000B433A" w:rsidP="00BB2050">
      <w:pPr>
        <w:pStyle w:val="Paragraphedeliste"/>
        <w:numPr>
          <w:ilvl w:val="0"/>
          <w:numId w:val="2"/>
        </w:numPr>
        <w:rPr>
          <w:lang w:val="de-DE"/>
        </w:rPr>
      </w:pPr>
      <w:r>
        <w:rPr>
          <w:rFonts w:cs="Calibri"/>
          <w:sz w:val="22"/>
          <w:lang w:val="de-DE"/>
        </w:rPr>
        <w:t>Eine wallonische Politik im Bereich der Luftqualität in Innenräumen umsetzen</w:t>
      </w:r>
    </w:p>
    <w:p w:rsidR="000B433A" w:rsidRPr="00D07F58" w:rsidRDefault="000B433A" w:rsidP="00BB2050">
      <w:pPr>
        <w:pStyle w:val="Paragraphedeliste"/>
        <w:numPr>
          <w:ilvl w:val="0"/>
          <w:numId w:val="2"/>
        </w:numPr>
        <w:rPr>
          <w:lang w:val="de-DE"/>
        </w:rPr>
      </w:pPr>
      <w:r>
        <w:rPr>
          <w:rFonts w:cs="Calibri"/>
          <w:sz w:val="22"/>
          <w:lang w:val="de-DE"/>
        </w:rPr>
        <w:t>Anreize für öffentliche und private Organisationen schaffen, den Schwerpunkt geringer CO2-Emissionen in ihre strategischen Überlegungen einbeziehen</w:t>
      </w:r>
    </w:p>
    <w:p w:rsidR="000B433A" w:rsidRPr="00D07F58" w:rsidRDefault="000B433A" w:rsidP="00BB2050">
      <w:pPr>
        <w:pStyle w:val="Paragraphedeliste"/>
        <w:numPr>
          <w:ilvl w:val="0"/>
          <w:numId w:val="2"/>
        </w:numPr>
        <w:rPr>
          <w:lang w:val="de-DE"/>
        </w:rPr>
      </w:pPr>
      <w:r>
        <w:rPr>
          <w:rFonts w:cs="Calibri"/>
          <w:sz w:val="22"/>
          <w:lang w:val="de-DE"/>
        </w:rPr>
        <w:t xml:space="preserve">Anreize für die Gemeinden zur Umsetzung einer Energie- und Klimapolitik auf ihrem Gebiet schaffen  </w:t>
      </w:r>
    </w:p>
    <w:p w:rsidR="000B433A" w:rsidRPr="00D07F58" w:rsidRDefault="000B433A" w:rsidP="00BB2050">
      <w:pPr>
        <w:pStyle w:val="Paragraphedeliste"/>
        <w:numPr>
          <w:ilvl w:val="0"/>
          <w:numId w:val="2"/>
        </w:numPr>
        <w:rPr>
          <w:lang w:val="de-DE"/>
        </w:rPr>
      </w:pPr>
      <w:r>
        <w:rPr>
          <w:rFonts w:cs="Calibri"/>
          <w:sz w:val="22"/>
          <w:lang w:val="de-DE"/>
        </w:rPr>
        <w:t>Die Verringerung des Energieverbrauchs der öffentlichen Beleuchtung finanziell unterstützen</w:t>
      </w:r>
    </w:p>
    <w:p w:rsidR="000B433A" w:rsidRPr="00D07F58" w:rsidRDefault="000B433A" w:rsidP="00BB2050">
      <w:pPr>
        <w:pStyle w:val="Paragraphedeliste"/>
        <w:numPr>
          <w:ilvl w:val="0"/>
          <w:numId w:val="2"/>
        </w:numPr>
        <w:rPr>
          <w:lang w:val="de-DE"/>
        </w:rPr>
      </w:pPr>
      <w:r>
        <w:rPr>
          <w:rFonts w:cs="Calibri"/>
          <w:sz w:val="22"/>
          <w:lang w:val="de-DE"/>
        </w:rPr>
        <w:t xml:space="preserve">Den Austausch der umweltschädlichsten Heizkessel fördern </w:t>
      </w:r>
    </w:p>
    <w:p w:rsidR="000B433A" w:rsidRPr="00BB2050" w:rsidRDefault="000B433A" w:rsidP="00BB2050">
      <w:pPr>
        <w:pStyle w:val="Paragraphedeliste"/>
        <w:numPr>
          <w:ilvl w:val="0"/>
          <w:numId w:val="2"/>
        </w:numPr>
        <w:rPr>
          <w:rFonts w:cs="Calibri"/>
          <w:b/>
          <w:szCs w:val="24"/>
          <w:lang w:val="de-DE"/>
        </w:rPr>
      </w:pPr>
      <w:r>
        <w:rPr>
          <w:rFonts w:cs="Calibri"/>
          <w:sz w:val="22"/>
          <w:lang w:val="de-DE"/>
        </w:rPr>
        <w:t>Gesetze zu mit festen Brennstoffen betriebenen Heizanlagen, zu Anlagen zur Erzeugung von Warmwasser für den Hausgebrauch und zu dezentralen Anlagen erlassen</w:t>
      </w:r>
    </w:p>
    <w:p w:rsidR="000B433A" w:rsidRDefault="000B433A" w:rsidP="00842711">
      <w:pPr>
        <w:rPr>
          <w:rFonts w:cs="Calibri"/>
          <w:b/>
          <w:szCs w:val="24"/>
          <w:lang w:val="de-DE"/>
        </w:rPr>
      </w:pPr>
      <w:r>
        <w:rPr>
          <w:rFonts w:cs="Calibri"/>
          <w:b/>
          <w:lang w:val="de-DE"/>
        </w:rPr>
        <w:t xml:space="preserve"> „Transport“-Maßnahmen</w:t>
      </w:r>
    </w:p>
    <w:p w:rsidR="000B433A" w:rsidRPr="00D07F58" w:rsidRDefault="000B433A" w:rsidP="00BB2050">
      <w:pPr>
        <w:pStyle w:val="Paragraphedeliste"/>
        <w:numPr>
          <w:ilvl w:val="0"/>
          <w:numId w:val="2"/>
        </w:numPr>
        <w:rPr>
          <w:lang w:val="de-DE"/>
        </w:rPr>
      </w:pPr>
      <w:r>
        <w:rPr>
          <w:rFonts w:cs="Calibri"/>
          <w:sz w:val="22"/>
          <w:lang w:val="de-DE"/>
        </w:rPr>
        <w:t>Die Telearbeit und die Verwendung moderner Technologien fördern, die den Bedarf an Mobilität verringern.</w:t>
      </w:r>
    </w:p>
    <w:p w:rsidR="000B433A" w:rsidRDefault="000B433A" w:rsidP="00BB2050">
      <w:pPr>
        <w:pStyle w:val="Paragraphedeliste"/>
        <w:numPr>
          <w:ilvl w:val="0"/>
          <w:numId w:val="2"/>
        </w:numPr>
      </w:pPr>
      <w:r>
        <w:rPr>
          <w:rFonts w:cs="Calibri"/>
          <w:sz w:val="22"/>
          <w:lang w:val="de-DE"/>
        </w:rPr>
        <w:t>Fahrgemeinschaften entwickeln</w:t>
      </w:r>
    </w:p>
    <w:p w:rsidR="000B433A" w:rsidRDefault="000B433A" w:rsidP="00BB2050">
      <w:pPr>
        <w:pStyle w:val="Paragraphedeliste"/>
        <w:numPr>
          <w:ilvl w:val="0"/>
          <w:numId w:val="2"/>
        </w:numPr>
      </w:pPr>
      <w:r>
        <w:rPr>
          <w:rFonts w:cs="Calibri"/>
          <w:sz w:val="22"/>
          <w:lang w:val="de-DE"/>
        </w:rPr>
        <w:t>Auf die Raumordnung einwirken</w:t>
      </w:r>
    </w:p>
    <w:p w:rsidR="000B433A" w:rsidRPr="00D07F58" w:rsidRDefault="000B433A" w:rsidP="00BB2050">
      <w:pPr>
        <w:pStyle w:val="Paragraphedeliste"/>
        <w:numPr>
          <w:ilvl w:val="0"/>
          <w:numId w:val="2"/>
        </w:numPr>
        <w:rPr>
          <w:lang w:val="de-DE"/>
        </w:rPr>
      </w:pPr>
      <w:r>
        <w:rPr>
          <w:rFonts w:cs="Calibri"/>
          <w:sz w:val="22"/>
          <w:lang w:val="de-DE"/>
        </w:rPr>
        <w:t>Das Dienstleistungsangebot der öffentlichen Verkehrsmittel optimieren</w:t>
      </w:r>
    </w:p>
    <w:p w:rsidR="000B433A" w:rsidRPr="00D07F58" w:rsidRDefault="000B433A" w:rsidP="00BB2050">
      <w:pPr>
        <w:pStyle w:val="Paragraphedeliste"/>
        <w:numPr>
          <w:ilvl w:val="0"/>
          <w:numId w:val="2"/>
        </w:numPr>
        <w:rPr>
          <w:lang w:val="de-DE"/>
        </w:rPr>
      </w:pPr>
      <w:r>
        <w:rPr>
          <w:rFonts w:cs="Calibri"/>
          <w:sz w:val="22"/>
          <w:lang w:val="de-DE"/>
        </w:rPr>
        <w:t>Die Öffentlichkeit für Alternativen zum Privatwagen sensibilisieren</w:t>
      </w:r>
    </w:p>
    <w:p w:rsidR="000B433A" w:rsidRPr="00D07F58" w:rsidRDefault="000B433A" w:rsidP="00BB2050">
      <w:pPr>
        <w:pStyle w:val="Paragraphedeliste"/>
        <w:numPr>
          <w:ilvl w:val="0"/>
          <w:numId w:val="2"/>
        </w:numPr>
        <w:rPr>
          <w:lang w:val="de-DE"/>
        </w:rPr>
      </w:pPr>
      <w:r>
        <w:rPr>
          <w:rFonts w:cs="Calibri"/>
          <w:sz w:val="22"/>
          <w:lang w:val="de-DE"/>
        </w:rPr>
        <w:t>Unternehmen bei der Erstellung von Mobilitätsplänen unterstützen</w:t>
      </w:r>
    </w:p>
    <w:p w:rsidR="000B433A" w:rsidRDefault="000B433A" w:rsidP="00BB2050">
      <w:pPr>
        <w:pStyle w:val="Paragraphedeliste"/>
        <w:numPr>
          <w:ilvl w:val="0"/>
          <w:numId w:val="2"/>
        </w:numPr>
      </w:pPr>
      <w:r>
        <w:rPr>
          <w:rFonts w:cs="Calibri"/>
          <w:sz w:val="22"/>
          <w:lang w:val="de-DE"/>
        </w:rPr>
        <w:t>Die Nutzung von Fahrrädern entwickeln</w:t>
      </w:r>
    </w:p>
    <w:p w:rsidR="000B433A" w:rsidRPr="00D07F58" w:rsidRDefault="000B433A" w:rsidP="00BB2050">
      <w:pPr>
        <w:pStyle w:val="Paragraphedeliste"/>
        <w:numPr>
          <w:ilvl w:val="0"/>
          <w:numId w:val="2"/>
        </w:numPr>
        <w:rPr>
          <w:lang w:val="de-DE"/>
        </w:rPr>
      </w:pPr>
      <w:r>
        <w:rPr>
          <w:rFonts w:cs="Calibri"/>
          <w:sz w:val="22"/>
          <w:lang w:val="de-DE"/>
        </w:rPr>
        <w:t>Fahrer zu einem energiesparenden Fahrstil schulen</w:t>
      </w:r>
    </w:p>
    <w:p w:rsidR="000B433A" w:rsidRDefault="000B433A" w:rsidP="00BB2050">
      <w:pPr>
        <w:pStyle w:val="Paragraphedeliste"/>
        <w:numPr>
          <w:ilvl w:val="0"/>
          <w:numId w:val="2"/>
        </w:numPr>
      </w:pPr>
      <w:r>
        <w:rPr>
          <w:rFonts w:cs="Calibri"/>
          <w:sz w:val="22"/>
          <w:lang w:val="de-DE"/>
        </w:rPr>
        <w:t xml:space="preserve">Den Kauf emissionsarmer Fahrzeuge fördern </w:t>
      </w:r>
    </w:p>
    <w:p w:rsidR="000B433A" w:rsidRPr="00D07F58" w:rsidRDefault="000B433A" w:rsidP="00BB2050">
      <w:pPr>
        <w:pStyle w:val="Paragraphedeliste"/>
        <w:numPr>
          <w:ilvl w:val="0"/>
          <w:numId w:val="2"/>
        </w:numPr>
        <w:rPr>
          <w:lang w:val="de-DE"/>
        </w:rPr>
      </w:pPr>
      <w:r>
        <w:rPr>
          <w:rFonts w:cs="Calibri"/>
          <w:sz w:val="22"/>
          <w:lang w:val="de-DE"/>
        </w:rPr>
        <w:t>Die Vorbildrolle der öffentlichen Behörden stärken</w:t>
      </w:r>
    </w:p>
    <w:p w:rsidR="000B433A" w:rsidRPr="00D07F58" w:rsidRDefault="000B433A" w:rsidP="00BB2050">
      <w:pPr>
        <w:pStyle w:val="Paragraphedeliste"/>
        <w:numPr>
          <w:ilvl w:val="0"/>
          <w:numId w:val="2"/>
        </w:numPr>
        <w:rPr>
          <w:lang w:val="de-DE"/>
        </w:rPr>
      </w:pPr>
      <w:r>
        <w:rPr>
          <w:rFonts w:cs="Calibri"/>
          <w:sz w:val="22"/>
          <w:lang w:val="de-DE"/>
        </w:rPr>
        <w:t>Unternehmen zur Teilnahme am Programm LEAN and GREEN ermutigen</w:t>
      </w:r>
    </w:p>
    <w:p w:rsidR="000B433A" w:rsidRPr="00D07F58" w:rsidRDefault="000B433A" w:rsidP="00BB2050">
      <w:pPr>
        <w:pStyle w:val="Paragraphedeliste"/>
        <w:numPr>
          <w:ilvl w:val="0"/>
          <w:numId w:val="2"/>
        </w:numPr>
        <w:rPr>
          <w:lang w:val="de-DE"/>
        </w:rPr>
      </w:pPr>
      <w:r>
        <w:rPr>
          <w:rFonts w:cs="Calibri"/>
          <w:sz w:val="22"/>
          <w:lang w:val="de-DE"/>
        </w:rPr>
        <w:t>Die Logistik bei der Abfallsammlung optimieren</w:t>
      </w:r>
    </w:p>
    <w:p w:rsidR="000B433A" w:rsidRPr="00D07F58" w:rsidRDefault="000B433A" w:rsidP="00BB2050">
      <w:pPr>
        <w:pStyle w:val="Paragraphedeliste"/>
        <w:numPr>
          <w:ilvl w:val="0"/>
          <w:numId w:val="2"/>
        </w:numPr>
        <w:rPr>
          <w:lang w:val="de-DE"/>
        </w:rPr>
      </w:pPr>
      <w:r>
        <w:rPr>
          <w:rFonts w:cs="Calibri"/>
          <w:sz w:val="22"/>
          <w:lang w:val="de-DE"/>
        </w:rPr>
        <w:t>Alternativen zum Gütertransport auf der Straße fördern</w:t>
      </w:r>
    </w:p>
    <w:p w:rsidR="000B433A" w:rsidRDefault="000B433A" w:rsidP="00BB2050">
      <w:pPr>
        <w:pStyle w:val="Paragraphedeliste"/>
        <w:numPr>
          <w:ilvl w:val="0"/>
          <w:numId w:val="2"/>
        </w:numPr>
      </w:pPr>
      <w:r>
        <w:rPr>
          <w:rFonts w:cs="Calibri"/>
          <w:sz w:val="22"/>
          <w:lang w:val="de-DE"/>
        </w:rPr>
        <w:t>Ein Kilometergebührensystem für Lastkraftwagen einführen</w:t>
      </w:r>
    </w:p>
    <w:p w:rsidR="000B433A" w:rsidRPr="005F5D9D" w:rsidRDefault="000B433A" w:rsidP="00842711">
      <w:pPr>
        <w:rPr>
          <w:rFonts w:cs="Calibri"/>
          <w:b/>
          <w:szCs w:val="24"/>
          <w:lang w:val="de-DE"/>
        </w:rPr>
      </w:pPr>
    </w:p>
    <w:p w:rsidR="000B433A" w:rsidRPr="005F5D9D" w:rsidRDefault="000B433A" w:rsidP="00842711">
      <w:pPr>
        <w:rPr>
          <w:rFonts w:cs="Calibri"/>
          <w:b/>
          <w:szCs w:val="24"/>
          <w:lang w:val="de-DE"/>
        </w:rPr>
      </w:pPr>
      <w:r>
        <w:rPr>
          <w:rFonts w:cs="Calibri"/>
          <w:b/>
          <w:lang w:val="de-DE"/>
        </w:rPr>
        <w:t xml:space="preserve">„Landwirtschafts“-Maßnahmen </w:t>
      </w:r>
    </w:p>
    <w:p w:rsidR="000B433A" w:rsidRDefault="000B433A" w:rsidP="00BB2050">
      <w:pPr>
        <w:pStyle w:val="Paragraphedeliste"/>
        <w:numPr>
          <w:ilvl w:val="0"/>
          <w:numId w:val="2"/>
        </w:numPr>
      </w:pPr>
      <w:r>
        <w:rPr>
          <w:rFonts w:cs="Calibri"/>
          <w:sz w:val="22"/>
          <w:lang w:val="de-DE"/>
        </w:rPr>
        <w:t xml:space="preserve">Die Stickstoffeinträge verringern  </w:t>
      </w:r>
    </w:p>
    <w:p w:rsidR="000B433A" w:rsidRDefault="000B433A" w:rsidP="00BB2050">
      <w:pPr>
        <w:pStyle w:val="Paragraphedeliste"/>
        <w:numPr>
          <w:ilvl w:val="0"/>
          <w:numId w:val="2"/>
        </w:numPr>
      </w:pPr>
      <w:r>
        <w:rPr>
          <w:rFonts w:cs="Calibri"/>
          <w:sz w:val="22"/>
          <w:lang w:val="de-DE"/>
        </w:rPr>
        <w:t>Den Einsatz von Pestiziden reduzieren</w:t>
      </w:r>
    </w:p>
    <w:p w:rsidR="000B433A" w:rsidRPr="00D07F58" w:rsidRDefault="000B433A" w:rsidP="00BB2050">
      <w:pPr>
        <w:pStyle w:val="Paragraphedeliste"/>
        <w:numPr>
          <w:ilvl w:val="0"/>
          <w:numId w:val="2"/>
        </w:numPr>
        <w:rPr>
          <w:lang w:val="de-DE"/>
        </w:rPr>
      </w:pPr>
      <w:r>
        <w:rPr>
          <w:rFonts w:cs="Calibri"/>
          <w:sz w:val="22"/>
          <w:lang w:val="de-DE"/>
        </w:rPr>
        <w:t xml:space="preserve">Die Bedingungen und die Infrastrukturen für die Lagerung von Dung verbessern </w:t>
      </w:r>
    </w:p>
    <w:p w:rsidR="000B433A" w:rsidRPr="00D07F58" w:rsidRDefault="000B433A" w:rsidP="00BB2050">
      <w:pPr>
        <w:pStyle w:val="Paragraphedeliste"/>
        <w:numPr>
          <w:ilvl w:val="0"/>
          <w:numId w:val="2"/>
        </w:numPr>
        <w:rPr>
          <w:lang w:val="de-DE"/>
        </w:rPr>
      </w:pPr>
      <w:r>
        <w:rPr>
          <w:rFonts w:cs="Calibri"/>
          <w:sz w:val="22"/>
          <w:lang w:val="de-DE"/>
        </w:rPr>
        <w:t xml:space="preserve">Die Entwicklung des Zweigs fester Biomasse im landwirtschaftlichen Sektor fördern und begleiten </w:t>
      </w:r>
    </w:p>
    <w:p w:rsidR="000B433A" w:rsidRPr="00D07F58" w:rsidRDefault="000B433A" w:rsidP="00BB2050">
      <w:pPr>
        <w:pStyle w:val="Paragraphedeliste"/>
        <w:numPr>
          <w:ilvl w:val="0"/>
          <w:numId w:val="2"/>
        </w:numPr>
        <w:rPr>
          <w:lang w:val="de-DE"/>
        </w:rPr>
      </w:pPr>
      <w:r>
        <w:rPr>
          <w:rFonts w:cs="Calibri"/>
          <w:sz w:val="22"/>
          <w:lang w:val="de-DE"/>
        </w:rPr>
        <w:t xml:space="preserve">Die Entwicklung der Biogaserzeugung im landwirtschaftlichen Sektor fördern und begleiten </w:t>
      </w:r>
    </w:p>
    <w:p w:rsidR="000B433A" w:rsidRPr="00D07F58" w:rsidRDefault="000B433A" w:rsidP="00BB2050">
      <w:pPr>
        <w:pStyle w:val="Paragraphedeliste"/>
        <w:numPr>
          <w:ilvl w:val="0"/>
          <w:numId w:val="2"/>
        </w:numPr>
        <w:rPr>
          <w:lang w:val="de-DE"/>
        </w:rPr>
      </w:pPr>
      <w:r>
        <w:rPr>
          <w:rFonts w:cs="Calibri"/>
          <w:sz w:val="22"/>
          <w:lang w:val="de-DE"/>
        </w:rPr>
        <w:t>Die neuen, durch die Gemeinsame Agrarpolitik vorgeschriebenen Vorschriften umsetzen</w:t>
      </w:r>
    </w:p>
    <w:p w:rsidR="000B433A" w:rsidRDefault="000B433A" w:rsidP="00BB2050">
      <w:pPr>
        <w:pStyle w:val="Paragraphedeliste"/>
        <w:numPr>
          <w:ilvl w:val="0"/>
          <w:numId w:val="2"/>
        </w:numPr>
      </w:pPr>
      <w:r>
        <w:rPr>
          <w:rFonts w:cs="Calibri"/>
          <w:sz w:val="22"/>
          <w:lang w:val="de-DE"/>
        </w:rPr>
        <w:t>Die vorhandenen Kohlenstoffspeicher aufrechterhalten</w:t>
      </w:r>
    </w:p>
    <w:p w:rsidR="000B433A" w:rsidRPr="00D07F58" w:rsidRDefault="000B433A" w:rsidP="00BB2050">
      <w:pPr>
        <w:pStyle w:val="Paragraphedeliste"/>
        <w:numPr>
          <w:ilvl w:val="0"/>
          <w:numId w:val="2"/>
        </w:numPr>
        <w:rPr>
          <w:lang w:val="de-DE"/>
        </w:rPr>
      </w:pPr>
      <w:r>
        <w:rPr>
          <w:rFonts w:cs="Calibri"/>
          <w:sz w:val="22"/>
          <w:lang w:val="de-DE"/>
        </w:rPr>
        <w:t>Die wallonischen Wälder so bewirtschaften, dass ihre Anpassung an die Klimaänderung begünstigt wird</w:t>
      </w:r>
    </w:p>
    <w:p w:rsidR="000B433A" w:rsidRPr="00D07F58" w:rsidRDefault="000B433A" w:rsidP="00BB2050">
      <w:pPr>
        <w:pStyle w:val="Paragraphedeliste"/>
        <w:numPr>
          <w:ilvl w:val="0"/>
          <w:numId w:val="2"/>
        </w:numPr>
        <w:rPr>
          <w:lang w:val="de-DE"/>
        </w:rPr>
      </w:pPr>
      <w:r>
        <w:rPr>
          <w:rFonts w:cs="Calibri"/>
          <w:sz w:val="22"/>
          <w:lang w:val="de-DE"/>
        </w:rPr>
        <w:t>Lokale Produktionen und kurze Vertriebswege fördern</w:t>
      </w:r>
    </w:p>
    <w:p w:rsidR="000B433A" w:rsidRPr="00D07F58" w:rsidRDefault="000B433A" w:rsidP="00BB2050">
      <w:pPr>
        <w:pStyle w:val="Paragraphedeliste"/>
        <w:numPr>
          <w:ilvl w:val="0"/>
          <w:numId w:val="2"/>
        </w:numPr>
        <w:rPr>
          <w:lang w:val="de-DE"/>
        </w:rPr>
      </w:pPr>
      <w:r>
        <w:rPr>
          <w:rFonts w:cs="Calibri"/>
          <w:sz w:val="22"/>
          <w:lang w:val="de-DE"/>
        </w:rPr>
        <w:t>Ein Instrument zur Aufstellung der Kohlenstoffbilanz der landwirtschaftlichen Betriebe entwickeln</w:t>
      </w:r>
    </w:p>
    <w:p w:rsidR="000B433A" w:rsidRPr="005F5D9D" w:rsidRDefault="000B433A" w:rsidP="00842711">
      <w:pPr>
        <w:rPr>
          <w:rFonts w:cs="Calibri"/>
          <w:b/>
          <w:szCs w:val="24"/>
          <w:lang w:val="de-DE"/>
        </w:rPr>
      </w:pPr>
      <w:r>
        <w:rPr>
          <w:rFonts w:cs="Calibri"/>
          <w:b/>
          <w:lang w:val="de-DE"/>
        </w:rPr>
        <w:t>„F-Gas“-Maßnahmen</w:t>
      </w:r>
    </w:p>
    <w:p w:rsidR="000B433A" w:rsidRPr="00D07F58" w:rsidRDefault="000B433A" w:rsidP="00BB2050">
      <w:pPr>
        <w:pStyle w:val="Paragraphedeliste"/>
        <w:numPr>
          <w:ilvl w:val="0"/>
          <w:numId w:val="2"/>
        </w:numPr>
        <w:rPr>
          <w:lang w:val="de-DE"/>
        </w:rPr>
      </w:pPr>
      <w:r>
        <w:rPr>
          <w:rFonts w:cs="Calibri"/>
          <w:sz w:val="22"/>
          <w:lang w:val="de-DE"/>
        </w:rPr>
        <w:t>Die Akteure des Sektors zur Verwendung von Kühlsystemen schulen und informieren</w:t>
      </w:r>
    </w:p>
    <w:p w:rsidR="000B433A" w:rsidRPr="00D07F58" w:rsidRDefault="000B433A" w:rsidP="00BB2050">
      <w:pPr>
        <w:pStyle w:val="Paragraphedeliste"/>
        <w:numPr>
          <w:ilvl w:val="0"/>
          <w:numId w:val="2"/>
        </w:numPr>
        <w:rPr>
          <w:lang w:val="de-DE"/>
        </w:rPr>
      </w:pPr>
      <w:r>
        <w:rPr>
          <w:rFonts w:cs="Calibri"/>
          <w:sz w:val="22"/>
          <w:lang w:val="de-DE"/>
        </w:rPr>
        <w:t>Die Schaffung einer sektoralen Vereinbarung mit bezifferten Reduktionszielen einleiten</w:t>
      </w:r>
    </w:p>
    <w:p w:rsidR="000B433A" w:rsidRPr="00D07F58" w:rsidRDefault="000B433A" w:rsidP="00BB2050">
      <w:pPr>
        <w:pStyle w:val="Paragraphedeliste"/>
        <w:numPr>
          <w:ilvl w:val="0"/>
          <w:numId w:val="2"/>
        </w:numPr>
        <w:rPr>
          <w:lang w:val="de-DE"/>
        </w:rPr>
      </w:pPr>
      <w:r>
        <w:rPr>
          <w:rFonts w:cs="Calibri"/>
          <w:sz w:val="22"/>
          <w:lang w:val="de-DE"/>
        </w:rPr>
        <w:t>Neue technische Lösungen ohne FKW fördern</w:t>
      </w:r>
    </w:p>
    <w:p w:rsidR="000B433A" w:rsidRDefault="000B433A" w:rsidP="00BB2050">
      <w:pPr>
        <w:pStyle w:val="Paragraphedeliste"/>
        <w:numPr>
          <w:ilvl w:val="0"/>
          <w:numId w:val="2"/>
        </w:numPr>
      </w:pPr>
      <w:r>
        <w:rPr>
          <w:rFonts w:cs="Calibri"/>
          <w:sz w:val="22"/>
          <w:lang w:val="de-DE"/>
        </w:rPr>
        <w:t>FKW durch andere Flüssigkühlmittel ersetzen</w:t>
      </w:r>
    </w:p>
    <w:p w:rsidR="000B433A" w:rsidRPr="00D07F58" w:rsidRDefault="000B433A" w:rsidP="00BB2050">
      <w:pPr>
        <w:pStyle w:val="Paragraphedeliste"/>
        <w:numPr>
          <w:ilvl w:val="0"/>
          <w:numId w:val="2"/>
        </w:numPr>
        <w:rPr>
          <w:lang w:val="de-DE"/>
        </w:rPr>
      </w:pPr>
      <w:r>
        <w:rPr>
          <w:rFonts w:cs="Calibri"/>
          <w:sz w:val="22"/>
          <w:lang w:val="de-DE"/>
        </w:rPr>
        <w:t>Das Personal in der Verwendung von Substituten für fluorierte Gase schulen</w:t>
      </w:r>
    </w:p>
    <w:p w:rsidR="000B433A" w:rsidRDefault="000B433A" w:rsidP="00BB2050">
      <w:pPr>
        <w:pStyle w:val="Paragraphedeliste"/>
        <w:numPr>
          <w:ilvl w:val="0"/>
          <w:numId w:val="2"/>
        </w:numPr>
        <w:rPr>
          <w:rFonts w:cs="Calibri"/>
          <w:sz w:val="22"/>
          <w:lang w:val="de-DE"/>
        </w:rPr>
      </w:pPr>
      <w:r>
        <w:rPr>
          <w:rFonts w:cs="Calibri"/>
          <w:sz w:val="22"/>
          <w:lang w:val="de-DE"/>
        </w:rPr>
        <w:t>Das System zur Gewährung von Prämien für die Investition in Kühlausrüstungen überprüfen</w:t>
      </w:r>
    </w:p>
    <w:p w:rsidR="000B433A" w:rsidRDefault="000B433A">
      <w:pPr>
        <w:spacing w:after="200"/>
        <w:jc w:val="left"/>
        <w:rPr>
          <w:rFonts w:cs="Calibri"/>
          <w:sz w:val="22"/>
          <w:lang w:val="de-DE"/>
        </w:rPr>
      </w:pPr>
      <w:r>
        <w:rPr>
          <w:rFonts w:cs="Calibri"/>
          <w:sz w:val="22"/>
          <w:lang w:val="de-DE"/>
        </w:rPr>
        <w:br w:type="page"/>
      </w:r>
    </w:p>
    <w:p w:rsidR="000B433A" w:rsidRPr="003A042B" w:rsidRDefault="000B433A" w:rsidP="000A7B30">
      <w:pPr>
        <w:rPr>
          <w:rFonts w:cs="Calibri"/>
          <w:b/>
          <w:u w:val="single"/>
          <w:lang w:val="de-DE"/>
        </w:rPr>
      </w:pPr>
      <w:r>
        <w:rPr>
          <w:rFonts w:cs="Calibri"/>
          <w:b/>
          <w:u w:val="single"/>
          <w:lang w:val="de-DE"/>
        </w:rPr>
        <w:t>Anhang 2: Grenzwerte, die durch europäische Luftqualitätsrichtlinien für die verschiedenen Luftschadstoffe vorgegeben sind.</w:t>
      </w:r>
    </w:p>
    <w:tbl>
      <w:tblPr>
        <w:tblW w:w="0" w:type="auto"/>
        <w:tblBorders>
          <w:top w:val="single" w:sz="8" w:space="0" w:color="4F81BD"/>
          <w:bottom w:val="single" w:sz="8" w:space="0" w:color="4F81BD"/>
        </w:tblBorders>
        <w:tblLook w:val="00A0"/>
      </w:tblPr>
      <w:tblGrid>
        <w:gridCol w:w="1094"/>
        <w:gridCol w:w="1814"/>
        <w:gridCol w:w="2277"/>
        <w:gridCol w:w="1858"/>
        <w:gridCol w:w="1186"/>
        <w:gridCol w:w="1059"/>
      </w:tblGrid>
      <w:tr w:rsidR="000B433A" w:rsidRPr="005759E4" w:rsidTr="005759E4">
        <w:tc>
          <w:tcPr>
            <w:tcW w:w="1058" w:type="dxa"/>
            <w:tcBorders>
              <w:top w:val="nil"/>
              <w:left w:val="nil"/>
              <w:bottom w:val="single" w:sz="12" w:space="0" w:color="4F81BD"/>
              <w:right w:val="nil"/>
            </w:tcBorders>
          </w:tcPr>
          <w:p w:rsidR="000B433A" w:rsidRPr="005759E4" w:rsidRDefault="000B433A" w:rsidP="005759E4">
            <w:pPr>
              <w:spacing w:line="240" w:lineRule="auto"/>
              <w:rPr>
                <w:b/>
                <w:bCs/>
                <w:color w:val="365F91"/>
                <w:sz w:val="18"/>
                <w:szCs w:val="18"/>
                <w:lang w:val="de-DE" w:eastAsia="fr-BE"/>
              </w:rPr>
            </w:pPr>
            <w:r w:rsidRPr="005759E4">
              <w:rPr>
                <w:b/>
                <w:bCs/>
                <w:color w:val="365F91"/>
                <w:sz w:val="18"/>
                <w:lang w:val="de-DE" w:eastAsia="fr-BE"/>
              </w:rPr>
              <w:t>Schadstoffe</w:t>
            </w:r>
          </w:p>
        </w:tc>
        <w:tc>
          <w:tcPr>
            <w:tcW w:w="1850" w:type="dxa"/>
            <w:tcBorders>
              <w:top w:val="nil"/>
              <w:left w:val="nil"/>
              <w:bottom w:val="single" w:sz="12" w:space="0" w:color="4F81BD"/>
              <w:right w:val="nil"/>
            </w:tcBorders>
          </w:tcPr>
          <w:p w:rsidR="000B433A" w:rsidRPr="005759E4" w:rsidRDefault="000B433A" w:rsidP="005759E4">
            <w:pPr>
              <w:spacing w:line="240" w:lineRule="auto"/>
              <w:rPr>
                <w:b/>
                <w:bCs/>
                <w:color w:val="365F91"/>
                <w:sz w:val="18"/>
                <w:szCs w:val="18"/>
                <w:lang w:val="de-DE" w:eastAsia="fr-BE"/>
              </w:rPr>
            </w:pPr>
            <w:r w:rsidRPr="005759E4">
              <w:rPr>
                <w:b/>
                <w:bCs/>
                <w:color w:val="365F91"/>
                <w:sz w:val="18"/>
                <w:lang w:val="de-DE" w:eastAsia="fr-BE"/>
              </w:rPr>
              <w:t>Durchschnittlicher Zeitraum</w:t>
            </w:r>
          </w:p>
        </w:tc>
        <w:tc>
          <w:tcPr>
            <w:tcW w:w="2348" w:type="dxa"/>
            <w:tcBorders>
              <w:top w:val="nil"/>
              <w:left w:val="nil"/>
              <w:bottom w:val="single" w:sz="12" w:space="0" w:color="4F81BD"/>
              <w:right w:val="nil"/>
            </w:tcBorders>
          </w:tcPr>
          <w:p w:rsidR="000B433A" w:rsidRPr="005759E4" w:rsidRDefault="000B433A" w:rsidP="005759E4">
            <w:pPr>
              <w:spacing w:line="240" w:lineRule="auto"/>
              <w:ind w:right="-6"/>
              <w:rPr>
                <w:b/>
                <w:bCs/>
                <w:color w:val="365F91"/>
                <w:sz w:val="18"/>
                <w:szCs w:val="18"/>
                <w:lang w:val="de-DE" w:eastAsia="fr-BE"/>
              </w:rPr>
            </w:pPr>
            <w:r w:rsidRPr="005759E4">
              <w:rPr>
                <w:b/>
                <w:bCs/>
                <w:color w:val="365F91"/>
                <w:sz w:val="18"/>
                <w:lang w:val="de-DE" w:eastAsia="fr-BE"/>
              </w:rPr>
              <w:t>Konzentrationswerte gemäß bestehenden gesetzlichen Normen</w:t>
            </w:r>
          </w:p>
        </w:tc>
        <w:tc>
          <w:tcPr>
            <w:tcW w:w="1906" w:type="dxa"/>
            <w:tcBorders>
              <w:top w:val="nil"/>
              <w:left w:val="nil"/>
              <w:bottom w:val="single" w:sz="12" w:space="0" w:color="4F81BD"/>
              <w:right w:val="nil"/>
            </w:tcBorders>
          </w:tcPr>
          <w:p w:rsidR="000B433A" w:rsidRPr="005759E4" w:rsidRDefault="000B433A" w:rsidP="005759E4">
            <w:pPr>
              <w:spacing w:line="240" w:lineRule="auto"/>
              <w:rPr>
                <w:b/>
                <w:bCs/>
                <w:color w:val="365F91"/>
                <w:sz w:val="18"/>
                <w:szCs w:val="18"/>
                <w:lang w:val="de-DE" w:eastAsia="fr-BE"/>
              </w:rPr>
            </w:pPr>
            <w:r w:rsidRPr="005759E4">
              <w:rPr>
                <w:b/>
                <w:bCs/>
                <w:color w:val="365F91"/>
                <w:sz w:val="18"/>
                <w:lang w:val="de-DE" w:eastAsia="fr-BE"/>
              </w:rPr>
              <w:t>Maximal zulässige Fälle von Überschreitungen</w:t>
            </w:r>
          </w:p>
        </w:tc>
        <w:tc>
          <w:tcPr>
            <w:tcW w:w="1125" w:type="dxa"/>
            <w:tcBorders>
              <w:top w:val="nil"/>
              <w:left w:val="nil"/>
              <w:bottom w:val="single" w:sz="12" w:space="0" w:color="4F81BD"/>
              <w:right w:val="nil"/>
            </w:tcBorders>
          </w:tcPr>
          <w:p w:rsidR="000B433A" w:rsidRPr="005759E4" w:rsidRDefault="000B433A" w:rsidP="005759E4">
            <w:pPr>
              <w:spacing w:line="240" w:lineRule="auto"/>
              <w:rPr>
                <w:b/>
                <w:bCs/>
                <w:color w:val="365F91"/>
                <w:sz w:val="18"/>
                <w:szCs w:val="18"/>
                <w:lang w:val="de-DE" w:eastAsia="fr-BE"/>
              </w:rPr>
            </w:pPr>
            <w:r w:rsidRPr="005759E4">
              <w:rPr>
                <w:b/>
                <w:bCs/>
                <w:color w:val="365F91"/>
                <w:sz w:val="18"/>
                <w:lang w:val="de-DE" w:eastAsia="fr-BE"/>
              </w:rPr>
              <w:t>Inkrafttreten der Norm</w:t>
            </w:r>
          </w:p>
        </w:tc>
        <w:tc>
          <w:tcPr>
            <w:tcW w:w="1001" w:type="dxa"/>
            <w:tcBorders>
              <w:top w:val="nil"/>
              <w:left w:val="nil"/>
              <w:bottom w:val="single" w:sz="12" w:space="0" w:color="4F81BD"/>
              <w:right w:val="nil"/>
            </w:tcBorders>
          </w:tcPr>
          <w:p w:rsidR="000B433A" w:rsidRPr="005759E4" w:rsidRDefault="000B433A" w:rsidP="005759E4">
            <w:pPr>
              <w:spacing w:line="240" w:lineRule="auto"/>
              <w:rPr>
                <w:b/>
                <w:bCs/>
                <w:color w:val="365F91"/>
                <w:sz w:val="18"/>
                <w:szCs w:val="18"/>
                <w:lang w:val="de-DE" w:eastAsia="fr-BE"/>
              </w:rPr>
            </w:pPr>
            <w:r w:rsidRPr="005759E4">
              <w:rPr>
                <w:b/>
                <w:bCs/>
                <w:color w:val="365F91"/>
                <w:sz w:val="18"/>
                <w:lang w:val="de-DE" w:eastAsia="fr-BE"/>
              </w:rPr>
              <w:t>Schutz</w:t>
            </w:r>
          </w:p>
        </w:tc>
      </w:tr>
      <w:tr w:rsidR="000B433A" w:rsidRPr="005759E4" w:rsidTr="005759E4">
        <w:tc>
          <w:tcPr>
            <w:tcW w:w="1058" w:type="dxa"/>
            <w:tcBorders>
              <w:top w:val="single" w:sz="12" w:space="0" w:color="4F81BD"/>
              <w:left w:val="nil"/>
              <w:right w:val="nil"/>
            </w:tcBorders>
            <w:shd w:val="clear" w:color="auto" w:fill="D3DFEE"/>
          </w:tcPr>
          <w:p w:rsidR="000B433A" w:rsidRPr="005759E4" w:rsidRDefault="000B433A" w:rsidP="005759E4">
            <w:pPr>
              <w:spacing w:line="240" w:lineRule="auto"/>
              <w:rPr>
                <w:b/>
                <w:bCs/>
                <w:color w:val="365F91"/>
                <w:lang w:eastAsia="fr-BE"/>
              </w:rPr>
            </w:pPr>
            <w:r w:rsidRPr="005759E4">
              <w:rPr>
                <w:b/>
                <w:bCs/>
                <w:color w:val="365F91"/>
                <w:sz w:val="22"/>
                <w:lang w:eastAsia="fr-BE"/>
              </w:rPr>
              <w:t>SO</w:t>
            </w:r>
            <w:r w:rsidRPr="005759E4">
              <w:rPr>
                <w:b/>
                <w:bCs/>
                <w:color w:val="365F91"/>
                <w:sz w:val="22"/>
                <w:vertAlign w:val="subscript"/>
                <w:lang w:val="de-DE" w:eastAsia="fr-BE"/>
              </w:rPr>
              <w:t>2</w:t>
            </w:r>
          </w:p>
        </w:tc>
        <w:tc>
          <w:tcPr>
            <w:tcW w:w="1850" w:type="dxa"/>
            <w:tcBorders>
              <w:top w:val="single" w:sz="12" w:space="0" w:color="4F81BD"/>
              <w:left w:val="nil"/>
              <w:bottom w:val="nil"/>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1 Stunde</w:t>
            </w:r>
          </w:p>
        </w:tc>
        <w:tc>
          <w:tcPr>
            <w:tcW w:w="2348" w:type="dxa"/>
            <w:tcBorders>
              <w:top w:val="single" w:sz="12" w:space="0" w:color="4F81BD"/>
              <w:left w:val="nil"/>
              <w:bottom w:val="single" w:sz="8" w:space="0" w:color="4F81BD"/>
              <w:right w:val="nil"/>
            </w:tcBorders>
            <w:shd w:val="clear" w:color="auto" w:fill="D3DFEE"/>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Grenzwert: 350 µg/m</w:t>
            </w:r>
            <w:r w:rsidRPr="005759E4">
              <w:rPr>
                <w:color w:val="365F91"/>
                <w:sz w:val="18"/>
                <w:szCs w:val="18"/>
                <w:vertAlign w:val="superscript"/>
                <w:lang w:val="de-DE" w:eastAsia="fr-BE"/>
              </w:rPr>
              <w:t>3</w:t>
            </w:r>
          </w:p>
        </w:tc>
        <w:tc>
          <w:tcPr>
            <w:tcW w:w="1906" w:type="dxa"/>
            <w:tcBorders>
              <w:top w:val="single" w:sz="12" w:space="0" w:color="4F81BD"/>
              <w:left w:val="nil"/>
              <w:bottom w:val="single" w:sz="8" w:space="0" w:color="4F81BD"/>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24 Stunden im Jahr</w:t>
            </w:r>
          </w:p>
        </w:tc>
        <w:tc>
          <w:tcPr>
            <w:tcW w:w="1125" w:type="dxa"/>
            <w:tcBorders>
              <w:top w:val="single" w:sz="12" w:space="0" w:color="4F81BD"/>
              <w:left w:val="nil"/>
              <w:bottom w:val="nil"/>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01.01.2005</w:t>
            </w:r>
          </w:p>
        </w:tc>
        <w:tc>
          <w:tcPr>
            <w:tcW w:w="1001" w:type="dxa"/>
            <w:tcBorders>
              <w:top w:val="single" w:sz="12" w:space="0" w:color="4F81BD"/>
              <w:left w:val="nil"/>
              <w:bottom w:val="nil"/>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Gesundheit</w:t>
            </w:r>
          </w:p>
        </w:tc>
      </w:tr>
      <w:tr w:rsidR="000B433A" w:rsidRPr="00D90C77" w:rsidTr="005759E4">
        <w:tc>
          <w:tcPr>
            <w:tcW w:w="1058" w:type="dxa"/>
            <w:tcBorders>
              <w:bottom w:val="nil"/>
            </w:tcBorders>
          </w:tcPr>
          <w:p w:rsidR="000B433A" w:rsidRPr="005759E4" w:rsidRDefault="000B433A" w:rsidP="005759E4">
            <w:pPr>
              <w:spacing w:line="240" w:lineRule="auto"/>
              <w:rPr>
                <w:b/>
                <w:bCs/>
                <w:color w:val="365F91"/>
                <w:lang w:eastAsia="fr-BE"/>
              </w:rPr>
            </w:pPr>
          </w:p>
        </w:tc>
        <w:tc>
          <w:tcPr>
            <w:tcW w:w="1850" w:type="dxa"/>
            <w:tcBorders>
              <w:top w:val="nil"/>
              <w:bottom w:val="single" w:sz="8" w:space="0" w:color="4F81BD"/>
            </w:tcBorders>
          </w:tcPr>
          <w:p w:rsidR="000B433A" w:rsidRPr="005759E4" w:rsidRDefault="000B433A" w:rsidP="005759E4">
            <w:pPr>
              <w:spacing w:line="240" w:lineRule="auto"/>
              <w:rPr>
                <w:color w:val="365F91"/>
                <w:sz w:val="18"/>
                <w:szCs w:val="18"/>
                <w:lang w:val="de-DE" w:eastAsia="fr-BE"/>
              </w:rPr>
            </w:pPr>
          </w:p>
        </w:tc>
        <w:tc>
          <w:tcPr>
            <w:tcW w:w="2348" w:type="dxa"/>
            <w:tcBorders>
              <w:top w:val="single" w:sz="8" w:space="0" w:color="4F81BD"/>
              <w:bottom w:val="single" w:sz="8" w:space="0" w:color="4F81BD"/>
            </w:tcBorders>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Alarmschwelle: 500 µg/m</w:t>
            </w:r>
            <w:r w:rsidRPr="005759E4">
              <w:rPr>
                <w:color w:val="365F91"/>
                <w:sz w:val="18"/>
                <w:szCs w:val="18"/>
                <w:vertAlign w:val="superscript"/>
                <w:lang w:val="de-DE" w:eastAsia="fr-BE"/>
              </w:rPr>
              <w:t>3</w:t>
            </w:r>
            <w:r w:rsidRPr="005759E4">
              <w:rPr>
                <w:color w:val="365F91"/>
                <w:sz w:val="18"/>
                <w:lang w:val="de-DE" w:eastAsia="fr-BE"/>
              </w:rPr>
              <w:t xml:space="preserve"> gemessen über 3 aufeinander folgende Stunden</w:t>
            </w:r>
          </w:p>
        </w:tc>
        <w:tc>
          <w:tcPr>
            <w:tcW w:w="1906" w:type="dxa"/>
            <w:tcBorders>
              <w:top w:val="single" w:sz="8" w:space="0" w:color="4F81BD"/>
              <w:bottom w:val="single" w:sz="8" w:space="0" w:color="4F81BD"/>
            </w:tcBorders>
          </w:tcPr>
          <w:p w:rsidR="000B433A" w:rsidRPr="005759E4" w:rsidRDefault="000B433A" w:rsidP="005759E4">
            <w:pPr>
              <w:spacing w:line="240" w:lineRule="auto"/>
              <w:rPr>
                <w:color w:val="365F91"/>
                <w:sz w:val="18"/>
                <w:szCs w:val="18"/>
                <w:lang w:val="de-DE" w:eastAsia="fr-BE"/>
              </w:rPr>
            </w:pPr>
          </w:p>
        </w:tc>
        <w:tc>
          <w:tcPr>
            <w:tcW w:w="1125" w:type="dxa"/>
            <w:tcBorders>
              <w:top w:val="nil"/>
              <w:bottom w:val="nil"/>
            </w:tcBorders>
          </w:tcPr>
          <w:p w:rsidR="000B433A" w:rsidRPr="005759E4" w:rsidRDefault="000B433A" w:rsidP="005759E4">
            <w:pPr>
              <w:spacing w:line="240" w:lineRule="auto"/>
              <w:rPr>
                <w:color w:val="365F91"/>
                <w:sz w:val="18"/>
                <w:szCs w:val="18"/>
                <w:lang w:val="de-DE" w:eastAsia="fr-BE"/>
              </w:rPr>
            </w:pPr>
          </w:p>
        </w:tc>
        <w:tc>
          <w:tcPr>
            <w:tcW w:w="1001" w:type="dxa"/>
            <w:tcBorders>
              <w:top w:val="nil"/>
              <w:bottom w:val="nil"/>
            </w:tcBorders>
          </w:tcPr>
          <w:p w:rsidR="000B433A" w:rsidRPr="005759E4" w:rsidRDefault="000B433A" w:rsidP="005759E4">
            <w:pPr>
              <w:spacing w:line="240" w:lineRule="auto"/>
              <w:rPr>
                <w:color w:val="365F91"/>
                <w:sz w:val="18"/>
                <w:szCs w:val="18"/>
                <w:lang w:val="de-DE" w:eastAsia="fr-BE"/>
              </w:rPr>
            </w:pPr>
          </w:p>
        </w:tc>
      </w:tr>
      <w:tr w:rsidR="000B433A" w:rsidRPr="005759E4" w:rsidTr="005759E4">
        <w:tc>
          <w:tcPr>
            <w:tcW w:w="1058" w:type="dxa"/>
            <w:tcBorders>
              <w:top w:val="nil"/>
              <w:left w:val="nil"/>
              <w:bottom w:val="nil"/>
              <w:right w:val="nil"/>
            </w:tcBorders>
            <w:shd w:val="clear" w:color="auto" w:fill="D3DFEE"/>
          </w:tcPr>
          <w:p w:rsidR="000B433A" w:rsidRPr="00D07F58" w:rsidRDefault="000B433A" w:rsidP="005759E4">
            <w:pPr>
              <w:spacing w:line="240" w:lineRule="auto"/>
              <w:rPr>
                <w:b/>
                <w:bCs/>
                <w:color w:val="365F91"/>
                <w:lang w:val="de-DE" w:eastAsia="fr-BE"/>
              </w:rPr>
            </w:pPr>
          </w:p>
        </w:tc>
        <w:tc>
          <w:tcPr>
            <w:tcW w:w="1850" w:type="dxa"/>
            <w:tcBorders>
              <w:top w:val="single" w:sz="8" w:space="0" w:color="4F81BD"/>
              <w:left w:val="nil"/>
              <w:bottom w:val="single" w:sz="8" w:space="0" w:color="4F81BD"/>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24 Stunden</w:t>
            </w:r>
          </w:p>
        </w:tc>
        <w:tc>
          <w:tcPr>
            <w:tcW w:w="2348" w:type="dxa"/>
            <w:tcBorders>
              <w:top w:val="single" w:sz="8" w:space="0" w:color="4F81BD"/>
              <w:left w:val="nil"/>
              <w:bottom w:val="single" w:sz="8" w:space="0" w:color="4F81BD"/>
              <w:right w:val="nil"/>
            </w:tcBorders>
            <w:shd w:val="clear" w:color="auto" w:fill="D3DFEE"/>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Grenzwert: 125 µg/m</w:t>
            </w:r>
            <w:r w:rsidRPr="005759E4">
              <w:rPr>
                <w:color w:val="365F91"/>
                <w:sz w:val="18"/>
                <w:szCs w:val="18"/>
                <w:vertAlign w:val="superscript"/>
                <w:lang w:val="de-DE" w:eastAsia="fr-BE"/>
              </w:rPr>
              <w:t>3</w:t>
            </w:r>
          </w:p>
        </w:tc>
        <w:tc>
          <w:tcPr>
            <w:tcW w:w="1906" w:type="dxa"/>
            <w:tcBorders>
              <w:top w:val="single" w:sz="8" w:space="0" w:color="4F81BD"/>
              <w:left w:val="nil"/>
              <w:bottom w:val="single" w:sz="8" w:space="0" w:color="4F81BD"/>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3 Tage im Jahr</w:t>
            </w:r>
          </w:p>
        </w:tc>
        <w:tc>
          <w:tcPr>
            <w:tcW w:w="1125" w:type="dxa"/>
            <w:tcBorders>
              <w:top w:val="nil"/>
              <w:left w:val="nil"/>
              <w:bottom w:val="single" w:sz="8" w:space="0" w:color="4F81BD"/>
              <w:right w:val="nil"/>
            </w:tcBorders>
            <w:shd w:val="clear" w:color="auto" w:fill="D3DFEE"/>
          </w:tcPr>
          <w:p w:rsidR="000B433A" w:rsidRPr="005759E4" w:rsidRDefault="000B433A" w:rsidP="005759E4">
            <w:pPr>
              <w:spacing w:line="240" w:lineRule="auto"/>
              <w:rPr>
                <w:color w:val="365F91"/>
                <w:sz w:val="18"/>
                <w:szCs w:val="18"/>
                <w:lang w:val="de-DE" w:eastAsia="fr-BE"/>
              </w:rPr>
            </w:pPr>
          </w:p>
        </w:tc>
        <w:tc>
          <w:tcPr>
            <w:tcW w:w="1001" w:type="dxa"/>
            <w:tcBorders>
              <w:top w:val="nil"/>
              <w:left w:val="nil"/>
              <w:bottom w:val="single" w:sz="8" w:space="0" w:color="4F81BD"/>
              <w:right w:val="nil"/>
            </w:tcBorders>
            <w:shd w:val="clear" w:color="auto" w:fill="D3DFEE"/>
          </w:tcPr>
          <w:p w:rsidR="000B433A" w:rsidRPr="005759E4" w:rsidRDefault="000B433A" w:rsidP="005759E4">
            <w:pPr>
              <w:spacing w:line="240" w:lineRule="auto"/>
              <w:rPr>
                <w:color w:val="365F91"/>
                <w:sz w:val="18"/>
                <w:szCs w:val="18"/>
                <w:lang w:val="de-DE" w:eastAsia="fr-BE"/>
              </w:rPr>
            </w:pPr>
          </w:p>
        </w:tc>
      </w:tr>
      <w:tr w:rsidR="000B433A" w:rsidRPr="005759E4" w:rsidTr="005759E4">
        <w:tc>
          <w:tcPr>
            <w:tcW w:w="1058" w:type="dxa"/>
            <w:tcBorders>
              <w:top w:val="nil"/>
              <w:bottom w:val="nil"/>
            </w:tcBorders>
          </w:tcPr>
          <w:p w:rsidR="000B433A" w:rsidRPr="005759E4" w:rsidRDefault="000B433A" w:rsidP="005759E4">
            <w:pPr>
              <w:spacing w:line="240" w:lineRule="auto"/>
              <w:rPr>
                <w:b/>
                <w:bCs/>
                <w:color w:val="365F91"/>
                <w:lang w:eastAsia="fr-BE"/>
              </w:rPr>
            </w:pPr>
          </w:p>
        </w:tc>
        <w:tc>
          <w:tcPr>
            <w:tcW w:w="1850" w:type="dxa"/>
            <w:tcBorders>
              <w:top w:val="single" w:sz="8" w:space="0" w:color="4F81BD"/>
              <w:bottom w:val="single" w:sz="8" w:space="0" w:color="4F81BD"/>
            </w:tcBorders>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1 Jahr</w:t>
            </w:r>
          </w:p>
        </w:tc>
        <w:tc>
          <w:tcPr>
            <w:tcW w:w="2348" w:type="dxa"/>
            <w:tcBorders>
              <w:top w:val="single" w:sz="8" w:space="0" w:color="4F81BD"/>
              <w:bottom w:val="single" w:sz="8" w:space="0" w:color="4F81BD"/>
            </w:tcBorders>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Kritisches Niveau: 20 µg/m</w:t>
            </w:r>
            <w:r w:rsidRPr="005759E4">
              <w:rPr>
                <w:color w:val="365F91"/>
                <w:sz w:val="18"/>
                <w:szCs w:val="18"/>
                <w:vertAlign w:val="superscript"/>
                <w:lang w:val="de-DE" w:eastAsia="fr-BE"/>
              </w:rPr>
              <w:t>3</w:t>
            </w:r>
          </w:p>
        </w:tc>
        <w:tc>
          <w:tcPr>
            <w:tcW w:w="1906" w:type="dxa"/>
            <w:tcBorders>
              <w:top w:val="single" w:sz="8" w:space="0" w:color="4F81BD"/>
              <w:bottom w:val="single" w:sz="8" w:space="0" w:color="4F81BD"/>
            </w:tcBorders>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w:t>
            </w:r>
          </w:p>
        </w:tc>
        <w:tc>
          <w:tcPr>
            <w:tcW w:w="1125" w:type="dxa"/>
            <w:tcBorders>
              <w:top w:val="single" w:sz="8" w:space="0" w:color="4F81BD"/>
              <w:bottom w:val="nil"/>
            </w:tcBorders>
          </w:tcPr>
          <w:p w:rsidR="000B433A" w:rsidRPr="005759E4" w:rsidRDefault="000B433A" w:rsidP="005759E4">
            <w:pPr>
              <w:spacing w:line="240" w:lineRule="auto"/>
              <w:rPr>
                <w:color w:val="365F91"/>
                <w:sz w:val="18"/>
                <w:szCs w:val="18"/>
                <w:lang w:val="de-DE" w:eastAsia="fr-BE"/>
              </w:rPr>
            </w:pPr>
          </w:p>
        </w:tc>
        <w:tc>
          <w:tcPr>
            <w:tcW w:w="1001" w:type="dxa"/>
            <w:tcBorders>
              <w:top w:val="single" w:sz="8" w:space="0" w:color="4F81BD"/>
              <w:bottom w:val="nil"/>
            </w:tcBorders>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Vegetation</w:t>
            </w:r>
          </w:p>
        </w:tc>
      </w:tr>
      <w:tr w:rsidR="000B433A" w:rsidRPr="005759E4" w:rsidTr="005759E4">
        <w:tc>
          <w:tcPr>
            <w:tcW w:w="1058" w:type="dxa"/>
            <w:tcBorders>
              <w:top w:val="nil"/>
              <w:left w:val="nil"/>
              <w:bottom w:val="single" w:sz="8" w:space="0" w:color="4F81BD"/>
              <w:right w:val="nil"/>
            </w:tcBorders>
            <w:shd w:val="clear" w:color="auto" w:fill="DBE5F1"/>
          </w:tcPr>
          <w:p w:rsidR="000B433A" w:rsidRPr="005759E4" w:rsidRDefault="000B433A" w:rsidP="005759E4">
            <w:pPr>
              <w:spacing w:line="240" w:lineRule="auto"/>
              <w:rPr>
                <w:b/>
                <w:bCs/>
                <w:color w:val="365F91"/>
                <w:lang w:eastAsia="fr-BE"/>
              </w:rPr>
            </w:pPr>
          </w:p>
        </w:tc>
        <w:tc>
          <w:tcPr>
            <w:tcW w:w="1850" w:type="dxa"/>
            <w:tcBorders>
              <w:top w:val="single" w:sz="8" w:space="0" w:color="4F81BD"/>
              <w:left w:val="nil"/>
              <w:bottom w:val="single" w:sz="8" w:space="0" w:color="4F81BD"/>
              <w:right w:val="nil"/>
            </w:tcBorders>
            <w:shd w:val="clear" w:color="auto" w:fill="DBE5F1"/>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Vom 01.10. bis 31.03.</w:t>
            </w:r>
          </w:p>
        </w:tc>
        <w:tc>
          <w:tcPr>
            <w:tcW w:w="2348" w:type="dxa"/>
            <w:tcBorders>
              <w:top w:val="single" w:sz="8" w:space="0" w:color="4F81BD"/>
              <w:left w:val="nil"/>
              <w:bottom w:val="single" w:sz="8" w:space="0" w:color="4F81BD"/>
              <w:right w:val="nil"/>
            </w:tcBorders>
            <w:shd w:val="clear" w:color="auto" w:fill="DBE5F1"/>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Kritisches Niveau: 20 µg/m</w:t>
            </w:r>
            <w:r w:rsidRPr="005759E4">
              <w:rPr>
                <w:color w:val="365F91"/>
                <w:sz w:val="18"/>
                <w:szCs w:val="18"/>
                <w:vertAlign w:val="superscript"/>
                <w:lang w:val="de-DE" w:eastAsia="fr-BE"/>
              </w:rPr>
              <w:t>3</w:t>
            </w:r>
          </w:p>
        </w:tc>
        <w:tc>
          <w:tcPr>
            <w:tcW w:w="1906" w:type="dxa"/>
            <w:tcBorders>
              <w:top w:val="single" w:sz="8" w:space="0" w:color="4F81BD"/>
              <w:left w:val="nil"/>
              <w:bottom w:val="single" w:sz="8" w:space="0" w:color="4F81BD"/>
              <w:right w:val="nil"/>
            </w:tcBorders>
            <w:shd w:val="clear" w:color="auto" w:fill="DBE5F1"/>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w:t>
            </w:r>
          </w:p>
        </w:tc>
        <w:tc>
          <w:tcPr>
            <w:tcW w:w="1125" w:type="dxa"/>
            <w:tcBorders>
              <w:top w:val="nil"/>
              <w:left w:val="nil"/>
              <w:bottom w:val="single" w:sz="8" w:space="0" w:color="4F81BD"/>
              <w:right w:val="nil"/>
            </w:tcBorders>
            <w:shd w:val="clear" w:color="auto" w:fill="DBE5F1"/>
          </w:tcPr>
          <w:p w:rsidR="000B433A" w:rsidRPr="005759E4" w:rsidRDefault="000B433A" w:rsidP="005759E4">
            <w:pPr>
              <w:spacing w:line="240" w:lineRule="auto"/>
              <w:rPr>
                <w:color w:val="365F91"/>
                <w:sz w:val="18"/>
                <w:szCs w:val="18"/>
                <w:lang w:val="de-DE" w:eastAsia="fr-BE"/>
              </w:rPr>
            </w:pPr>
          </w:p>
        </w:tc>
        <w:tc>
          <w:tcPr>
            <w:tcW w:w="1001" w:type="dxa"/>
            <w:tcBorders>
              <w:top w:val="nil"/>
              <w:left w:val="nil"/>
              <w:bottom w:val="single" w:sz="8" w:space="0" w:color="4F81BD"/>
              <w:right w:val="nil"/>
            </w:tcBorders>
            <w:shd w:val="clear" w:color="auto" w:fill="DBE5F1"/>
          </w:tcPr>
          <w:p w:rsidR="000B433A" w:rsidRPr="005759E4" w:rsidRDefault="000B433A" w:rsidP="005759E4">
            <w:pPr>
              <w:spacing w:line="240" w:lineRule="auto"/>
              <w:rPr>
                <w:color w:val="365F91"/>
                <w:sz w:val="18"/>
                <w:szCs w:val="18"/>
                <w:lang w:val="de-DE" w:eastAsia="fr-BE"/>
              </w:rPr>
            </w:pPr>
          </w:p>
        </w:tc>
      </w:tr>
      <w:tr w:rsidR="000B433A" w:rsidRPr="005759E4" w:rsidTr="005759E4">
        <w:tc>
          <w:tcPr>
            <w:tcW w:w="1058" w:type="dxa"/>
            <w:tcBorders>
              <w:top w:val="single" w:sz="8" w:space="0" w:color="4F81BD"/>
            </w:tcBorders>
          </w:tcPr>
          <w:p w:rsidR="000B433A" w:rsidRPr="005759E4" w:rsidRDefault="000B433A" w:rsidP="005759E4">
            <w:pPr>
              <w:spacing w:line="240" w:lineRule="auto"/>
              <w:rPr>
                <w:b/>
                <w:bCs/>
                <w:color w:val="365F91"/>
                <w:lang w:eastAsia="fr-BE"/>
              </w:rPr>
            </w:pPr>
            <w:r w:rsidRPr="005759E4">
              <w:rPr>
                <w:b/>
                <w:bCs/>
                <w:color w:val="365F91"/>
                <w:sz w:val="22"/>
                <w:lang w:eastAsia="fr-BE"/>
              </w:rPr>
              <w:t>NO</w:t>
            </w:r>
            <w:r w:rsidRPr="005759E4">
              <w:rPr>
                <w:b/>
                <w:bCs/>
                <w:color w:val="365F91"/>
                <w:sz w:val="22"/>
                <w:vertAlign w:val="subscript"/>
                <w:lang w:val="de-DE" w:eastAsia="fr-BE"/>
              </w:rPr>
              <w:t>2</w:t>
            </w:r>
          </w:p>
        </w:tc>
        <w:tc>
          <w:tcPr>
            <w:tcW w:w="1850" w:type="dxa"/>
            <w:tcBorders>
              <w:top w:val="single" w:sz="8" w:space="0" w:color="4F81BD"/>
              <w:bottom w:val="single" w:sz="8" w:space="0" w:color="4F81BD"/>
            </w:tcBorders>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1 Stunde</w:t>
            </w:r>
          </w:p>
        </w:tc>
        <w:tc>
          <w:tcPr>
            <w:tcW w:w="2348" w:type="dxa"/>
            <w:tcBorders>
              <w:top w:val="single" w:sz="8" w:space="0" w:color="4F81BD"/>
              <w:bottom w:val="single" w:sz="8" w:space="0" w:color="4F81BD"/>
            </w:tcBorders>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Grenzwert: 200 µg/m</w:t>
            </w:r>
            <w:r w:rsidRPr="005759E4">
              <w:rPr>
                <w:color w:val="365F91"/>
                <w:sz w:val="18"/>
                <w:szCs w:val="18"/>
                <w:vertAlign w:val="superscript"/>
                <w:lang w:val="de-DE" w:eastAsia="fr-BE"/>
              </w:rPr>
              <w:t>3</w:t>
            </w:r>
          </w:p>
        </w:tc>
        <w:tc>
          <w:tcPr>
            <w:tcW w:w="1906" w:type="dxa"/>
            <w:tcBorders>
              <w:top w:val="single" w:sz="8" w:space="0" w:color="4F81BD"/>
              <w:bottom w:val="single" w:sz="8" w:space="0" w:color="4F81BD"/>
            </w:tcBorders>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18 Stunden im Jahr</w:t>
            </w:r>
          </w:p>
        </w:tc>
        <w:tc>
          <w:tcPr>
            <w:tcW w:w="1125" w:type="dxa"/>
            <w:tcBorders>
              <w:top w:val="single" w:sz="8" w:space="0" w:color="4F81BD"/>
            </w:tcBorders>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01.01.2010</w:t>
            </w:r>
          </w:p>
        </w:tc>
        <w:tc>
          <w:tcPr>
            <w:tcW w:w="1001" w:type="dxa"/>
            <w:tcBorders>
              <w:top w:val="single" w:sz="8" w:space="0" w:color="4F81BD"/>
            </w:tcBorders>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Gesundheit</w:t>
            </w:r>
          </w:p>
        </w:tc>
      </w:tr>
      <w:tr w:rsidR="000B433A" w:rsidRPr="00D90C77" w:rsidTr="005759E4">
        <w:tc>
          <w:tcPr>
            <w:tcW w:w="1058" w:type="dxa"/>
            <w:tcBorders>
              <w:left w:val="nil"/>
              <w:bottom w:val="nil"/>
              <w:right w:val="nil"/>
            </w:tcBorders>
            <w:shd w:val="clear" w:color="auto" w:fill="D3DFEE"/>
          </w:tcPr>
          <w:p w:rsidR="000B433A" w:rsidRPr="005759E4" w:rsidRDefault="000B433A" w:rsidP="005759E4">
            <w:pPr>
              <w:spacing w:line="240" w:lineRule="auto"/>
              <w:rPr>
                <w:b/>
                <w:bCs/>
                <w:color w:val="365F91"/>
                <w:lang w:eastAsia="fr-BE"/>
              </w:rPr>
            </w:pPr>
          </w:p>
        </w:tc>
        <w:tc>
          <w:tcPr>
            <w:tcW w:w="1850" w:type="dxa"/>
            <w:tcBorders>
              <w:top w:val="single" w:sz="8" w:space="0" w:color="4F81BD"/>
              <w:left w:val="nil"/>
              <w:bottom w:val="single" w:sz="8" w:space="0" w:color="4F81BD"/>
              <w:right w:val="nil"/>
            </w:tcBorders>
            <w:shd w:val="clear" w:color="auto" w:fill="D3DFEE"/>
          </w:tcPr>
          <w:p w:rsidR="000B433A" w:rsidRPr="005759E4" w:rsidRDefault="000B433A" w:rsidP="005759E4">
            <w:pPr>
              <w:spacing w:line="240" w:lineRule="auto"/>
              <w:jc w:val="center"/>
              <w:rPr>
                <w:color w:val="365F91"/>
                <w:sz w:val="18"/>
                <w:szCs w:val="18"/>
                <w:lang w:val="de-DE" w:eastAsia="fr-BE"/>
              </w:rPr>
            </w:pPr>
          </w:p>
        </w:tc>
        <w:tc>
          <w:tcPr>
            <w:tcW w:w="2348" w:type="dxa"/>
            <w:tcBorders>
              <w:top w:val="single" w:sz="8" w:space="0" w:color="4F81BD"/>
              <w:left w:val="nil"/>
              <w:bottom w:val="single" w:sz="8" w:space="0" w:color="4F81BD"/>
              <w:right w:val="nil"/>
            </w:tcBorders>
            <w:shd w:val="clear" w:color="auto" w:fill="D3DFEE"/>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Alarmschwelle: 400 µg/m</w:t>
            </w:r>
            <w:r w:rsidRPr="005759E4">
              <w:rPr>
                <w:color w:val="365F91"/>
                <w:sz w:val="18"/>
                <w:szCs w:val="18"/>
                <w:vertAlign w:val="superscript"/>
                <w:lang w:val="de-DE" w:eastAsia="fr-BE"/>
              </w:rPr>
              <w:t>3</w:t>
            </w:r>
            <w:r w:rsidRPr="005759E4">
              <w:rPr>
                <w:color w:val="365F91"/>
                <w:sz w:val="18"/>
                <w:lang w:val="de-DE" w:eastAsia="fr-BE"/>
              </w:rPr>
              <w:t xml:space="preserve"> gemessen über 3 aufeinander folgende Stunden</w:t>
            </w:r>
          </w:p>
        </w:tc>
        <w:tc>
          <w:tcPr>
            <w:tcW w:w="1906" w:type="dxa"/>
            <w:tcBorders>
              <w:top w:val="single" w:sz="8" w:space="0" w:color="4F81BD"/>
              <w:left w:val="nil"/>
              <w:bottom w:val="single" w:sz="8" w:space="0" w:color="4F81BD"/>
              <w:right w:val="nil"/>
            </w:tcBorders>
            <w:shd w:val="clear" w:color="auto" w:fill="D3DFEE"/>
          </w:tcPr>
          <w:p w:rsidR="000B433A" w:rsidRPr="005759E4" w:rsidRDefault="000B433A" w:rsidP="005759E4">
            <w:pPr>
              <w:spacing w:line="240" w:lineRule="auto"/>
              <w:rPr>
                <w:color w:val="365F91"/>
                <w:sz w:val="18"/>
                <w:szCs w:val="18"/>
                <w:lang w:val="de-DE" w:eastAsia="fr-BE"/>
              </w:rPr>
            </w:pPr>
          </w:p>
        </w:tc>
        <w:tc>
          <w:tcPr>
            <w:tcW w:w="1125" w:type="dxa"/>
            <w:tcBorders>
              <w:left w:val="nil"/>
              <w:bottom w:val="nil"/>
              <w:right w:val="nil"/>
            </w:tcBorders>
            <w:shd w:val="clear" w:color="auto" w:fill="D3DFEE"/>
          </w:tcPr>
          <w:p w:rsidR="000B433A" w:rsidRPr="005759E4" w:rsidRDefault="000B433A" w:rsidP="005759E4">
            <w:pPr>
              <w:spacing w:line="240" w:lineRule="auto"/>
              <w:rPr>
                <w:color w:val="365F91"/>
                <w:sz w:val="18"/>
                <w:szCs w:val="18"/>
                <w:lang w:val="de-DE" w:eastAsia="fr-BE"/>
              </w:rPr>
            </w:pPr>
          </w:p>
        </w:tc>
        <w:tc>
          <w:tcPr>
            <w:tcW w:w="1001" w:type="dxa"/>
            <w:tcBorders>
              <w:left w:val="nil"/>
              <w:bottom w:val="nil"/>
              <w:right w:val="nil"/>
            </w:tcBorders>
            <w:shd w:val="clear" w:color="auto" w:fill="D3DFEE"/>
          </w:tcPr>
          <w:p w:rsidR="000B433A" w:rsidRPr="005759E4" w:rsidRDefault="000B433A" w:rsidP="005759E4">
            <w:pPr>
              <w:spacing w:line="240" w:lineRule="auto"/>
              <w:rPr>
                <w:color w:val="365F91"/>
                <w:sz w:val="18"/>
                <w:szCs w:val="18"/>
                <w:lang w:val="de-DE" w:eastAsia="fr-BE"/>
              </w:rPr>
            </w:pPr>
          </w:p>
        </w:tc>
      </w:tr>
      <w:tr w:rsidR="000B433A" w:rsidRPr="005759E4" w:rsidTr="005759E4">
        <w:tc>
          <w:tcPr>
            <w:tcW w:w="1058" w:type="dxa"/>
            <w:tcBorders>
              <w:top w:val="nil"/>
              <w:bottom w:val="single" w:sz="8" w:space="0" w:color="4F81BD"/>
            </w:tcBorders>
          </w:tcPr>
          <w:p w:rsidR="000B433A" w:rsidRPr="00D07F58" w:rsidRDefault="000B433A" w:rsidP="005759E4">
            <w:pPr>
              <w:spacing w:line="240" w:lineRule="auto"/>
              <w:rPr>
                <w:b/>
                <w:bCs/>
                <w:color w:val="365F91"/>
                <w:lang w:val="de-DE" w:eastAsia="fr-BE"/>
              </w:rPr>
            </w:pPr>
          </w:p>
        </w:tc>
        <w:tc>
          <w:tcPr>
            <w:tcW w:w="1850" w:type="dxa"/>
            <w:tcBorders>
              <w:top w:val="single" w:sz="8" w:space="0" w:color="4F81BD"/>
              <w:bottom w:val="single" w:sz="8" w:space="0" w:color="4F81BD"/>
            </w:tcBorders>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1 Jahr</w:t>
            </w:r>
          </w:p>
        </w:tc>
        <w:tc>
          <w:tcPr>
            <w:tcW w:w="2348" w:type="dxa"/>
            <w:tcBorders>
              <w:top w:val="single" w:sz="8" w:space="0" w:color="4F81BD"/>
              <w:bottom w:val="single" w:sz="8" w:space="0" w:color="4F81BD"/>
            </w:tcBorders>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Grenzwert: 40 µg/m</w:t>
            </w:r>
            <w:r w:rsidRPr="005759E4">
              <w:rPr>
                <w:color w:val="365F91"/>
                <w:sz w:val="18"/>
                <w:szCs w:val="18"/>
                <w:vertAlign w:val="superscript"/>
                <w:lang w:val="de-DE" w:eastAsia="fr-BE"/>
              </w:rPr>
              <w:t>3</w:t>
            </w:r>
          </w:p>
        </w:tc>
        <w:tc>
          <w:tcPr>
            <w:tcW w:w="1906" w:type="dxa"/>
            <w:tcBorders>
              <w:top w:val="single" w:sz="8" w:space="0" w:color="4F81BD"/>
              <w:bottom w:val="single" w:sz="8" w:space="0" w:color="4F81BD"/>
            </w:tcBorders>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w:t>
            </w:r>
          </w:p>
        </w:tc>
        <w:tc>
          <w:tcPr>
            <w:tcW w:w="1125" w:type="dxa"/>
            <w:tcBorders>
              <w:top w:val="nil"/>
              <w:bottom w:val="single" w:sz="8" w:space="0" w:color="4F81BD"/>
            </w:tcBorders>
          </w:tcPr>
          <w:p w:rsidR="000B433A" w:rsidRPr="005759E4" w:rsidRDefault="000B433A" w:rsidP="005759E4">
            <w:pPr>
              <w:spacing w:line="240" w:lineRule="auto"/>
              <w:rPr>
                <w:color w:val="365F91"/>
                <w:sz w:val="18"/>
                <w:szCs w:val="18"/>
                <w:lang w:val="de-DE" w:eastAsia="fr-BE"/>
              </w:rPr>
            </w:pPr>
          </w:p>
        </w:tc>
        <w:tc>
          <w:tcPr>
            <w:tcW w:w="1001" w:type="dxa"/>
            <w:tcBorders>
              <w:top w:val="nil"/>
              <w:bottom w:val="single" w:sz="8" w:space="0" w:color="4F81BD"/>
            </w:tcBorders>
          </w:tcPr>
          <w:p w:rsidR="000B433A" w:rsidRPr="005759E4" w:rsidRDefault="000B433A" w:rsidP="005759E4">
            <w:pPr>
              <w:spacing w:line="240" w:lineRule="auto"/>
              <w:rPr>
                <w:color w:val="365F91"/>
                <w:sz w:val="18"/>
                <w:szCs w:val="18"/>
                <w:lang w:val="de-DE" w:eastAsia="fr-BE"/>
              </w:rPr>
            </w:pPr>
          </w:p>
        </w:tc>
      </w:tr>
      <w:tr w:rsidR="000B433A" w:rsidRPr="005759E4" w:rsidTr="005759E4">
        <w:tc>
          <w:tcPr>
            <w:tcW w:w="1058" w:type="dxa"/>
            <w:tcBorders>
              <w:top w:val="single" w:sz="8" w:space="0" w:color="4F81BD"/>
              <w:left w:val="nil"/>
              <w:bottom w:val="single" w:sz="8" w:space="0" w:color="4F81BD"/>
              <w:right w:val="nil"/>
            </w:tcBorders>
            <w:shd w:val="clear" w:color="auto" w:fill="D3DFEE"/>
          </w:tcPr>
          <w:p w:rsidR="000B433A" w:rsidRPr="005759E4" w:rsidRDefault="000B433A" w:rsidP="005759E4">
            <w:pPr>
              <w:spacing w:line="240" w:lineRule="auto"/>
              <w:rPr>
                <w:b/>
                <w:bCs/>
                <w:color w:val="365F91"/>
                <w:lang w:eastAsia="fr-BE"/>
              </w:rPr>
            </w:pPr>
            <w:r w:rsidRPr="005759E4">
              <w:rPr>
                <w:b/>
                <w:bCs/>
                <w:color w:val="365F91"/>
                <w:sz w:val="22"/>
                <w:lang w:eastAsia="fr-BE"/>
              </w:rPr>
              <w:t>NOx</w:t>
            </w:r>
          </w:p>
        </w:tc>
        <w:tc>
          <w:tcPr>
            <w:tcW w:w="1850" w:type="dxa"/>
            <w:tcBorders>
              <w:top w:val="single" w:sz="8" w:space="0" w:color="4F81BD"/>
              <w:left w:val="nil"/>
              <w:bottom w:val="single" w:sz="8" w:space="0" w:color="4F81BD"/>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1 Jahr</w:t>
            </w:r>
          </w:p>
        </w:tc>
        <w:tc>
          <w:tcPr>
            <w:tcW w:w="2348" w:type="dxa"/>
            <w:tcBorders>
              <w:top w:val="single" w:sz="8" w:space="0" w:color="4F81BD"/>
              <w:left w:val="nil"/>
              <w:bottom w:val="single" w:sz="8" w:space="0" w:color="4F81BD"/>
              <w:right w:val="nil"/>
            </w:tcBorders>
            <w:shd w:val="clear" w:color="auto" w:fill="D3DFEE"/>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Kritisches Niveau: 30 µg/m</w:t>
            </w:r>
            <w:r w:rsidRPr="005759E4">
              <w:rPr>
                <w:color w:val="365F91"/>
                <w:sz w:val="18"/>
                <w:szCs w:val="18"/>
                <w:vertAlign w:val="superscript"/>
                <w:lang w:val="de-DE" w:eastAsia="fr-BE"/>
              </w:rPr>
              <w:t>3</w:t>
            </w:r>
          </w:p>
        </w:tc>
        <w:tc>
          <w:tcPr>
            <w:tcW w:w="1906" w:type="dxa"/>
            <w:tcBorders>
              <w:top w:val="single" w:sz="8" w:space="0" w:color="4F81BD"/>
              <w:left w:val="nil"/>
              <w:bottom w:val="single" w:sz="8" w:space="0" w:color="4F81BD"/>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w:t>
            </w:r>
          </w:p>
        </w:tc>
        <w:tc>
          <w:tcPr>
            <w:tcW w:w="1125" w:type="dxa"/>
            <w:tcBorders>
              <w:top w:val="single" w:sz="8" w:space="0" w:color="4F81BD"/>
              <w:left w:val="nil"/>
              <w:bottom w:val="single" w:sz="8" w:space="0" w:color="4F81BD"/>
              <w:right w:val="nil"/>
            </w:tcBorders>
            <w:shd w:val="clear" w:color="auto" w:fill="D3DFEE"/>
          </w:tcPr>
          <w:p w:rsidR="000B433A" w:rsidRPr="005759E4" w:rsidRDefault="000B433A" w:rsidP="005759E4">
            <w:pPr>
              <w:spacing w:line="240" w:lineRule="auto"/>
              <w:rPr>
                <w:color w:val="365F91"/>
                <w:sz w:val="18"/>
                <w:szCs w:val="18"/>
                <w:lang w:val="de-DE" w:eastAsia="fr-BE"/>
              </w:rPr>
            </w:pPr>
          </w:p>
        </w:tc>
        <w:tc>
          <w:tcPr>
            <w:tcW w:w="1001" w:type="dxa"/>
            <w:tcBorders>
              <w:top w:val="single" w:sz="8" w:space="0" w:color="4F81BD"/>
              <w:left w:val="nil"/>
              <w:bottom w:val="single" w:sz="8" w:space="0" w:color="4F81BD"/>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Vegetation</w:t>
            </w:r>
          </w:p>
        </w:tc>
      </w:tr>
      <w:tr w:rsidR="000B433A" w:rsidRPr="005759E4" w:rsidTr="005759E4">
        <w:tc>
          <w:tcPr>
            <w:tcW w:w="1058" w:type="dxa"/>
            <w:tcBorders>
              <w:top w:val="single" w:sz="8" w:space="0" w:color="4F81BD"/>
              <w:bottom w:val="nil"/>
            </w:tcBorders>
          </w:tcPr>
          <w:p w:rsidR="000B433A" w:rsidRPr="005759E4" w:rsidRDefault="000B433A" w:rsidP="005759E4">
            <w:pPr>
              <w:spacing w:line="240" w:lineRule="auto"/>
              <w:rPr>
                <w:b/>
                <w:bCs/>
                <w:color w:val="365F91"/>
                <w:lang w:eastAsia="fr-BE"/>
              </w:rPr>
            </w:pPr>
            <w:r w:rsidRPr="005759E4">
              <w:rPr>
                <w:b/>
                <w:bCs/>
                <w:color w:val="365F91"/>
                <w:sz w:val="22"/>
                <w:lang w:eastAsia="fr-BE"/>
              </w:rPr>
              <w:t>PM</w:t>
            </w:r>
            <w:r w:rsidRPr="005759E4">
              <w:rPr>
                <w:b/>
                <w:bCs/>
                <w:color w:val="365F91"/>
                <w:sz w:val="22"/>
                <w:vertAlign w:val="subscript"/>
                <w:lang w:val="de-DE" w:eastAsia="fr-BE"/>
              </w:rPr>
              <w:t>10</w:t>
            </w:r>
          </w:p>
        </w:tc>
        <w:tc>
          <w:tcPr>
            <w:tcW w:w="1850" w:type="dxa"/>
            <w:tcBorders>
              <w:top w:val="single" w:sz="8" w:space="0" w:color="4F81BD"/>
              <w:bottom w:val="single" w:sz="8" w:space="0" w:color="4F81BD"/>
            </w:tcBorders>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24 Stunden</w:t>
            </w:r>
          </w:p>
        </w:tc>
        <w:tc>
          <w:tcPr>
            <w:tcW w:w="2348" w:type="dxa"/>
            <w:tcBorders>
              <w:top w:val="single" w:sz="8" w:space="0" w:color="4F81BD"/>
              <w:bottom w:val="single" w:sz="8" w:space="0" w:color="4F81BD"/>
            </w:tcBorders>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Grenzwert: 50 µg/m</w:t>
            </w:r>
            <w:r w:rsidRPr="005759E4">
              <w:rPr>
                <w:color w:val="365F91"/>
                <w:sz w:val="18"/>
                <w:szCs w:val="18"/>
                <w:vertAlign w:val="superscript"/>
                <w:lang w:val="de-DE" w:eastAsia="fr-BE"/>
              </w:rPr>
              <w:t>3</w:t>
            </w:r>
          </w:p>
        </w:tc>
        <w:tc>
          <w:tcPr>
            <w:tcW w:w="1906" w:type="dxa"/>
            <w:tcBorders>
              <w:top w:val="single" w:sz="8" w:space="0" w:color="4F81BD"/>
              <w:bottom w:val="single" w:sz="8" w:space="0" w:color="4F81BD"/>
            </w:tcBorders>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35 Tage im Jahr</w:t>
            </w:r>
          </w:p>
        </w:tc>
        <w:tc>
          <w:tcPr>
            <w:tcW w:w="1125" w:type="dxa"/>
            <w:tcBorders>
              <w:top w:val="single" w:sz="8" w:space="0" w:color="4F81BD"/>
              <w:bottom w:val="nil"/>
            </w:tcBorders>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01.01.2005</w:t>
            </w:r>
          </w:p>
        </w:tc>
        <w:tc>
          <w:tcPr>
            <w:tcW w:w="1001" w:type="dxa"/>
            <w:tcBorders>
              <w:top w:val="single" w:sz="8" w:space="0" w:color="4F81BD"/>
              <w:bottom w:val="nil"/>
            </w:tcBorders>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Gesundheit</w:t>
            </w:r>
          </w:p>
        </w:tc>
      </w:tr>
      <w:tr w:rsidR="000B433A" w:rsidRPr="005759E4" w:rsidTr="005759E4">
        <w:tc>
          <w:tcPr>
            <w:tcW w:w="1058" w:type="dxa"/>
            <w:tcBorders>
              <w:top w:val="nil"/>
              <w:left w:val="nil"/>
              <w:bottom w:val="single" w:sz="8" w:space="0" w:color="4F81BD"/>
              <w:right w:val="nil"/>
            </w:tcBorders>
            <w:shd w:val="clear" w:color="auto" w:fill="D3DFEE"/>
          </w:tcPr>
          <w:p w:rsidR="000B433A" w:rsidRPr="005759E4" w:rsidRDefault="000B433A" w:rsidP="005759E4">
            <w:pPr>
              <w:spacing w:line="240" w:lineRule="auto"/>
              <w:rPr>
                <w:b/>
                <w:bCs/>
                <w:color w:val="365F91"/>
                <w:lang w:eastAsia="fr-BE"/>
              </w:rPr>
            </w:pPr>
          </w:p>
        </w:tc>
        <w:tc>
          <w:tcPr>
            <w:tcW w:w="1850" w:type="dxa"/>
            <w:tcBorders>
              <w:top w:val="single" w:sz="8" w:space="0" w:color="4F81BD"/>
              <w:left w:val="nil"/>
              <w:bottom w:val="single" w:sz="8" w:space="0" w:color="4F81BD"/>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 xml:space="preserve">1 Jahr </w:t>
            </w:r>
          </w:p>
        </w:tc>
        <w:tc>
          <w:tcPr>
            <w:tcW w:w="2348" w:type="dxa"/>
            <w:tcBorders>
              <w:top w:val="single" w:sz="8" w:space="0" w:color="4F81BD"/>
              <w:left w:val="nil"/>
              <w:bottom w:val="single" w:sz="8" w:space="0" w:color="4F81BD"/>
              <w:right w:val="nil"/>
            </w:tcBorders>
            <w:shd w:val="clear" w:color="auto" w:fill="D3DFEE"/>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Grenzwert: 40 µg/m</w:t>
            </w:r>
            <w:r w:rsidRPr="005759E4">
              <w:rPr>
                <w:color w:val="365F91"/>
                <w:sz w:val="18"/>
                <w:szCs w:val="18"/>
                <w:vertAlign w:val="superscript"/>
                <w:lang w:val="de-DE" w:eastAsia="fr-BE"/>
              </w:rPr>
              <w:t>3</w:t>
            </w:r>
          </w:p>
        </w:tc>
        <w:tc>
          <w:tcPr>
            <w:tcW w:w="1906" w:type="dxa"/>
            <w:tcBorders>
              <w:top w:val="single" w:sz="8" w:space="0" w:color="4F81BD"/>
              <w:left w:val="nil"/>
              <w:bottom w:val="single" w:sz="8" w:space="0" w:color="4F81BD"/>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w:t>
            </w:r>
          </w:p>
        </w:tc>
        <w:tc>
          <w:tcPr>
            <w:tcW w:w="1125" w:type="dxa"/>
            <w:tcBorders>
              <w:top w:val="nil"/>
              <w:left w:val="nil"/>
              <w:bottom w:val="single" w:sz="8" w:space="0" w:color="4F81BD"/>
              <w:right w:val="nil"/>
            </w:tcBorders>
            <w:shd w:val="clear" w:color="auto" w:fill="D3DFEE"/>
          </w:tcPr>
          <w:p w:rsidR="000B433A" w:rsidRPr="005759E4" w:rsidRDefault="000B433A" w:rsidP="005759E4">
            <w:pPr>
              <w:spacing w:line="240" w:lineRule="auto"/>
              <w:rPr>
                <w:color w:val="365F91"/>
                <w:sz w:val="18"/>
                <w:szCs w:val="18"/>
                <w:lang w:val="de-DE" w:eastAsia="fr-BE"/>
              </w:rPr>
            </w:pPr>
          </w:p>
        </w:tc>
        <w:tc>
          <w:tcPr>
            <w:tcW w:w="1001" w:type="dxa"/>
            <w:tcBorders>
              <w:top w:val="nil"/>
              <w:left w:val="nil"/>
              <w:bottom w:val="single" w:sz="8" w:space="0" w:color="4F81BD"/>
              <w:right w:val="nil"/>
            </w:tcBorders>
            <w:shd w:val="clear" w:color="auto" w:fill="D3DFEE"/>
          </w:tcPr>
          <w:p w:rsidR="000B433A" w:rsidRPr="005759E4" w:rsidRDefault="000B433A" w:rsidP="005759E4">
            <w:pPr>
              <w:spacing w:line="240" w:lineRule="auto"/>
              <w:rPr>
                <w:color w:val="365F91"/>
                <w:sz w:val="18"/>
                <w:szCs w:val="18"/>
                <w:lang w:val="de-DE" w:eastAsia="fr-BE"/>
              </w:rPr>
            </w:pPr>
          </w:p>
        </w:tc>
      </w:tr>
      <w:tr w:rsidR="000B433A" w:rsidRPr="005759E4" w:rsidTr="005759E4">
        <w:tc>
          <w:tcPr>
            <w:tcW w:w="1058" w:type="dxa"/>
            <w:tcBorders>
              <w:top w:val="single" w:sz="8" w:space="0" w:color="4F81BD"/>
              <w:bottom w:val="nil"/>
            </w:tcBorders>
          </w:tcPr>
          <w:p w:rsidR="000B433A" w:rsidRPr="005759E4" w:rsidRDefault="000B433A" w:rsidP="005759E4">
            <w:pPr>
              <w:spacing w:line="240" w:lineRule="auto"/>
              <w:rPr>
                <w:b/>
                <w:bCs/>
                <w:color w:val="365F91"/>
                <w:lang w:eastAsia="fr-BE"/>
              </w:rPr>
            </w:pPr>
            <w:r w:rsidRPr="005759E4">
              <w:rPr>
                <w:b/>
                <w:bCs/>
                <w:color w:val="365F91"/>
                <w:sz w:val="22"/>
                <w:lang w:eastAsia="fr-BE"/>
              </w:rPr>
              <w:t>PM</w:t>
            </w:r>
            <w:r w:rsidRPr="005759E4">
              <w:rPr>
                <w:b/>
                <w:bCs/>
                <w:color w:val="365F91"/>
                <w:sz w:val="22"/>
                <w:vertAlign w:val="subscript"/>
                <w:lang w:val="de-DE" w:eastAsia="fr-BE"/>
              </w:rPr>
              <w:t>2</w:t>
            </w:r>
            <w:proofErr w:type="gramStart"/>
            <w:r w:rsidRPr="005759E4">
              <w:rPr>
                <w:b/>
                <w:bCs/>
                <w:color w:val="365F91"/>
                <w:sz w:val="22"/>
                <w:vertAlign w:val="subscript"/>
                <w:lang w:val="de-DE" w:eastAsia="fr-BE"/>
              </w:rPr>
              <w:t>,5</w:t>
            </w:r>
            <w:proofErr w:type="gramEnd"/>
          </w:p>
        </w:tc>
        <w:tc>
          <w:tcPr>
            <w:tcW w:w="1850" w:type="dxa"/>
            <w:tcBorders>
              <w:top w:val="single" w:sz="8" w:space="0" w:color="4F81BD"/>
              <w:bottom w:val="nil"/>
            </w:tcBorders>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1 Jahr</w:t>
            </w:r>
          </w:p>
        </w:tc>
        <w:tc>
          <w:tcPr>
            <w:tcW w:w="2348" w:type="dxa"/>
            <w:tcBorders>
              <w:top w:val="single" w:sz="8" w:space="0" w:color="4F81BD"/>
              <w:bottom w:val="single" w:sz="8" w:space="0" w:color="4F81BD"/>
            </w:tcBorders>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Grenzwert: 25 µg/m</w:t>
            </w:r>
            <w:r w:rsidRPr="005759E4">
              <w:rPr>
                <w:color w:val="365F91"/>
                <w:sz w:val="18"/>
                <w:szCs w:val="18"/>
                <w:vertAlign w:val="superscript"/>
                <w:lang w:val="de-DE" w:eastAsia="fr-BE"/>
              </w:rPr>
              <w:t>3</w:t>
            </w:r>
          </w:p>
        </w:tc>
        <w:tc>
          <w:tcPr>
            <w:tcW w:w="1906" w:type="dxa"/>
            <w:tcBorders>
              <w:top w:val="single" w:sz="8" w:space="0" w:color="4F81BD"/>
              <w:bottom w:val="single" w:sz="8" w:space="0" w:color="4F81BD"/>
            </w:tcBorders>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w:t>
            </w:r>
          </w:p>
        </w:tc>
        <w:tc>
          <w:tcPr>
            <w:tcW w:w="1125" w:type="dxa"/>
            <w:tcBorders>
              <w:top w:val="single" w:sz="8" w:space="0" w:color="4F81BD"/>
              <w:bottom w:val="single" w:sz="8" w:space="0" w:color="4F81BD"/>
            </w:tcBorders>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01.01.2015</w:t>
            </w:r>
          </w:p>
        </w:tc>
        <w:tc>
          <w:tcPr>
            <w:tcW w:w="1001" w:type="dxa"/>
            <w:tcBorders>
              <w:top w:val="single" w:sz="8" w:space="0" w:color="4F81BD"/>
              <w:bottom w:val="nil"/>
            </w:tcBorders>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Gesundheit</w:t>
            </w:r>
          </w:p>
        </w:tc>
      </w:tr>
      <w:tr w:rsidR="000B433A" w:rsidRPr="005759E4" w:rsidTr="005759E4">
        <w:tc>
          <w:tcPr>
            <w:tcW w:w="1058" w:type="dxa"/>
            <w:tcBorders>
              <w:top w:val="nil"/>
              <w:left w:val="nil"/>
              <w:right w:val="nil"/>
            </w:tcBorders>
            <w:shd w:val="clear" w:color="auto" w:fill="D3DFEE"/>
          </w:tcPr>
          <w:p w:rsidR="000B433A" w:rsidRPr="005759E4" w:rsidRDefault="000B433A" w:rsidP="005759E4">
            <w:pPr>
              <w:spacing w:line="240" w:lineRule="auto"/>
              <w:rPr>
                <w:b/>
                <w:bCs/>
                <w:color w:val="365F91"/>
                <w:lang w:eastAsia="fr-BE"/>
              </w:rPr>
            </w:pPr>
          </w:p>
        </w:tc>
        <w:tc>
          <w:tcPr>
            <w:tcW w:w="1850" w:type="dxa"/>
            <w:tcBorders>
              <w:top w:val="nil"/>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1 Jahr</w:t>
            </w:r>
          </w:p>
        </w:tc>
        <w:tc>
          <w:tcPr>
            <w:tcW w:w="2348" w:type="dxa"/>
            <w:tcBorders>
              <w:top w:val="single" w:sz="8" w:space="0" w:color="4F81BD"/>
              <w:left w:val="nil"/>
              <w:bottom w:val="single" w:sz="8" w:space="0" w:color="4F81BD"/>
              <w:right w:val="nil"/>
            </w:tcBorders>
            <w:shd w:val="clear" w:color="auto" w:fill="D3DFEE"/>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Grenzwert: 20 µg/m3</w:t>
            </w:r>
          </w:p>
        </w:tc>
        <w:tc>
          <w:tcPr>
            <w:tcW w:w="1906" w:type="dxa"/>
            <w:tcBorders>
              <w:top w:val="single" w:sz="8" w:space="0" w:color="4F81BD"/>
              <w:left w:val="nil"/>
              <w:bottom w:val="single" w:sz="8" w:space="0" w:color="4F81BD"/>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w:t>
            </w:r>
          </w:p>
        </w:tc>
        <w:tc>
          <w:tcPr>
            <w:tcW w:w="1125" w:type="dxa"/>
            <w:tcBorders>
              <w:top w:val="single" w:sz="8" w:space="0" w:color="4F81BD"/>
              <w:left w:val="nil"/>
              <w:bottom w:val="single" w:sz="8" w:space="0" w:color="4F81BD"/>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01.01.2020</w:t>
            </w:r>
          </w:p>
        </w:tc>
        <w:tc>
          <w:tcPr>
            <w:tcW w:w="1001" w:type="dxa"/>
            <w:tcBorders>
              <w:top w:val="nil"/>
              <w:left w:val="nil"/>
              <w:bottom w:val="nil"/>
              <w:right w:val="nil"/>
            </w:tcBorders>
            <w:shd w:val="clear" w:color="auto" w:fill="D3DFEE"/>
          </w:tcPr>
          <w:p w:rsidR="000B433A" w:rsidRPr="005759E4" w:rsidRDefault="000B433A" w:rsidP="005759E4">
            <w:pPr>
              <w:spacing w:line="240" w:lineRule="auto"/>
              <w:rPr>
                <w:color w:val="365F91"/>
                <w:sz w:val="18"/>
                <w:szCs w:val="18"/>
                <w:lang w:val="de-DE" w:eastAsia="fr-BE"/>
              </w:rPr>
            </w:pPr>
          </w:p>
        </w:tc>
      </w:tr>
      <w:tr w:rsidR="000B433A" w:rsidRPr="005759E4" w:rsidTr="005759E4">
        <w:tc>
          <w:tcPr>
            <w:tcW w:w="1058" w:type="dxa"/>
            <w:tcBorders>
              <w:bottom w:val="nil"/>
            </w:tcBorders>
          </w:tcPr>
          <w:p w:rsidR="000B433A" w:rsidRPr="005759E4" w:rsidRDefault="000B433A" w:rsidP="005759E4">
            <w:pPr>
              <w:spacing w:line="240" w:lineRule="auto"/>
              <w:rPr>
                <w:b/>
                <w:bCs/>
                <w:color w:val="365F91"/>
                <w:lang w:eastAsia="fr-BE"/>
              </w:rPr>
            </w:pPr>
          </w:p>
        </w:tc>
        <w:tc>
          <w:tcPr>
            <w:tcW w:w="1850" w:type="dxa"/>
            <w:tcBorders>
              <w:bottom w:val="nil"/>
            </w:tcBorders>
          </w:tcPr>
          <w:p w:rsidR="000B433A" w:rsidRPr="005759E4" w:rsidRDefault="000B433A" w:rsidP="005759E4">
            <w:pPr>
              <w:spacing w:line="240" w:lineRule="auto"/>
              <w:rPr>
                <w:color w:val="365F91"/>
                <w:sz w:val="18"/>
                <w:szCs w:val="18"/>
                <w:lang w:val="de-DE" w:eastAsia="fr-BE"/>
              </w:rPr>
            </w:pPr>
          </w:p>
        </w:tc>
        <w:tc>
          <w:tcPr>
            <w:tcW w:w="2348" w:type="dxa"/>
            <w:tcBorders>
              <w:top w:val="single" w:sz="8" w:space="0" w:color="4F81BD"/>
              <w:bottom w:val="single" w:sz="8" w:space="0" w:color="4F81BD"/>
            </w:tcBorders>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Indikator für die durchschnittliche Exposition: 20 µg/m</w:t>
            </w:r>
            <w:r w:rsidRPr="005759E4">
              <w:rPr>
                <w:color w:val="365F91"/>
                <w:sz w:val="18"/>
                <w:szCs w:val="18"/>
                <w:vertAlign w:val="superscript"/>
                <w:lang w:val="de-DE" w:eastAsia="fr-BE"/>
              </w:rPr>
              <w:t>3</w:t>
            </w:r>
          </w:p>
        </w:tc>
        <w:tc>
          <w:tcPr>
            <w:tcW w:w="1906" w:type="dxa"/>
            <w:tcBorders>
              <w:top w:val="single" w:sz="8" w:space="0" w:color="4F81BD"/>
              <w:bottom w:val="single" w:sz="8" w:space="0" w:color="4F81BD"/>
            </w:tcBorders>
          </w:tcPr>
          <w:p w:rsidR="000B433A" w:rsidRPr="005759E4" w:rsidRDefault="000B433A" w:rsidP="005759E4">
            <w:pPr>
              <w:spacing w:line="240" w:lineRule="auto"/>
              <w:rPr>
                <w:color w:val="365F91"/>
                <w:sz w:val="18"/>
                <w:szCs w:val="18"/>
                <w:lang w:val="de-DE" w:eastAsia="fr-BE"/>
              </w:rPr>
            </w:pPr>
          </w:p>
        </w:tc>
        <w:tc>
          <w:tcPr>
            <w:tcW w:w="1125" w:type="dxa"/>
            <w:tcBorders>
              <w:top w:val="single" w:sz="8" w:space="0" w:color="4F81BD"/>
              <w:bottom w:val="single" w:sz="8" w:space="0" w:color="4F81BD"/>
            </w:tcBorders>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01.01.2015</w:t>
            </w:r>
          </w:p>
        </w:tc>
        <w:tc>
          <w:tcPr>
            <w:tcW w:w="1001" w:type="dxa"/>
            <w:tcBorders>
              <w:top w:val="nil"/>
              <w:bottom w:val="nil"/>
            </w:tcBorders>
          </w:tcPr>
          <w:p w:rsidR="000B433A" w:rsidRPr="005759E4" w:rsidRDefault="000B433A" w:rsidP="005759E4">
            <w:pPr>
              <w:spacing w:line="240" w:lineRule="auto"/>
              <w:rPr>
                <w:color w:val="365F91"/>
                <w:sz w:val="18"/>
                <w:szCs w:val="18"/>
                <w:lang w:val="de-DE" w:eastAsia="fr-BE"/>
              </w:rPr>
            </w:pPr>
          </w:p>
        </w:tc>
      </w:tr>
      <w:tr w:rsidR="000B433A" w:rsidRPr="005759E4" w:rsidTr="005759E4">
        <w:tc>
          <w:tcPr>
            <w:tcW w:w="1058" w:type="dxa"/>
            <w:tcBorders>
              <w:top w:val="nil"/>
              <w:left w:val="nil"/>
              <w:bottom w:val="single" w:sz="8" w:space="0" w:color="4F81BD"/>
              <w:right w:val="nil"/>
            </w:tcBorders>
            <w:shd w:val="clear" w:color="auto" w:fill="D3DFEE"/>
          </w:tcPr>
          <w:p w:rsidR="000B433A" w:rsidRPr="005759E4" w:rsidRDefault="000B433A" w:rsidP="005759E4">
            <w:pPr>
              <w:spacing w:line="240" w:lineRule="auto"/>
              <w:rPr>
                <w:b/>
                <w:bCs/>
                <w:color w:val="365F91"/>
                <w:lang w:eastAsia="fr-BE"/>
              </w:rPr>
            </w:pPr>
          </w:p>
        </w:tc>
        <w:tc>
          <w:tcPr>
            <w:tcW w:w="1850" w:type="dxa"/>
            <w:tcBorders>
              <w:top w:val="nil"/>
              <w:left w:val="nil"/>
              <w:bottom w:val="single" w:sz="8" w:space="0" w:color="4F81BD"/>
              <w:right w:val="nil"/>
            </w:tcBorders>
            <w:shd w:val="clear" w:color="auto" w:fill="D3DFEE"/>
          </w:tcPr>
          <w:p w:rsidR="000B433A" w:rsidRPr="005759E4" w:rsidRDefault="000B433A" w:rsidP="005759E4">
            <w:pPr>
              <w:spacing w:line="240" w:lineRule="auto"/>
              <w:rPr>
                <w:color w:val="365F91"/>
                <w:sz w:val="18"/>
                <w:szCs w:val="18"/>
                <w:lang w:val="de-DE" w:eastAsia="fr-BE"/>
              </w:rPr>
            </w:pPr>
          </w:p>
        </w:tc>
        <w:tc>
          <w:tcPr>
            <w:tcW w:w="2348" w:type="dxa"/>
            <w:tcBorders>
              <w:top w:val="single" w:sz="8" w:space="0" w:color="4F81BD"/>
              <w:left w:val="nil"/>
              <w:bottom w:val="single" w:sz="8" w:space="0" w:color="4F81BD"/>
              <w:right w:val="nil"/>
            </w:tcBorders>
            <w:shd w:val="clear" w:color="auto" w:fill="D3DFEE"/>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Expositionsindikator: - 20 % im Vergleich zu einem Index = 15,2 µg/m</w:t>
            </w:r>
            <w:r w:rsidRPr="005759E4">
              <w:rPr>
                <w:color w:val="365F91"/>
                <w:sz w:val="18"/>
                <w:szCs w:val="18"/>
                <w:vertAlign w:val="superscript"/>
                <w:lang w:val="de-DE" w:eastAsia="fr-BE"/>
              </w:rPr>
              <w:t>3</w:t>
            </w:r>
          </w:p>
        </w:tc>
        <w:tc>
          <w:tcPr>
            <w:tcW w:w="1906" w:type="dxa"/>
            <w:tcBorders>
              <w:top w:val="single" w:sz="8" w:space="0" w:color="4F81BD"/>
              <w:left w:val="nil"/>
              <w:bottom w:val="single" w:sz="8" w:space="0" w:color="4F81BD"/>
              <w:right w:val="nil"/>
            </w:tcBorders>
            <w:shd w:val="clear" w:color="auto" w:fill="D3DFEE"/>
          </w:tcPr>
          <w:p w:rsidR="000B433A" w:rsidRPr="005759E4" w:rsidRDefault="000B433A" w:rsidP="005759E4">
            <w:pPr>
              <w:spacing w:line="240" w:lineRule="auto"/>
              <w:rPr>
                <w:color w:val="365F91"/>
                <w:sz w:val="18"/>
                <w:szCs w:val="18"/>
                <w:lang w:val="de-DE" w:eastAsia="fr-BE"/>
              </w:rPr>
            </w:pPr>
          </w:p>
        </w:tc>
        <w:tc>
          <w:tcPr>
            <w:tcW w:w="1125" w:type="dxa"/>
            <w:tcBorders>
              <w:top w:val="single" w:sz="8" w:space="0" w:color="4F81BD"/>
              <w:left w:val="nil"/>
              <w:bottom w:val="single" w:sz="8" w:space="0" w:color="4F81BD"/>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01.01.2020</w:t>
            </w:r>
          </w:p>
        </w:tc>
        <w:tc>
          <w:tcPr>
            <w:tcW w:w="1001" w:type="dxa"/>
            <w:tcBorders>
              <w:top w:val="nil"/>
              <w:left w:val="nil"/>
              <w:bottom w:val="single" w:sz="8" w:space="0" w:color="4F81BD"/>
              <w:right w:val="nil"/>
            </w:tcBorders>
            <w:shd w:val="clear" w:color="auto" w:fill="D3DFEE"/>
          </w:tcPr>
          <w:p w:rsidR="000B433A" w:rsidRPr="005759E4" w:rsidRDefault="000B433A" w:rsidP="005759E4">
            <w:pPr>
              <w:spacing w:line="240" w:lineRule="auto"/>
              <w:rPr>
                <w:color w:val="365F91"/>
                <w:sz w:val="18"/>
                <w:szCs w:val="18"/>
                <w:lang w:val="de-DE" w:eastAsia="fr-BE"/>
              </w:rPr>
            </w:pPr>
          </w:p>
        </w:tc>
      </w:tr>
      <w:tr w:rsidR="000B433A" w:rsidRPr="005759E4" w:rsidTr="005759E4">
        <w:tc>
          <w:tcPr>
            <w:tcW w:w="1058" w:type="dxa"/>
            <w:tcBorders>
              <w:top w:val="single" w:sz="8" w:space="0" w:color="4F81BD"/>
            </w:tcBorders>
          </w:tcPr>
          <w:p w:rsidR="000B433A" w:rsidRPr="005759E4" w:rsidRDefault="000B433A" w:rsidP="005759E4">
            <w:pPr>
              <w:spacing w:line="240" w:lineRule="auto"/>
              <w:rPr>
                <w:b/>
                <w:bCs/>
                <w:color w:val="365F91"/>
                <w:lang w:eastAsia="fr-BE"/>
              </w:rPr>
            </w:pPr>
            <w:r w:rsidRPr="005759E4">
              <w:rPr>
                <w:b/>
                <w:bCs/>
                <w:color w:val="365F91"/>
                <w:sz w:val="22"/>
                <w:lang w:eastAsia="fr-BE"/>
              </w:rPr>
              <w:t>Ozon</w:t>
            </w:r>
          </w:p>
        </w:tc>
        <w:tc>
          <w:tcPr>
            <w:tcW w:w="1850" w:type="dxa"/>
            <w:tcBorders>
              <w:top w:val="single" w:sz="8" w:space="0" w:color="4F81BD"/>
              <w:bottom w:val="single" w:sz="8" w:space="0" w:color="365F91"/>
            </w:tcBorders>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Max. täglicher gleitender Durchschnitt über einen Zeitraum von 8 Std.</w:t>
            </w:r>
          </w:p>
        </w:tc>
        <w:tc>
          <w:tcPr>
            <w:tcW w:w="2348" w:type="dxa"/>
            <w:tcBorders>
              <w:top w:val="single" w:sz="8" w:space="0" w:color="4F81BD"/>
              <w:bottom w:val="single" w:sz="8" w:space="0" w:color="365F91"/>
            </w:tcBorders>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Sollwert: 120 µg/m</w:t>
            </w:r>
            <w:r w:rsidRPr="005759E4">
              <w:rPr>
                <w:color w:val="365F91"/>
                <w:sz w:val="18"/>
                <w:szCs w:val="18"/>
                <w:vertAlign w:val="superscript"/>
                <w:lang w:val="de-DE" w:eastAsia="fr-BE"/>
              </w:rPr>
              <w:t>3</w:t>
            </w:r>
          </w:p>
        </w:tc>
        <w:tc>
          <w:tcPr>
            <w:tcW w:w="1906" w:type="dxa"/>
            <w:tcBorders>
              <w:top w:val="single" w:sz="8" w:space="0" w:color="4F81BD"/>
              <w:bottom w:val="single" w:sz="8" w:space="0" w:color="365F91"/>
            </w:tcBorders>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Durchschnittlich 25 T./Jahr über einen Zeitraum von 3 Jahren</w:t>
            </w:r>
          </w:p>
        </w:tc>
        <w:tc>
          <w:tcPr>
            <w:tcW w:w="1125" w:type="dxa"/>
            <w:tcBorders>
              <w:top w:val="single" w:sz="8" w:space="0" w:color="4F81BD"/>
            </w:tcBorders>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01.01.2010</w:t>
            </w:r>
          </w:p>
        </w:tc>
        <w:tc>
          <w:tcPr>
            <w:tcW w:w="1001" w:type="dxa"/>
            <w:tcBorders>
              <w:top w:val="single" w:sz="8" w:space="0" w:color="4F81BD"/>
            </w:tcBorders>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Gesundheit</w:t>
            </w:r>
          </w:p>
        </w:tc>
      </w:tr>
      <w:tr w:rsidR="000B433A" w:rsidRPr="005759E4" w:rsidTr="005759E4">
        <w:tc>
          <w:tcPr>
            <w:tcW w:w="1058" w:type="dxa"/>
            <w:tcBorders>
              <w:left w:val="nil"/>
              <w:right w:val="nil"/>
            </w:tcBorders>
            <w:shd w:val="clear" w:color="auto" w:fill="D3DFEE"/>
          </w:tcPr>
          <w:p w:rsidR="000B433A" w:rsidRPr="005759E4" w:rsidRDefault="000B433A" w:rsidP="005759E4">
            <w:pPr>
              <w:spacing w:line="240" w:lineRule="auto"/>
              <w:rPr>
                <w:b/>
                <w:bCs/>
                <w:color w:val="365F91"/>
                <w:lang w:eastAsia="fr-BE"/>
              </w:rPr>
            </w:pPr>
          </w:p>
        </w:tc>
        <w:tc>
          <w:tcPr>
            <w:tcW w:w="1850" w:type="dxa"/>
            <w:tcBorders>
              <w:top w:val="single" w:sz="8" w:space="0" w:color="365F91"/>
              <w:left w:val="nil"/>
              <w:bottom w:val="single" w:sz="8" w:space="0" w:color="365F91"/>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 xml:space="preserve">Max. täglicher gleitender Durchschnitt über einen Zeitraum von 8 Std. </w:t>
            </w:r>
          </w:p>
        </w:tc>
        <w:tc>
          <w:tcPr>
            <w:tcW w:w="2348" w:type="dxa"/>
            <w:tcBorders>
              <w:top w:val="single" w:sz="8" w:space="0" w:color="365F91"/>
              <w:left w:val="nil"/>
              <w:bottom w:val="single" w:sz="8" w:space="0" w:color="365F91"/>
              <w:right w:val="nil"/>
            </w:tcBorders>
            <w:shd w:val="clear" w:color="auto" w:fill="D3DFEE"/>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Langfristige Ziele: µg/m</w:t>
            </w:r>
            <w:r w:rsidRPr="005759E4">
              <w:rPr>
                <w:color w:val="365F91"/>
                <w:sz w:val="18"/>
                <w:szCs w:val="18"/>
                <w:vertAlign w:val="superscript"/>
                <w:lang w:val="de-DE" w:eastAsia="fr-BE"/>
              </w:rPr>
              <w:t>3</w:t>
            </w:r>
          </w:p>
        </w:tc>
        <w:tc>
          <w:tcPr>
            <w:tcW w:w="1906" w:type="dxa"/>
            <w:tcBorders>
              <w:top w:val="single" w:sz="8" w:space="0" w:color="365F91"/>
              <w:left w:val="nil"/>
              <w:bottom w:val="single" w:sz="8" w:space="0" w:color="365F91"/>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w:t>
            </w:r>
          </w:p>
        </w:tc>
        <w:tc>
          <w:tcPr>
            <w:tcW w:w="1125" w:type="dxa"/>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p>
        </w:tc>
        <w:tc>
          <w:tcPr>
            <w:tcW w:w="1001" w:type="dxa"/>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p>
        </w:tc>
      </w:tr>
      <w:tr w:rsidR="000B433A" w:rsidRPr="005759E4" w:rsidTr="005759E4">
        <w:tc>
          <w:tcPr>
            <w:tcW w:w="1058" w:type="dxa"/>
          </w:tcPr>
          <w:p w:rsidR="000B433A" w:rsidRPr="005759E4" w:rsidRDefault="000B433A" w:rsidP="005759E4">
            <w:pPr>
              <w:spacing w:line="240" w:lineRule="auto"/>
              <w:rPr>
                <w:b/>
                <w:bCs/>
                <w:color w:val="365F91"/>
                <w:lang w:eastAsia="fr-BE"/>
              </w:rPr>
            </w:pPr>
          </w:p>
        </w:tc>
        <w:tc>
          <w:tcPr>
            <w:tcW w:w="1850" w:type="dxa"/>
            <w:tcBorders>
              <w:top w:val="single" w:sz="8" w:space="0" w:color="365F91"/>
              <w:bottom w:val="single" w:sz="8" w:space="0" w:color="365F91"/>
            </w:tcBorders>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 xml:space="preserve">1 Std. </w:t>
            </w:r>
          </w:p>
        </w:tc>
        <w:tc>
          <w:tcPr>
            <w:tcW w:w="2348" w:type="dxa"/>
            <w:tcBorders>
              <w:top w:val="single" w:sz="8" w:space="0" w:color="365F91"/>
              <w:bottom w:val="single" w:sz="8" w:space="0" w:color="365F91"/>
            </w:tcBorders>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Informationsschwelle: 180 µg/m</w:t>
            </w:r>
            <w:r w:rsidRPr="005759E4">
              <w:rPr>
                <w:color w:val="365F91"/>
                <w:sz w:val="18"/>
                <w:szCs w:val="18"/>
                <w:vertAlign w:val="superscript"/>
                <w:lang w:val="de-DE" w:eastAsia="fr-BE"/>
              </w:rPr>
              <w:t>3</w:t>
            </w:r>
          </w:p>
        </w:tc>
        <w:tc>
          <w:tcPr>
            <w:tcW w:w="1906" w:type="dxa"/>
            <w:tcBorders>
              <w:top w:val="single" w:sz="8" w:space="0" w:color="365F91"/>
              <w:bottom w:val="single" w:sz="8" w:space="0" w:color="365F91"/>
            </w:tcBorders>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w:t>
            </w:r>
          </w:p>
        </w:tc>
        <w:tc>
          <w:tcPr>
            <w:tcW w:w="1125" w:type="dxa"/>
            <w:tcBorders>
              <w:bottom w:val="nil"/>
            </w:tcBorders>
          </w:tcPr>
          <w:p w:rsidR="000B433A" w:rsidRPr="005759E4" w:rsidRDefault="000B433A" w:rsidP="005759E4">
            <w:pPr>
              <w:spacing w:line="240" w:lineRule="auto"/>
              <w:rPr>
                <w:color w:val="365F91"/>
                <w:sz w:val="18"/>
                <w:szCs w:val="18"/>
                <w:lang w:val="de-DE" w:eastAsia="fr-BE"/>
              </w:rPr>
            </w:pPr>
          </w:p>
        </w:tc>
        <w:tc>
          <w:tcPr>
            <w:tcW w:w="1001" w:type="dxa"/>
            <w:tcBorders>
              <w:bottom w:val="nil"/>
            </w:tcBorders>
          </w:tcPr>
          <w:p w:rsidR="000B433A" w:rsidRPr="005759E4" w:rsidRDefault="000B433A" w:rsidP="005759E4">
            <w:pPr>
              <w:spacing w:line="240" w:lineRule="auto"/>
              <w:rPr>
                <w:color w:val="365F91"/>
                <w:sz w:val="18"/>
                <w:szCs w:val="18"/>
                <w:lang w:val="de-DE" w:eastAsia="fr-BE"/>
              </w:rPr>
            </w:pPr>
          </w:p>
        </w:tc>
      </w:tr>
      <w:tr w:rsidR="000B433A" w:rsidRPr="005759E4" w:rsidTr="005759E4">
        <w:tc>
          <w:tcPr>
            <w:tcW w:w="1058" w:type="dxa"/>
            <w:tcBorders>
              <w:left w:val="nil"/>
              <w:right w:val="nil"/>
            </w:tcBorders>
            <w:shd w:val="clear" w:color="auto" w:fill="D3DFEE"/>
          </w:tcPr>
          <w:p w:rsidR="000B433A" w:rsidRPr="005759E4" w:rsidRDefault="000B433A" w:rsidP="005759E4">
            <w:pPr>
              <w:spacing w:line="240" w:lineRule="auto"/>
              <w:rPr>
                <w:b/>
                <w:bCs/>
                <w:color w:val="365F91"/>
                <w:lang w:eastAsia="fr-BE"/>
              </w:rPr>
            </w:pPr>
          </w:p>
        </w:tc>
        <w:tc>
          <w:tcPr>
            <w:tcW w:w="1850" w:type="dxa"/>
            <w:tcBorders>
              <w:top w:val="single" w:sz="8" w:space="0" w:color="365F91"/>
              <w:left w:val="nil"/>
              <w:bottom w:val="single" w:sz="8" w:space="0" w:color="365F91"/>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 xml:space="preserve">1 Std. </w:t>
            </w:r>
          </w:p>
        </w:tc>
        <w:tc>
          <w:tcPr>
            <w:tcW w:w="2348" w:type="dxa"/>
            <w:tcBorders>
              <w:top w:val="single" w:sz="8" w:space="0" w:color="365F91"/>
              <w:left w:val="nil"/>
              <w:bottom w:val="single" w:sz="8" w:space="0" w:color="365F91"/>
              <w:right w:val="nil"/>
            </w:tcBorders>
            <w:shd w:val="clear" w:color="auto" w:fill="D3DFEE"/>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Alarmschwelle: 240 µg/m</w:t>
            </w:r>
            <w:r w:rsidRPr="005759E4">
              <w:rPr>
                <w:color w:val="365F91"/>
                <w:sz w:val="18"/>
                <w:szCs w:val="18"/>
                <w:vertAlign w:val="superscript"/>
                <w:lang w:val="de-DE" w:eastAsia="fr-BE"/>
              </w:rPr>
              <w:t>3</w:t>
            </w:r>
          </w:p>
        </w:tc>
        <w:tc>
          <w:tcPr>
            <w:tcW w:w="1906" w:type="dxa"/>
            <w:tcBorders>
              <w:top w:val="single" w:sz="8" w:space="0" w:color="365F91"/>
              <w:left w:val="nil"/>
              <w:bottom w:val="single" w:sz="8" w:space="0" w:color="365F91"/>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w:t>
            </w:r>
          </w:p>
        </w:tc>
        <w:tc>
          <w:tcPr>
            <w:tcW w:w="1125" w:type="dxa"/>
            <w:tcBorders>
              <w:top w:val="nil"/>
              <w:left w:val="nil"/>
              <w:bottom w:val="single" w:sz="8" w:space="0" w:color="365F91"/>
              <w:right w:val="nil"/>
            </w:tcBorders>
            <w:shd w:val="clear" w:color="auto" w:fill="D3DFEE"/>
          </w:tcPr>
          <w:p w:rsidR="000B433A" w:rsidRPr="005759E4" w:rsidRDefault="000B433A" w:rsidP="005759E4">
            <w:pPr>
              <w:spacing w:line="240" w:lineRule="auto"/>
              <w:rPr>
                <w:color w:val="365F91"/>
                <w:sz w:val="18"/>
                <w:szCs w:val="18"/>
                <w:lang w:val="de-DE" w:eastAsia="fr-BE"/>
              </w:rPr>
            </w:pPr>
          </w:p>
        </w:tc>
        <w:tc>
          <w:tcPr>
            <w:tcW w:w="1001" w:type="dxa"/>
            <w:tcBorders>
              <w:top w:val="nil"/>
              <w:left w:val="nil"/>
              <w:bottom w:val="single" w:sz="8" w:space="0" w:color="365F91"/>
              <w:right w:val="nil"/>
            </w:tcBorders>
            <w:shd w:val="clear" w:color="auto" w:fill="D3DFEE"/>
          </w:tcPr>
          <w:p w:rsidR="000B433A" w:rsidRPr="005759E4" w:rsidRDefault="000B433A" w:rsidP="005759E4">
            <w:pPr>
              <w:spacing w:line="240" w:lineRule="auto"/>
              <w:rPr>
                <w:color w:val="365F91"/>
                <w:sz w:val="18"/>
                <w:szCs w:val="18"/>
                <w:lang w:val="de-DE" w:eastAsia="fr-BE"/>
              </w:rPr>
            </w:pPr>
          </w:p>
        </w:tc>
      </w:tr>
      <w:tr w:rsidR="000B433A" w:rsidRPr="005759E4" w:rsidTr="005759E4">
        <w:tc>
          <w:tcPr>
            <w:tcW w:w="1058" w:type="dxa"/>
            <w:tcBorders>
              <w:bottom w:val="nil"/>
            </w:tcBorders>
          </w:tcPr>
          <w:p w:rsidR="000B433A" w:rsidRPr="005759E4" w:rsidRDefault="000B433A" w:rsidP="005759E4">
            <w:pPr>
              <w:spacing w:line="240" w:lineRule="auto"/>
              <w:rPr>
                <w:b/>
                <w:bCs/>
                <w:color w:val="365F91"/>
                <w:lang w:eastAsia="fr-BE"/>
              </w:rPr>
            </w:pPr>
          </w:p>
        </w:tc>
        <w:tc>
          <w:tcPr>
            <w:tcW w:w="1850" w:type="dxa"/>
            <w:tcBorders>
              <w:top w:val="single" w:sz="8" w:space="0" w:color="365F91"/>
              <w:bottom w:val="single" w:sz="8" w:space="0" w:color="365F91"/>
            </w:tcBorders>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Mai bis Juli</w:t>
            </w:r>
          </w:p>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Anhäufung</w:t>
            </w:r>
          </w:p>
        </w:tc>
        <w:tc>
          <w:tcPr>
            <w:tcW w:w="4254" w:type="dxa"/>
            <w:gridSpan w:val="2"/>
            <w:tcBorders>
              <w:top w:val="single" w:sz="8" w:space="0" w:color="365F91"/>
              <w:bottom w:val="single" w:sz="8" w:space="0" w:color="365F91"/>
            </w:tcBorders>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 xml:space="preserve">Sollwert: AOT 40 </w:t>
            </w:r>
          </w:p>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 18.000 µg/m</w:t>
            </w:r>
            <w:r w:rsidRPr="005759E4">
              <w:rPr>
                <w:color w:val="365F91"/>
                <w:sz w:val="18"/>
                <w:szCs w:val="18"/>
                <w:vertAlign w:val="superscript"/>
                <w:lang w:val="de-DE" w:eastAsia="fr-BE"/>
              </w:rPr>
              <w:t>3</w:t>
            </w:r>
            <w:r w:rsidRPr="005759E4">
              <w:rPr>
                <w:color w:val="365F91"/>
                <w:sz w:val="18"/>
                <w:lang w:val="de-DE" w:eastAsia="fr-BE"/>
              </w:rPr>
              <w:t>.h im Durchschnitt über einen Zeitraum von 5 Jahren</w:t>
            </w:r>
          </w:p>
        </w:tc>
        <w:tc>
          <w:tcPr>
            <w:tcW w:w="1125" w:type="dxa"/>
            <w:tcBorders>
              <w:top w:val="single" w:sz="8" w:space="0" w:color="365F91"/>
              <w:bottom w:val="nil"/>
            </w:tcBorders>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01.01.2010</w:t>
            </w:r>
          </w:p>
        </w:tc>
        <w:tc>
          <w:tcPr>
            <w:tcW w:w="1001" w:type="dxa"/>
            <w:tcBorders>
              <w:top w:val="single" w:sz="8" w:space="0" w:color="365F91"/>
              <w:bottom w:val="nil"/>
            </w:tcBorders>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Vegetation</w:t>
            </w:r>
          </w:p>
        </w:tc>
      </w:tr>
      <w:tr w:rsidR="000B433A" w:rsidRPr="00D07F58" w:rsidTr="005759E4">
        <w:tc>
          <w:tcPr>
            <w:tcW w:w="1058" w:type="dxa"/>
            <w:tcBorders>
              <w:top w:val="nil"/>
              <w:left w:val="nil"/>
              <w:bottom w:val="nil"/>
              <w:right w:val="nil"/>
            </w:tcBorders>
            <w:shd w:val="clear" w:color="auto" w:fill="D3DFEE"/>
          </w:tcPr>
          <w:p w:rsidR="000B433A" w:rsidRPr="005759E4" w:rsidRDefault="000B433A" w:rsidP="005759E4">
            <w:pPr>
              <w:spacing w:line="240" w:lineRule="auto"/>
              <w:rPr>
                <w:b/>
                <w:bCs/>
                <w:color w:val="365F91"/>
                <w:lang w:eastAsia="fr-BE"/>
              </w:rPr>
            </w:pPr>
          </w:p>
        </w:tc>
        <w:tc>
          <w:tcPr>
            <w:tcW w:w="1850" w:type="dxa"/>
            <w:tcBorders>
              <w:top w:val="single" w:sz="8" w:space="0" w:color="365F91"/>
              <w:left w:val="nil"/>
              <w:bottom w:val="single" w:sz="8" w:space="0" w:color="365F91"/>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Mai bis Juli</w:t>
            </w:r>
          </w:p>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Anhäufung</w:t>
            </w:r>
          </w:p>
        </w:tc>
        <w:tc>
          <w:tcPr>
            <w:tcW w:w="4254" w:type="dxa"/>
            <w:gridSpan w:val="2"/>
            <w:tcBorders>
              <w:top w:val="single" w:sz="8" w:space="0" w:color="365F91"/>
              <w:left w:val="nil"/>
              <w:bottom w:val="single" w:sz="8" w:space="0" w:color="365F91"/>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 xml:space="preserve">Langfristiges Ziel: AOT 40 </w:t>
            </w:r>
          </w:p>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 6 000 µg/m</w:t>
            </w:r>
            <w:r w:rsidRPr="005759E4">
              <w:rPr>
                <w:color w:val="365F91"/>
                <w:sz w:val="18"/>
                <w:szCs w:val="18"/>
                <w:vertAlign w:val="superscript"/>
                <w:lang w:val="de-DE" w:eastAsia="fr-BE"/>
              </w:rPr>
              <w:t>3</w:t>
            </w:r>
            <w:r w:rsidRPr="005759E4">
              <w:rPr>
                <w:color w:val="365F91"/>
                <w:sz w:val="18"/>
                <w:lang w:val="de-DE" w:eastAsia="fr-BE"/>
              </w:rPr>
              <w:t>.h.</w:t>
            </w:r>
          </w:p>
        </w:tc>
        <w:tc>
          <w:tcPr>
            <w:tcW w:w="1125" w:type="dxa"/>
            <w:tcBorders>
              <w:top w:val="nil"/>
              <w:left w:val="nil"/>
              <w:bottom w:val="single" w:sz="8" w:space="0" w:color="365F91"/>
              <w:right w:val="nil"/>
            </w:tcBorders>
            <w:shd w:val="clear" w:color="auto" w:fill="D3DFEE"/>
          </w:tcPr>
          <w:p w:rsidR="000B433A" w:rsidRPr="005759E4" w:rsidRDefault="000B433A" w:rsidP="005759E4">
            <w:pPr>
              <w:spacing w:line="240" w:lineRule="auto"/>
              <w:rPr>
                <w:color w:val="365F91"/>
                <w:sz w:val="18"/>
                <w:szCs w:val="18"/>
                <w:lang w:val="de-DE" w:eastAsia="fr-BE"/>
              </w:rPr>
            </w:pPr>
          </w:p>
        </w:tc>
        <w:tc>
          <w:tcPr>
            <w:tcW w:w="1001" w:type="dxa"/>
            <w:tcBorders>
              <w:top w:val="nil"/>
              <w:left w:val="nil"/>
              <w:bottom w:val="single" w:sz="8" w:space="0" w:color="365F91"/>
              <w:right w:val="nil"/>
            </w:tcBorders>
            <w:shd w:val="clear" w:color="auto" w:fill="D3DFEE"/>
          </w:tcPr>
          <w:p w:rsidR="000B433A" w:rsidRPr="005759E4" w:rsidRDefault="000B433A" w:rsidP="005759E4">
            <w:pPr>
              <w:spacing w:line="240" w:lineRule="auto"/>
              <w:rPr>
                <w:color w:val="365F91"/>
                <w:sz w:val="18"/>
                <w:szCs w:val="18"/>
                <w:lang w:val="de-DE" w:eastAsia="fr-BE"/>
              </w:rPr>
            </w:pPr>
          </w:p>
        </w:tc>
      </w:tr>
      <w:tr w:rsidR="000B433A" w:rsidRPr="005759E4" w:rsidTr="005759E4">
        <w:tc>
          <w:tcPr>
            <w:tcW w:w="1058" w:type="dxa"/>
            <w:tcBorders>
              <w:top w:val="nil"/>
              <w:bottom w:val="single" w:sz="8" w:space="0" w:color="365F91"/>
            </w:tcBorders>
          </w:tcPr>
          <w:p w:rsidR="000B433A" w:rsidRPr="005759E4" w:rsidRDefault="000B433A" w:rsidP="005759E4">
            <w:pPr>
              <w:spacing w:line="240" w:lineRule="auto"/>
              <w:rPr>
                <w:b/>
                <w:bCs/>
                <w:color w:val="548DD4"/>
                <w:lang w:val="de-DE" w:eastAsia="fr-BE"/>
              </w:rPr>
            </w:pPr>
          </w:p>
        </w:tc>
        <w:tc>
          <w:tcPr>
            <w:tcW w:w="1850" w:type="dxa"/>
            <w:tcBorders>
              <w:top w:val="single" w:sz="8" w:space="0" w:color="365F91"/>
              <w:bottom w:val="single" w:sz="8" w:space="0" w:color="365F91"/>
            </w:tcBorders>
          </w:tcPr>
          <w:p w:rsidR="000B433A" w:rsidRPr="005759E4" w:rsidRDefault="000B433A" w:rsidP="005759E4">
            <w:pPr>
              <w:spacing w:line="240" w:lineRule="auto"/>
              <w:rPr>
                <w:color w:val="548DD4"/>
                <w:sz w:val="18"/>
                <w:szCs w:val="18"/>
                <w:lang w:val="de-DE" w:eastAsia="fr-BE"/>
              </w:rPr>
            </w:pPr>
            <w:r w:rsidRPr="005759E4">
              <w:rPr>
                <w:color w:val="548DD4"/>
                <w:sz w:val="18"/>
                <w:lang w:val="de-DE" w:eastAsia="fr-BE"/>
              </w:rPr>
              <w:t>April bis September</w:t>
            </w:r>
          </w:p>
          <w:p w:rsidR="000B433A" w:rsidRPr="005759E4" w:rsidRDefault="000B433A" w:rsidP="005759E4">
            <w:pPr>
              <w:spacing w:line="240" w:lineRule="auto"/>
              <w:rPr>
                <w:color w:val="548DD4"/>
                <w:sz w:val="18"/>
                <w:szCs w:val="18"/>
                <w:lang w:val="de-DE" w:eastAsia="fr-BE"/>
              </w:rPr>
            </w:pPr>
            <w:r w:rsidRPr="005759E4">
              <w:rPr>
                <w:color w:val="548DD4"/>
                <w:sz w:val="18"/>
                <w:lang w:val="de-DE" w:eastAsia="fr-BE"/>
              </w:rPr>
              <w:t>Anhäufung</w:t>
            </w:r>
          </w:p>
        </w:tc>
        <w:tc>
          <w:tcPr>
            <w:tcW w:w="4254" w:type="dxa"/>
            <w:gridSpan w:val="2"/>
            <w:tcBorders>
              <w:top w:val="single" w:sz="8" w:space="0" w:color="365F91"/>
              <w:bottom w:val="single" w:sz="8" w:space="0" w:color="365F91"/>
            </w:tcBorders>
          </w:tcPr>
          <w:p w:rsidR="000B433A" w:rsidRPr="005759E4" w:rsidRDefault="000B433A" w:rsidP="005759E4">
            <w:pPr>
              <w:spacing w:line="240" w:lineRule="auto"/>
              <w:rPr>
                <w:color w:val="548DD4"/>
                <w:sz w:val="18"/>
                <w:szCs w:val="18"/>
                <w:lang w:val="de-DE" w:eastAsia="fr-BE"/>
              </w:rPr>
            </w:pPr>
            <w:r w:rsidRPr="005759E4">
              <w:rPr>
                <w:color w:val="548DD4"/>
                <w:sz w:val="18"/>
                <w:lang w:val="de-DE" w:eastAsia="fr-BE"/>
              </w:rPr>
              <w:t>Kritisches Niveau für den Waldschutz:</w:t>
            </w:r>
          </w:p>
          <w:p w:rsidR="000B433A" w:rsidRPr="005759E4" w:rsidRDefault="000B433A" w:rsidP="005759E4">
            <w:pPr>
              <w:spacing w:line="240" w:lineRule="auto"/>
              <w:rPr>
                <w:color w:val="548DD4"/>
                <w:sz w:val="18"/>
                <w:szCs w:val="18"/>
                <w:lang w:val="de-DE" w:eastAsia="fr-BE"/>
              </w:rPr>
            </w:pPr>
            <w:r w:rsidRPr="005759E4">
              <w:rPr>
                <w:color w:val="548DD4"/>
                <w:sz w:val="18"/>
                <w:lang w:val="de-DE" w:eastAsia="fr-BE"/>
              </w:rPr>
              <w:t>10 000 µg/m</w:t>
            </w:r>
            <w:r w:rsidRPr="005759E4">
              <w:rPr>
                <w:color w:val="548DD4"/>
                <w:sz w:val="18"/>
                <w:szCs w:val="18"/>
                <w:vertAlign w:val="superscript"/>
                <w:lang w:val="de-DE" w:eastAsia="fr-BE"/>
              </w:rPr>
              <w:t>3</w:t>
            </w:r>
            <w:r w:rsidRPr="005759E4">
              <w:rPr>
                <w:color w:val="548DD4"/>
                <w:sz w:val="18"/>
                <w:lang w:val="de-DE" w:eastAsia="fr-BE"/>
              </w:rPr>
              <w:t>.h.</w:t>
            </w:r>
          </w:p>
        </w:tc>
        <w:tc>
          <w:tcPr>
            <w:tcW w:w="1125" w:type="dxa"/>
            <w:tcBorders>
              <w:top w:val="nil"/>
              <w:bottom w:val="single" w:sz="8" w:space="0" w:color="365F91"/>
            </w:tcBorders>
          </w:tcPr>
          <w:p w:rsidR="000B433A" w:rsidRPr="005759E4" w:rsidRDefault="000B433A" w:rsidP="005759E4">
            <w:pPr>
              <w:spacing w:line="240" w:lineRule="auto"/>
              <w:rPr>
                <w:color w:val="548DD4"/>
                <w:sz w:val="18"/>
                <w:szCs w:val="18"/>
                <w:lang w:val="de-DE" w:eastAsia="fr-BE"/>
              </w:rPr>
            </w:pPr>
          </w:p>
        </w:tc>
        <w:tc>
          <w:tcPr>
            <w:tcW w:w="1001" w:type="dxa"/>
            <w:tcBorders>
              <w:top w:val="nil"/>
              <w:bottom w:val="single" w:sz="8" w:space="0" w:color="365F91"/>
            </w:tcBorders>
          </w:tcPr>
          <w:p w:rsidR="000B433A" w:rsidRPr="005759E4" w:rsidRDefault="000B433A" w:rsidP="005759E4">
            <w:pPr>
              <w:spacing w:line="240" w:lineRule="auto"/>
              <w:rPr>
                <w:color w:val="548DD4"/>
                <w:sz w:val="18"/>
                <w:szCs w:val="18"/>
                <w:lang w:val="de-DE" w:eastAsia="fr-BE"/>
              </w:rPr>
            </w:pPr>
            <w:r w:rsidRPr="005759E4">
              <w:rPr>
                <w:color w:val="548DD4"/>
                <w:sz w:val="18"/>
                <w:lang w:val="de-DE" w:eastAsia="fr-BE"/>
              </w:rPr>
              <w:t>Wälder (Konv. LRTAP)*</w:t>
            </w:r>
          </w:p>
        </w:tc>
      </w:tr>
      <w:tr w:rsidR="000B433A" w:rsidRPr="005759E4" w:rsidTr="005759E4">
        <w:tc>
          <w:tcPr>
            <w:tcW w:w="1058" w:type="dxa"/>
            <w:tcBorders>
              <w:top w:val="single" w:sz="8" w:space="0" w:color="365F91"/>
              <w:left w:val="nil"/>
              <w:bottom w:val="single" w:sz="8" w:space="0" w:color="365F91"/>
              <w:right w:val="nil"/>
            </w:tcBorders>
            <w:shd w:val="clear" w:color="auto" w:fill="D3DFEE"/>
          </w:tcPr>
          <w:p w:rsidR="000B433A" w:rsidRPr="005759E4" w:rsidRDefault="000B433A" w:rsidP="005759E4">
            <w:pPr>
              <w:spacing w:line="240" w:lineRule="auto"/>
              <w:rPr>
                <w:b/>
                <w:bCs/>
                <w:color w:val="365F91"/>
                <w:lang w:eastAsia="fr-BE"/>
              </w:rPr>
            </w:pPr>
            <w:r w:rsidRPr="005759E4">
              <w:rPr>
                <w:b/>
                <w:bCs/>
                <w:color w:val="365F91"/>
                <w:sz w:val="22"/>
                <w:lang w:eastAsia="fr-BE"/>
              </w:rPr>
              <w:t>CO</w:t>
            </w:r>
          </w:p>
        </w:tc>
        <w:tc>
          <w:tcPr>
            <w:tcW w:w="1850" w:type="dxa"/>
            <w:tcBorders>
              <w:top w:val="single" w:sz="8" w:space="0" w:color="365F91"/>
              <w:left w:val="nil"/>
              <w:bottom w:val="single" w:sz="8" w:space="0" w:color="365F91"/>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Max. täglicher gleitender Durchschnitt über einen Zeitraum von 8 Std.</w:t>
            </w:r>
          </w:p>
        </w:tc>
        <w:tc>
          <w:tcPr>
            <w:tcW w:w="2348" w:type="dxa"/>
            <w:tcBorders>
              <w:top w:val="single" w:sz="8" w:space="0" w:color="365F91"/>
              <w:left w:val="nil"/>
              <w:bottom w:val="single" w:sz="8" w:space="0" w:color="365F91"/>
              <w:right w:val="nil"/>
            </w:tcBorders>
            <w:shd w:val="clear" w:color="auto" w:fill="D3DFEE"/>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Grenzwert: 10 µg/m</w:t>
            </w:r>
            <w:r w:rsidRPr="005759E4">
              <w:rPr>
                <w:color w:val="365F91"/>
                <w:sz w:val="18"/>
                <w:szCs w:val="18"/>
                <w:vertAlign w:val="superscript"/>
                <w:lang w:val="de-DE" w:eastAsia="fr-BE"/>
              </w:rPr>
              <w:t>3</w:t>
            </w:r>
          </w:p>
        </w:tc>
        <w:tc>
          <w:tcPr>
            <w:tcW w:w="1906" w:type="dxa"/>
            <w:tcBorders>
              <w:top w:val="single" w:sz="8" w:space="0" w:color="365F91"/>
              <w:left w:val="nil"/>
              <w:bottom w:val="single" w:sz="8" w:space="0" w:color="365F91"/>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w:t>
            </w:r>
          </w:p>
        </w:tc>
        <w:tc>
          <w:tcPr>
            <w:tcW w:w="1125" w:type="dxa"/>
            <w:tcBorders>
              <w:top w:val="single" w:sz="8" w:space="0" w:color="365F91"/>
              <w:left w:val="nil"/>
              <w:bottom w:val="single" w:sz="8" w:space="0" w:color="365F91"/>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01.01.2005</w:t>
            </w:r>
          </w:p>
        </w:tc>
        <w:tc>
          <w:tcPr>
            <w:tcW w:w="1001" w:type="dxa"/>
            <w:tcBorders>
              <w:top w:val="single" w:sz="8" w:space="0" w:color="365F91"/>
              <w:left w:val="nil"/>
              <w:bottom w:val="single" w:sz="8" w:space="0" w:color="365F91"/>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Gesundheit</w:t>
            </w:r>
          </w:p>
        </w:tc>
      </w:tr>
      <w:tr w:rsidR="000B433A" w:rsidRPr="005759E4" w:rsidTr="005759E4">
        <w:tc>
          <w:tcPr>
            <w:tcW w:w="1058" w:type="dxa"/>
            <w:tcBorders>
              <w:top w:val="single" w:sz="8" w:space="0" w:color="365F91"/>
              <w:bottom w:val="single" w:sz="8" w:space="0" w:color="365F91"/>
            </w:tcBorders>
          </w:tcPr>
          <w:p w:rsidR="000B433A" w:rsidRPr="005759E4" w:rsidRDefault="000B433A" w:rsidP="005759E4">
            <w:pPr>
              <w:spacing w:line="240" w:lineRule="auto"/>
              <w:rPr>
                <w:b/>
                <w:bCs/>
                <w:color w:val="365F91"/>
                <w:lang w:eastAsia="fr-BE"/>
              </w:rPr>
            </w:pPr>
            <w:r w:rsidRPr="005759E4">
              <w:rPr>
                <w:b/>
                <w:bCs/>
                <w:color w:val="365F91"/>
                <w:sz w:val="22"/>
                <w:lang w:eastAsia="fr-BE"/>
              </w:rPr>
              <w:t>C</w:t>
            </w:r>
            <w:r w:rsidRPr="005759E4">
              <w:rPr>
                <w:b/>
                <w:bCs/>
                <w:color w:val="365F91"/>
                <w:sz w:val="22"/>
                <w:vertAlign w:val="subscript"/>
                <w:lang w:val="de-DE" w:eastAsia="fr-BE"/>
              </w:rPr>
              <w:t>6</w:t>
            </w:r>
            <w:r w:rsidRPr="005759E4">
              <w:rPr>
                <w:b/>
                <w:bCs/>
                <w:color w:val="365F91"/>
                <w:sz w:val="22"/>
                <w:lang w:eastAsia="fr-BE"/>
              </w:rPr>
              <w:t>H</w:t>
            </w:r>
            <w:r w:rsidRPr="005759E4">
              <w:rPr>
                <w:b/>
                <w:bCs/>
                <w:color w:val="365F91"/>
                <w:sz w:val="22"/>
                <w:vertAlign w:val="subscript"/>
                <w:lang w:val="de-DE" w:eastAsia="fr-BE"/>
              </w:rPr>
              <w:t>6</w:t>
            </w:r>
          </w:p>
        </w:tc>
        <w:tc>
          <w:tcPr>
            <w:tcW w:w="1850" w:type="dxa"/>
            <w:tcBorders>
              <w:top w:val="single" w:sz="8" w:space="0" w:color="365F91"/>
              <w:bottom w:val="single" w:sz="8" w:space="0" w:color="365F91"/>
            </w:tcBorders>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1 Jahr</w:t>
            </w:r>
          </w:p>
        </w:tc>
        <w:tc>
          <w:tcPr>
            <w:tcW w:w="2348" w:type="dxa"/>
            <w:tcBorders>
              <w:top w:val="single" w:sz="8" w:space="0" w:color="365F91"/>
              <w:bottom w:val="single" w:sz="8" w:space="0" w:color="365F91"/>
            </w:tcBorders>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Grenzwert: 5 µg/m</w:t>
            </w:r>
            <w:r w:rsidRPr="005759E4">
              <w:rPr>
                <w:color w:val="365F91"/>
                <w:sz w:val="18"/>
                <w:szCs w:val="18"/>
                <w:vertAlign w:val="superscript"/>
                <w:lang w:val="de-DE" w:eastAsia="fr-BE"/>
              </w:rPr>
              <w:t>3</w:t>
            </w:r>
          </w:p>
        </w:tc>
        <w:tc>
          <w:tcPr>
            <w:tcW w:w="1906" w:type="dxa"/>
            <w:tcBorders>
              <w:top w:val="single" w:sz="8" w:space="0" w:color="365F91"/>
              <w:bottom w:val="single" w:sz="8" w:space="0" w:color="365F91"/>
            </w:tcBorders>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w:t>
            </w:r>
          </w:p>
        </w:tc>
        <w:tc>
          <w:tcPr>
            <w:tcW w:w="1125" w:type="dxa"/>
            <w:tcBorders>
              <w:top w:val="single" w:sz="8" w:space="0" w:color="365F91"/>
              <w:bottom w:val="single" w:sz="8" w:space="0" w:color="365F91"/>
            </w:tcBorders>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01.01.2010</w:t>
            </w:r>
          </w:p>
        </w:tc>
        <w:tc>
          <w:tcPr>
            <w:tcW w:w="1001" w:type="dxa"/>
            <w:tcBorders>
              <w:top w:val="single" w:sz="8" w:space="0" w:color="365F91"/>
              <w:bottom w:val="single" w:sz="8" w:space="0" w:color="365F91"/>
            </w:tcBorders>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Gesundheit</w:t>
            </w:r>
          </w:p>
        </w:tc>
      </w:tr>
      <w:tr w:rsidR="000B433A" w:rsidRPr="005759E4" w:rsidTr="005759E4">
        <w:tc>
          <w:tcPr>
            <w:tcW w:w="1058" w:type="dxa"/>
            <w:tcBorders>
              <w:top w:val="single" w:sz="8" w:space="0" w:color="365F91"/>
              <w:left w:val="nil"/>
              <w:bottom w:val="single" w:sz="8" w:space="0" w:color="365F91"/>
              <w:right w:val="nil"/>
            </w:tcBorders>
            <w:shd w:val="clear" w:color="auto" w:fill="D3DFEE"/>
          </w:tcPr>
          <w:p w:rsidR="000B433A" w:rsidRPr="005759E4" w:rsidRDefault="000B433A" w:rsidP="005759E4">
            <w:pPr>
              <w:spacing w:line="240" w:lineRule="auto"/>
              <w:rPr>
                <w:b/>
                <w:bCs/>
                <w:color w:val="365F91"/>
                <w:lang w:eastAsia="fr-BE"/>
              </w:rPr>
            </w:pPr>
            <w:r w:rsidRPr="005759E4">
              <w:rPr>
                <w:b/>
                <w:bCs/>
                <w:color w:val="365F91"/>
                <w:sz w:val="22"/>
                <w:lang w:eastAsia="fr-BE"/>
              </w:rPr>
              <w:t>BSP</w:t>
            </w:r>
          </w:p>
        </w:tc>
        <w:tc>
          <w:tcPr>
            <w:tcW w:w="1850" w:type="dxa"/>
            <w:tcBorders>
              <w:top w:val="single" w:sz="8" w:space="0" w:color="365F91"/>
              <w:left w:val="nil"/>
              <w:bottom w:val="single" w:sz="8" w:space="0" w:color="365F91"/>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1 Jahr</w:t>
            </w:r>
          </w:p>
        </w:tc>
        <w:tc>
          <w:tcPr>
            <w:tcW w:w="2348" w:type="dxa"/>
            <w:tcBorders>
              <w:top w:val="single" w:sz="8" w:space="0" w:color="365F91"/>
              <w:left w:val="nil"/>
              <w:bottom w:val="single" w:sz="8" w:space="0" w:color="365F91"/>
              <w:right w:val="nil"/>
            </w:tcBorders>
            <w:shd w:val="clear" w:color="auto" w:fill="D3DFEE"/>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Grenzwert: 0,5 µg/m</w:t>
            </w:r>
            <w:r w:rsidRPr="005759E4">
              <w:rPr>
                <w:color w:val="365F91"/>
                <w:sz w:val="18"/>
                <w:szCs w:val="18"/>
                <w:vertAlign w:val="superscript"/>
                <w:lang w:val="de-DE" w:eastAsia="fr-BE"/>
              </w:rPr>
              <w:t>3</w:t>
            </w:r>
          </w:p>
        </w:tc>
        <w:tc>
          <w:tcPr>
            <w:tcW w:w="1906" w:type="dxa"/>
            <w:tcBorders>
              <w:top w:val="single" w:sz="8" w:space="0" w:color="365F91"/>
              <w:left w:val="nil"/>
              <w:bottom w:val="single" w:sz="8" w:space="0" w:color="365F91"/>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w:t>
            </w:r>
          </w:p>
        </w:tc>
        <w:tc>
          <w:tcPr>
            <w:tcW w:w="1125" w:type="dxa"/>
            <w:tcBorders>
              <w:top w:val="single" w:sz="8" w:space="0" w:color="365F91"/>
              <w:left w:val="nil"/>
              <w:bottom w:val="single" w:sz="8" w:space="0" w:color="365F91"/>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01.01.2005</w:t>
            </w:r>
          </w:p>
        </w:tc>
        <w:tc>
          <w:tcPr>
            <w:tcW w:w="1001" w:type="dxa"/>
            <w:tcBorders>
              <w:top w:val="single" w:sz="8" w:space="0" w:color="365F91"/>
              <w:left w:val="nil"/>
              <w:bottom w:val="single" w:sz="8" w:space="0" w:color="365F91"/>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Gesundheit</w:t>
            </w:r>
          </w:p>
        </w:tc>
      </w:tr>
      <w:tr w:rsidR="000B433A" w:rsidRPr="005759E4" w:rsidTr="005759E4">
        <w:tc>
          <w:tcPr>
            <w:tcW w:w="1058" w:type="dxa"/>
            <w:tcBorders>
              <w:top w:val="single" w:sz="8" w:space="0" w:color="365F91"/>
              <w:bottom w:val="single" w:sz="8" w:space="0" w:color="365F91"/>
            </w:tcBorders>
          </w:tcPr>
          <w:p w:rsidR="000B433A" w:rsidRPr="005759E4" w:rsidRDefault="000B433A" w:rsidP="005759E4">
            <w:pPr>
              <w:spacing w:line="240" w:lineRule="auto"/>
              <w:rPr>
                <w:b/>
                <w:bCs/>
                <w:color w:val="943634"/>
                <w:lang w:val="de-DE" w:eastAsia="fr-BE"/>
              </w:rPr>
            </w:pPr>
            <w:r w:rsidRPr="005759E4">
              <w:rPr>
                <w:b/>
                <w:bCs/>
                <w:color w:val="943634"/>
                <w:sz w:val="22"/>
                <w:lang w:val="de-DE" w:eastAsia="fr-BE"/>
              </w:rPr>
              <w:t>BaP</w:t>
            </w:r>
          </w:p>
        </w:tc>
        <w:tc>
          <w:tcPr>
            <w:tcW w:w="1850" w:type="dxa"/>
            <w:tcBorders>
              <w:top w:val="single" w:sz="8" w:space="0" w:color="365F91"/>
              <w:bottom w:val="single" w:sz="8" w:space="0" w:color="365F91"/>
            </w:tcBorders>
          </w:tcPr>
          <w:p w:rsidR="000B433A" w:rsidRPr="005759E4" w:rsidRDefault="000B433A" w:rsidP="005759E4">
            <w:pPr>
              <w:spacing w:line="240" w:lineRule="auto"/>
              <w:rPr>
                <w:color w:val="943634"/>
                <w:sz w:val="18"/>
                <w:szCs w:val="18"/>
                <w:lang w:val="de-DE" w:eastAsia="fr-BE"/>
              </w:rPr>
            </w:pPr>
            <w:r w:rsidRPr="005759E4">
              <w:rPr>
                <w:color w:val="943634"/>
                <w:sz w:val="18"/>
                <w:lang w:val="de-DE" w:eastAsia="fr-BE"/>
              </w:rPr>
              <w:t>1 Jahr</w:t>
            </w:r>
          </w:p>
        </w:tc>
        <w:tc>
          <w:tcPr>
            <w:tcW w:w="2348" w:type="dxa"/>
            <w:tcBorders>
              <w:top w:val="single" w:sz="8" w:space="0" w:color="365F91"/>
              <w:bottom w:val="single" w:sz="8" w:space="0" w:color="365F91"/>
            </w:tcBorders>
          </w:tcPr>
          <w:p w:rsidR="000B433A" w:rsidRPr="005759E4" w:rsidRDefault="000B433A" w:rsidP="005759E4">
            <w:pPr>
              <w:spacing w:line="240" w:lineRule="auto"/>
              <w:ind w:right="-6"/>
              <w:rPr>
                <w:color w:val="943634"/>
                <w:sz w:val="18"/>
                <w:szCs w:val="18"/>
                <w:lang w:val="de-DE" w:eastAsia="fr-BE"/>
              </w:rPr>
            </w:pPr>
            <w:r w:rsidRPr="005759E4">
              <w:rPr>
                <w:color w:val="943634"/>
                <w:sz w:val="18"/>
                <w:lang w:val="de-DE" w:eastAsia="fr-BE"/>
              </w:rPr>
              <w:t>Sollwert: 1 µg/m</w:t>
            </w:r>
            <w:r w:rsidRPr="005759E4">
              <w:rPr>
                <w:color w:val="943634"/>
                <w:sz w:val="18"/>
                <w:szCs w:val="18"/>
                <w:vertAlign w:val="superscript"/>
                <w:lang w:val="de-DE" w:eastAsia="fr-BE"/>
              </w:rPr>
              <w:t>3</w:t>
            </w:r>
          </w:p>
        </w:tc>
        <w:tc>
          <w:tcPr>
            <w:tcW w:w="1906" w:type="dxa"/>
            <w:tcBorders>
              <w:top w:val="single" w:sz="8" w:space="0" w:color="365F91"/>
              <w:bottom w:val="single" w:sz="8" w:space="0" w:color="365F91"/>
            </w:tcBorders>
          </w:tcPr>
          <w:p w:rsidR="000B433A" w:rsidRPr="005759E4" w:rsidRDefault="000B433A" w:rsidP="005759E4">
            <w:pPr>
              <w:spacing w:line="240" w:lineRule="auto"/>
              <w:rPr>
                <w:color w:val="943634"/>
                <w:sz w:val="18"/>
                <w:szCs w:val="18"/>
                <w:lang w:val="de-DE" w:eastAsia="fr-BE"/>
              </w:rPr>
            </w:pPr>
            <w:r w:rsidRPr="005759E4">
              <w:rPr>
                <w:color w:val="943634"/>
                <w:sz w:val="18"/>
                <w:lang w:val="de-DE" w:eastAsia="fr-BE"/>
              </w:rPr>
              <w:t>/</w:t>
            </w:r>
          </w:p>
        </w:tc>
        <w:tc>
          <w:tcPr>
            <w:tcW w:w="1125" w:type="dxa"/>
            <w:tcBorders>
              <w:top w:val="single" w:sz="8" w:space="0" w:color="365F91"/>
              <w:bottom w:val="nil"/>
            </w:tcBorders>
          </w:tcPr>
          <w:p w:rsidR="000B433A" w:rsidRPr="005759E4" w:rsidRDefault="000B433A" w:rsidP="005759E4">
            <w:pPr>
              <w:spacing w:line="240" w:lineRule="auto"/>
              <w:rPr>
                <w:color w:val="943634"/>
                <w:sz w:val="18"/>
                <w:szCs w:val="18"/>
                <w:lang w:val="de-DE" w:eastAsia="fr-BE"/>
              </w:rPr>
            </w:pPr>
            <w:r w:rsidRPr="005759E4">
              <w:rPr>
                <w:color w:val="943634"/>
                <w:sz w:val="18"/>
                <w:lang w:val="de-DE" w:eastAsia="fr-BE"/>
              </w:rPr>
              <w:t>31.12.2012</w:t>
            </w:r>
          </w:p>
        </w:tc>
        <w:tc>
          <w:tcPr>
            <w:tcW w:w="1001" w:type="dxa"/>
            <w:tcBorders>
              <w:top w:val="single" w:sz="8" w:space="0" w:color="365F91"/>
              <w:bottom w:val="nil"/>
            </w:tcBorders>
          </w:tcPr>
          <w:p w:rsidR="000B433A" w:rsidRPr="005759E4" w:rsidRDefault="000B433A" w:rsidP="005759E4">
            <w:pPr>
              <w:spacing w:line="240" w:lineRule="auto"/>
              <w:rPr>
                <w:color w:val="943634"/>
                <w:sz w:val="18"/>
                <w:szCs w:val="18"/>
                <w:lang w:val="de-DE" w:eastAsia="fr-BE"/>
              </w:rPr>
            </w:pPr>
            <w:r w:rsidRPr="005759E4">
              <w:rPr>
                <w:color w:val="943634"/>
                <w:sz w:val="18"/>
                <w:lang w:val="de-DE" w:eastAsia="fr-BE"/>
              </w:rPr>
              <w:t>Gesundheit</w:t>
            </w:r>
          </w:p>
        </w:tc>
      </w:tr>
      <w:tr w:rsidR="000B433A" w:rsidRPr="005759E4" w:rsidTr="005759E4">
        <w:tc>
          <w:tcPr>
            <w:tcW w:w="1058" w:type="dxa"/>
            <w:tcBorders>
              <w:top w:val="single" w:sz="8" w:space="0" w:color="365F91"/>
              <w:left w:val="nil"/>
              <w:bottom w:val="single" w:sz="8" w:space="0" w:color="365F91"/>
              <w:right w:val="nil"/>
            </w:tcBorders>
            <w:shd w:val="clear" w:color="auto" w:fill="D3DFEE"/>
          </w:tcPr>
          <w:p w:rsidR="000B433A" w:rsidRPr="005759E4" w:rsidRDefault="000B433A" w:rsidP="005759E4">
            <w:pPr>
              <w:spacing w:line="240" w:lineRule="auto"/>
              <w:rPr>
                <w:b/>
                <w:bCs/>
                <w:color w:val="943634"/>
                <w:lang w:val="de-DE" w:eastAsia="fr-BE"/>
              </w:rPr>
            </w:pPr>
            <w:r w:rsidRPr="005759E4">
              <w:rPr>
                <w:b/>
                <w:bCs/>
                <w:color w:val="943634"/>
                <w:sz w:val="22"/>
                <w:lang w:val="de-DE" w:eastAsia="fr-BE"/>
              </w:rPr>
              <w:t>As</w:t>
            </w:r>
          </w:p>
        </w:tc>
        <w:tc>
          <w:tcPr>
            <w:tcW w:w="1850" w:type="dxa"/>
            <w:tcBorders>
              <w:top w:val="single" w:sz="8" w:space="0" w:color="365F91"/>
              <w:left w:val="nil"/>
              <w:bottom w:val="single" w:sz="8" w:space="0" w:color="365F91"/>
              <w:right w:val="nil"/>
            </w:tcBorders>
            <w:shd w:val="clear" w:color="auto" w:fill="D3DFEE"/>
          </w:tcPr>
          <w:p w:rsidR="000B433A" w:rsidRPr="005759E4" w:rsidRDefault="000B433A" w:rsidP="005759E4">
            <w:pPr>
              <w:spacing w:line="240" w:lineRule="auto"/>
              <w:rPr>
                <w:rFonts w:cs="Calibri"/>
                <w:color w:val="943634"/>
                <w:sz w:val="18"/>
                <w:szCs w:val="18"/>
                <w:lang w:val="de-DE" w:eastAsia="fr-BE"/>
              </w:rPr>
            </w:pPr>
            <w:r w:rsidRPr="005759E4">
              <w:rPr>
                <w:rFonts w:cs="Calibri"/>
                <w:color w:val="943634"/>
                <w:sz w:val="18"/>
                <w:lang w:val="de-DE" w:eastAsia="fr-BE"/>
              </w:rPr>
              <w:t>1 Jahr</w:t>
            </w:r>
          </w:p>
        </w:tc>
        <w:tc>
          <w:tcPr>
            <w:tcW w:w="2348" w:type="dxa"/>
            <w:tcBorders>
              <w:top w:val="single" w:sz="8" w:space="0" w:color="365F91"/>
              <w:left w:val="nil"/>
              <w:bottom w:val="single" w:sz="8" w:space="0" w:color="365F91"/>
              <w:right w:val="nil"/>
            </w:tcBorders>
            <w:shd w:val="clear" w:color="auto" w:fill="D3DFEE"/>
          </w:tcPr>
          <w:p w:rsidR="000B433A" w:rsidRPr="005759E4" w:rsidRDefault="000B433A" w:rsidP="005759E4">
            <w:pPr>
              <w:spacing w:line="240" w:lineRule="auto"/>
              <w:ind w:right="-6"/>
              <w:rPr>
                <w:rFonts w:cs="Calibri"/>
                <w:color w:val="943634"/>
                <w:sz w:val="18"/>
                <w:szCs w:val="18"/>
                <w:lang w:val="de-DE" w:eastAsia="fr-BE"/>
              </w:rPr>
            </w:pPr>
            <w:r w:rsidRPr="005759E4">
              <w:rPr>
                <w:rFonts w:cs="Calibri"/>
                <w:color w:val="943634"/>
                <w:sz w:val="18"/>
                <w:lang w:val="de-DE" w:eastAsia="fr-BE"/>
              </w:rPr>
              <w:t xml:space="preserve">Sollwert: 6 </w:t>
            </w:r>
            <w:r w:rsidRPr="005759E4">
              <w:rPr>
                <w:color w:val="943634"/>
                <w:sz w:val="18"/>
                <w:szCs w:val="18"/>
                <w:lang w:val="de-DE" w:eastAsia="fr-BE"/>
              </w:rPr>
              <w:t>ng/m</w:t>
            </w:r>
            <w:r w:rsidRPr="005759E4">
              <w:rPr>
                <w:color w:val="943634"/>
                <w:sz w:val="18"/>
                <w:szCs w:val="18"/>
                <w:vertAlign w:val="superscript"/>
                <w:lang w:val="de-DE" w:eastAsia="fr-BE"/>
              </w:rPr>
              <w:t>3</w:t>
            </w:r>
          </w:p>
        </w:tc>
        <w:tc>
          <w:tcPr>
            <w:tcW w:w="1906" w:type="dxa"/>
            <w:tcBorders>
              <w:top w:val="single" w:sz="8" w:space="0" w:color="365F91"/>
              <w:left w:val="nil"/>
              <w:bottom w:val="single" w:sz="8" w:space="0" w:color="365F91"/>
              <w:right w:val="nil"/>
            </w:tcBorders>
            <w:shd w:val="clear" w:color="auto" w:fill="D3DFEE"/>
          </w:tcPr>
          <w:p w:rsidR="000B433A" w:rsidRPr="005759E4" w:rsidRDefault="000B433A" w:rsidP="005759E4">
            <w:pPr>
              <w:spacing w:line="240" w:lineRule="auto"/>
              <w:rPr>
                <w:rFonts w:cs="Calibri"/>
                <w:color w:val="943634"/>
                <w:sz w:val="18"/>
                <w:szCs w:val="18"/>
                <w:lang w:val="de-DE" w:eastAsia="fr-BE"/>
              </w:rPr>
            </w:pPr>
            <w:r w:rsidRPr="005759E4">
              <w:rPr>
                <w:rFonts w:cs="Calibri"/>
                <w:color w:val="943634"/>
                <w:sz w:val="18"/>
                <w:lang w:val="de-DE" w:eastAsia="fr-BE"/>
              </w:rPr>
              <w:t>/</w:t>
            </w:r>
          </w:p>
        </w:tc>
        <w:tc>
          <w:tcPr>
            <w:tcW w:w="1125" w:type="dxa"/>
            <w:tcBorders>
              <w:top w:val="nil"/>
              <w:left w:val="nil"/>
              <w:right w:val="nil"/>
            </w:tcBorders>
            <w:shd w:val="clear" w:color="auto" w:fill="D3DFEE"/>
          </w:tcPr>
          <w:p w:rsidR="000B433A" w:rsidRPr="005759E4" w:rsidRDefault="000B433A" w:rsidP="005759E4">
            <w:pPr>
              <w:spacing w:line="240" w:lineRule="auto"/>
              <w:rPr>
                <w:rFonts w:cs="Calibri"/>
                <w:color w:val="943634"/>
                <w:sz w:val="18"/>
                <w:szCs w:val="18"/>
                <w:lang w:val="de-DE" w:eastAsia="fr-BE"/>
              </w:rPr>
            </w:pPr>
          </w:p>
        </w:tc>
        <w:tc>
          <w:tcPr>
            <w:tcW w:w="1001" w:type="dxa"/>
            <w:tcBorders>
              <w:top w:val="nil"/>
              <w:left w:val="nil"/>
              <w:right w:val="nil"/>
            </w:tcBorders>
            <w:shd w:val="clear" w:color="auto" w:fill="D3DFEE"/>
          </w:tcPr>
          <w:p w:rsidR="000B433A" w:rsidRPr="005759E4" w:rsidRDefault="000B433A" w:rsidP="005759E4">
            <w:pPr>
              <w:spacing w:line="240" w:lineRule="auto"/>
              <w:rPr>
                <w:rFonts w:cs="Calibri"/>
                <w:color w:val="943634"/>
                <w:sz w:val="18"/>
                <w:szCs w:val="18"/>
                <w:lang w:val="de-DE" w:eastAsia="fr-BE"/>
              </w:rPr>
            </w:pPr>
          </w:p>
        </w:tc>
      </w:tr>
      <w:tr w:rsidR="000B433A" w:rsidRPr="005759E4" w:rsidTr="005759E4">
        <w:tc>
          <w:tcPr>
            <w:tcW w:w="1058" w:type="dxa"/>
            <w:tcBorders>
              <w:top w:val="single" w:sz="8" w:space="0" w:color="365F91"/>
              <w:bottom w:val="single" w:sz="8" w:space="0" w:color="365F91"/>
            </w:tcBorders>
          </w:tcPr>
          <w:p w:rsidR="000B433A" w:rsidRPr="005759E4" w:rsidRDefault="000B433A" w:rsidP="005759E4">
            <w:pPr>
              <w:spacing w:line="240" w:lineRule="auto"/>
              <w:rPr>
                <w:b/>
                <w:bCs/>
                <w:color w:val="943634"/>
                <w:lang w:val="de-DE" w:eastAsia="fr-BE"/>
              </w:rPr>
            </w:pPr>
            <w:r w:rsidRPr="005759E4">
              <w:rPr>
                <w:b/>
                <w:bCs/>
                <w:color w:val="943634"/>
                <w:sz w:val="22"/>
                <w:lang w:val="de-DE" w:eastAsia="fr-BE"/>
              </w:rPr>
              <w:t>Ni</w:t>
            </w:r>
          </w:p>
        </w:tc>
        <w:tc>
          <w:tcPr>
            <w:tcW w:w="1850" w:type="dxa"/>
            <w:tcBorders>
              <w:top w:val="single" w:sz="8" w:space="0" w:color="365F91"/>
              <w:bottom w:val="single" w:sz="8" w:space="0" w:color="365F91"/>
            </w:tcBorders>
          </w:tcPr>
          <w:p w:rsidR="000B433A" w:rsidRPr="005759E4" w:rsidRDefault="000B433A" w:rsidP="005759E4">
            <w:pPr>
              <w:spacing w:line="240" w:lineRule="auto"/>
              <w:rPr>
                <w:rFonts w:cs="Calibri"/>
                <w:color w:val="943634"/>
                <w:sz w:val="18"/>
                <w:szCs w:val="18"/>
                <w:lang w:val="de-DE" w:eastAsia="fr-BE"/>
              </w:rPr>
            </w:pPr>
            <w:r w:rsidRPr="005759E4">
              <w:rPr>
                <w:rFonts w:cs="Calibri"/>
                <w:color w:val="943634"/>
                <w:sz w:val="18"/>
                <w:lang w:val="de-DE" w:eastAsia="fr-BE"/>
              </w:rPr>
              <w:t>1 Jahr</w:t>
            </w:r>
          </w:p>
        </w:tc>
        <w:tc>
          <w:tcPr>
            <w:tcW w:w="2348" w:type="dxa"/>
            <w:tcBorders>
              <w:top w:val="single" w:sz="8" w:space="0" w:color="365F91"/>
              <w:bottom w:val="single" w:sz="8" w:space="0" w:color="365F91"/>
            </w:tcBorders>
          </w:tcPr>
          <w:p w:rsidR="000B433A" w:rsidRPr="005759E4" w:rsidRDefault="000B433A" w:rsidP="005759E4">
            <w:pPr>
              <w:spacing w:line="240" w:lineRule="auto"/>
              <w:ind w:right="-6"/>
              <w:rPr>
                <w:rFonts w:cs="Calibri"/>
                <w:color w:val="943634"/>
                <w:sz w:val="18"/>
                <w:szCs w:val="18"/>
                <w:lang w:val="de-DE" w:eastAsia="fr-BE"/>
              </w:rPr>
            </w:pPr>
            <w:r w:rsidRPr="005759E4">
              <w:rPr>
                <w:rFonts w:cs="Calibri"/>
                <w:color w:val="943634"/>
                <w:sz w:val="18"/>
                <w:lang w:val="de-DE" w:eastAsia="fr-BE"/>
              </w:rPr>
              <w:t xml:space="preserve">Sollwert: 20 </w:t>
            </w:r>
            <w:r w:rsidRPr="005759E4">
              <w:rPr>
                <w:color w:val="943634"/>
                <w:sz w:val="18"/>
                <w:szCs w:val="18"/>
                <w:lang w:val="de-DE" w:eastAsia="fr-BE"/>
              </w:rPr>
              <w:t>ng/m</w:t>
            </w:r>
            <w:r w:rsidRPr="005759E4">
              <w:rPr>
                <w:color w:val="943634"/>
                <w:sz w:val="18"/>
                <w:szCs w:val="18"/>
                <w:vertAlign w:val="superscript"/>
                <w:lang w:val="de-DE" w:eastAsia="fr-BE"/>
              </w:rPr>
              <w:t>3</w:t>
            </w:r>
          </w:p>
        </w:tc>
        <w:tc>
          <w:tcPr>
            <w:tcW w:w="1906" w:type="dxa"/>
            <w:tcBorders>
              <w:top w:val="single" w:sz="8" w:space="0" w:color="365F91"/>
              <w:bottom w:val="single" w:sz="8" w:space="0" w:color="365F91"/>
            </w:tcBorders>
          </w:tcPr>
          <w:p w:rsidR="000B433A" w:rsidRPr="005759E4" w:rsidRDefault="000B433A" w:rsidP="005759E4">
            <w:pPr>
              <w:spacing w:line="240" w:lineRule="auto"/>
              <w:rPr>
                <w:rFonts w:cs="Calibri"/>
                <w:color w:val="943634"/>
                <w:sz w:val="18"/>
                <w:szCs w:val="18"/>
                <w:lang w:val="de-DE" w:eastAsia="fr-BE"/>
              </w:rPr>
            </w:pPr>
            <w:r w:rsidRPr="005759E4">
              <w:rPr>
                <w:rFonts w:cs="Calibri"/>
                <w:color w:val="943634"/>
                <w:sz w:val="18"/>
                <w:lang w:val="de-DE" w:eastAsia="fr-BE"/>
              </w:rPr>
              <w:t>/</w:t>
            </w:r>
          </w:p>
        </w:tc>
        <w:tc>
          <w:tcPr>
            <w:tcW w:w="1125" w:type="dxa"/>
          </w:tcPr>
          <w:p w:rsidR="000B433A" w:rsidRPr="005759E4" w:rsidRDefault="000B433A" w:rsidP="005759E4">
            <w:pPr>
              <w:spacing w:line="240" w:lineRule="auto"/>
              <w:rPr>
                <w:rFonts w:cs="Calibri"/>
                <w:color w:val="943634"/>
                <w:sz w:val="18"/>
                <w:szCs w:val="18"/>
                <w:lang w:val="de-DE" w:eastAsia="fr-BE"/>
              </w:rPr>
            </w:pPr>
          </w:p>
        </w:tc>
        <w:tc>
          <w:tcPr>
            <w:tcW w:w="1001" w:type="dxa"/>
          </w:tcPr>
          <w:p w:rsidR="000B433A" w:rsidRPr="005759E4" w:rsidRDefault="000B433A" w:rsidP="005759E4">
            <w:pPr>
              <w:spacing w:line="240" w:lineRule="auto"/>
              <w:rPr>
                <w:rFonts w:cs="Calibri"/>
                <w:color w:val="943634"/>
                <w:sz w:val="18"/>
                <w:szCs w:val="18"/>
                <w:lang w:val="de-DE" w:eastAsia="fr-BE"/>
              </w:rPr>
            </w:pPr>
          </w:p>
        </w:tc>
      </w:tr>
      <w:tr w:rsidR="000B433A" w:rsidRPr="005759E4" w:rsidTr="005759E4">
        <w:tc>
          <w:tcPr>
            <w:tcW w:w="1058" w:type="dxa"/>
            <w:tcBorders>
              <w:top w:val="single" w:sz="8" w:space="0" w:color="365F91"/>
              <w:left w:val="nil"/>
              <w:bottom w:val="single" w:sz="8" w:space="0" w:color="365F91"/>
              <w:right w:val="nil"/>
            </w:tcBorders>
            <w:shd w:val="clear" w:color="auto" w:fill="D3DFEE"/>
          </w:tcPr>
          <w:p w:rsidR="000B433A" w:rsidRPr="005759E4" w:rsidRDefault="000B433A" w:rsidP="005759E4">
            <w:pPr>
              <w:spacing w:line="240" w:lineRule="auto"/>
              <w:rPr>
                <w:b/>
                <w:bCs/>
                <w:color w:val="943634"/>
                <w:lang w:val="de-DE" w:eastAsia="fr-BE"/>
              </w:rPr>
            </w:pPr>
            <w:r w:rsidRPr="005759E4">
              <w:rPr>
                <w:b/>
                <w:bCs/>
                <w:color w:val="943634"/>
                <w:sz w:val="22"/>
                <w:lang w:val="de-DE" w:eastAsia="fr-BE"/>
              </w:rPr>
              <w:t>Cd</w:t>
            </w:r>
          </w:p>
        </w:tc>
        <w:tc>
          <w:tcPr>
            <w:tcW w:w="1850" w:type="dxa"/>
            <w:tcBorders>
              <w:top w:val="single" w:sz="8" w:space="0" w:color="365F91"/>
              <w:left w:val="nil"/>
              <w:bottom w:val="single" w:sz="8" w:space="0" w:color="365F91"/>
              <w:right w:val="nil"/>
            </w:tcBorders>
            <w:shd w:val="clear" w:color="auto" w:fill="D3DFEE"/>
          </w:tcPr>
          <w:p w:rsidR="000B433A" w:rsidRPr="005759E4" w:rsidRDefault="000B433A" w:rsidP="005759E4">
            <w:pPr>
              <w:spacing w:line="240" w:lineRule="auto"/>
              <w:rPr>
                <w:rFonts w:cs="Calibri"/>
                <w:color w:val="943634"/>
                <w:sz w:val="18"/>
                <w:szCs w:val="18"/>
                <w:lang w:val="de-DE" w:eastAsia="fr-BE"/>
              </w:rPr>
            </w:pPr>
            <w:r w:rsidRPr="005759E4">
              <w:rPr>
                <w:rFonts w:cs="Calibri"/>
                <w:color w:val="943634"/>
                <w:sz w:val="18"/>
                <w:lang w:val="de-DE" w:eastAsia="fr-BE"/>
              </w:rPr>
              <w:t>1 Jahr</w:t>
            </w:r>
          </w:p>
        </w:tc>
        <w:tc>
          <w:tcPr>
            <w:tcW w:w="2348" w:type="dxa"/>
            <w:tcBorders>
              <w:top w:val="single" w:sz="8" w:space="0" w:color="365F91"/>
              <w:left w:val="nil"/>
              <w:bottom w:val="single" w:sz="8" w:space="0" w:color="365F91"/>
              <w:right w:val="nil"/>
            </w:tcBorders>
            <w:shd w:val="clear" w:color="auto" w:fill="D3DFEE"/>
          </w:tcPr>
          <w:p w:rsidR="000B433A" w:rsidRPr="005759E4" w:rsidRDefault="000B433A" w:rsidP="005759E4">
            <w:pPr>
              <w:spacing w:line="240" w:lineRule="auto"/>
              <w:ind w:right="-6"/>
              <w:rPr>
                <w:rFonts w:cs="Calibri"/>
                <w:color w:val="943634"/>
                <w:sz w:val="18"/>
                <w:szCs w:val="18"/>
                <w:lang w:val="de-DE" w:eastAsia="fr-BE"/>
              </w:rPr>
            </w:pPr>
            <w:r w:rsidRPr="005759E4">
              <w:rPr>
                <w:rFonts w:cs="Calibri"/>
                <w:color w:val="943634"/>
                <w:sz w:val="18"/>
                <w:lang w:val="de-DE" w:eastAsia="fr-BE"/>
              </w:rPr>
              <w:t xml:space="preserve">Sollwert: 5 </w:t>
            </w:r>
            <w:r w:rsidRPr="005759E4">
              <w:rPr>
                <w:color w:val="943634"/>
                <w:sz w:val="18"/>
                <w:szCs w:val="18"/>
                <w:lang w:val="de-DE" w:eastAsia="fr-BE"/>
              </w:rPr>
              <w:t>ng/m</w:t>
            </w:r>
            <w:r w:rsidRPr="005759E4">
              <w:rPr>
                <w:color w:val="943634"/>
                <w:sz w:val="18"/>
                <w:szCs w:val="18"/>
                <w:vertAlign w:val="superscript"/>
                <w:lang w:val="de-DE" w:eastAsia="fr-BE"/>
              </w:rPr>
              <w:t>3</w:t>
            </w:r>
          </w:p>
        </w:tc>
        <w:tc>
          <w:tcPr>
            <w:tcW w:w="1906" w:type="dxa"/>
            <w:tcBorders>
              <w:top w:val="single" w:sz="8" w:space="0" w:color="365F91"/>
              <w:left w:val="nil"/>
              <w:bottom w:val="single" w:sz="8" w:space="0" w:color="365F91"/>
              <w:right w:val="nil"/>
            </w:tcBorders>
            <w:shd w:val="clear" w:color="auto" w:fill="D3DFEE"/>
          </w:tcPr>
          <w:p w:rsidR="000B433A" w:rsidRPr="005759E4" w:rsidRDefault="000B433A" w:rsidP="005759E4">
            <w:pPr>
              <w:spacing w:line="240" w:lineRule="auto"/>
              <w:rPr>
                <w:rFonts w:cs="Calibri"/>
                <w:color w:val="943634"/>
                <w:sz w:val="18"/>
                <w:szCs w:val="18"/>
                <w:lang w:val="de-DE" w:eastAsia="fr-BE"/>
              </w:rPr>
            </w:pPr>
            <w:r w:rsidRPr="005759E4">
              <w:rPr>
                <w:rFonts w:cs="Calibri"/>
                <w:color w:val="943634"/>
                <w:sz w:val="18"/>
                <w:lang w:val="de-DE" w:eastAsia="fr-BE"/>
              </w:rPr>
              <w:t>/</w:t>
            </w:r>
          </w:p>
        </w:tc>
        <w:tc>
          <w:tcPr>
            <w:tcW w:w="1125" w:type="dxa"/>
            <w:tcBorders>
              <w:left w:val="nil"/>
              <w:bottom w:val="single" w:sz="8" w:space="0" w:color="365F91"/>
              <w:right w:val="nil"/>
            </w:tcBorders>
            <w:shd w:val="clear" w:color="auto" w:fill="D3DFEE"/>
          </w:tcPr>
          <w:p w:rsidR="000B433A" w:rsidRPr="005759E4" w:rsidRDefault="000B433A" w:rsidP="005759E4">
            <w:pPr>
              <w:spacing w:line="240" w:lineRule="auto"/>
              <w:rPr>
                <w:rFonts w:cs="Calibri"/>
                <w:color w:val="943634"/>
                <w:sz w:val="18"/>
                <w:szCs w:val="18"/>
                <w:lang w:val="de-DE" w:eastAsia="fr-BE"/>
              </w:rPr>
            </w:pPr>
          </w:p>
        </w:tc>
        <w:tc>
          <w:tcPr>
            <w:tcW w:w="1001" w:type="dxa"/>
            <w:tcBorders>
              <w:left w:val="nil"/>
              <w:bottom w:val="single" w:sz="8" w:space="0" w:color="365F91"/>
              <w:right w:val="nil"/>
            </w:tcBorders>
            <w:shd w:val="clear" w:color="auto" w:fill="D3DFEE"/>
          </w:tcPr>
          <w:p w:rsidR="000B433A" w:rsidRPr="005759E4" w:rsidRDefault="000B433A" w:rsidP="005759E4">
            <w:pPr>
              <w:spacing w:line="240" w:lineRule="auto"/>
              <w:rPr>
                <w:rFonts w:cs="Calibri"/>
                <w:color w:val="943634"/>
                <w:sz w:val="18"/>
                <w:szCs w:val="18"/>
                <w:lang w:val="de-DE" w:eastAsia="fr-BE"/>
              </w:rPr>
            </w:pPr>
          </w:p>
        </w:tc>
      </w:tr>
      <w:tr w:rsidR="000B433A" w:rsidRPr="005759E4" w:rsidTr="005759E4">
        <w:tc>
          <w:tcPr>
            <w:tcW w:w="1058" w:type="dxa"/>
            <w:tcBorders>
              <w:top w:val="single" w:sz="8" w:space="0" w:color="365F91"/>
            </w:tcBorders>
          </w:tcPr>
          <w:p w:rsidR="000B433A" w:rsidRPr="005759E4" w:rsidRDefault="000B433A" w:rsidP="005759E4">
            <w:pPr>
              <w:spacing w:line="240" w:lineRule="auto"/>
              <w:rPr>
                <w:b/>
                <w:bCs/>
                <w:color w:val="365F91"/>
                <w:lang w:eastAsia="fr-BE"/>
              </w:rPr>
            </w:pPr>
          </w:p>
        </w:tc>
        <w:tc>
          <w:tcPr>
            <w:tcW w:w="1850" w:type="dxa"/>
            <w:tcBorders>
              <w:top w:val="single" w:sz="8" w:space="0" w:color="365F91"/>
            </w:tcBorders>
          </w:tcPr>
          <w:p w:rsidR="000B433A" w:rsidRPr="005759E4" w:rsidRDefault="000B433A" w:rsidP="005759E4">
            <w:pPr>
              <w:spacing w:line="240" w:lineRule="auto"/>
              <w:rPr>
                <w:rFonts w:cs="Calibri"/>
                <w:color w:val="365F91"/>
                <w:sz w:val="18"/>
                <w:szCs w:val="18"/>
                <w:lang w:val="de-DE" w:eastAsia="fr-BE"/>
              </w:rPr>
            </w:pPr>
          </w:p>
        </w:tc>
        <w:tc>
          <w:tcPr>
            <w:tcW w:w="2348" w:type="dxa"/>
            <w:tcBorders>
              <w:top w:val="single" w:sz="8" w:space="0" w:color="365F91"/>
            </w:tcBorders>
          </w:tcPr>
          <w:p w:rsidR="000B433A" w:rsidRPr="005759E4" w:rsidRDefault="000B433A" w:rsidP="005759E4">
            <w:pPr>
              <w:spacing w:line="240" w:lineRule="auto"/>
              <w:ind w:right="-6"/>
              <w:rPr>
                <w:rFonts w:cs="Calibri"/>
                <w:color w:val="365F91"/>
                <w:sz w:val="18"/>
                <w:szCs w:val="18"/>
                <w:lang w:val="de-DE" w:eastAsia="fr-BE"/>
              </w:rPr>
            </w:pPr>
          </w:p>
        </w:tc>
        <w:tc>
          <w:tcPr>
            <w:tcW w:w="1906" w:type="dxa"/>
            <w:tcBorders>
              <w:top w:val="single" w:sz="8" w:space="0" w:color="365F91"/>
            </w:tcBorders>
          </w:tcPr>
          <w:p w:rsidR="000B433A" w:rsidRPr="005759E4" w:rsidRDefault="000B433A" w:rsidP="005759E4">
            <w:pPr>
              <w:spacing w:line="240" w:lineRule="auto"/>
              <w:rPr>
                <w:rFonts w:cs="Calibri"/>
                <w:color w:val="365F91"/>
                <w:sz w:val="18"/>
                <w:szCs w:val="18"/>
                <w:lang w:val="de-DE" w:eastAsia="fr-BE"/>
              </w:rPr>
            </w:pPr>
          </w:p>
        </w:tc>
        <w:tc>
          <w:tcPr>
            <w:tcW w:w="1125" w:type="dxa"/>
            <w:tcBorders>
              <w:top w:val="single" w:sz="8" w:space="0" w:color="365F91"/>
            </w:tcBorders>
          </w:tcPr>
          <w:p w:rsidR="000B433A" w:rsidRPr="005759E4" w:rsidRDefault="000B433A" w:rsidP="005759E4">
            <w:pPr>
              <w:spacing w:line="240" w:lineRule="auto"/>
              <w:rPr>
                <w:rFonts w:cs="Calibri"/>
                <w:color w:val="365F91"/>
                <w:sz w:val="18"/>
                <w:szCs w:val="18"/>
                <w:lang w:val="de-DE" w:eastAsia="fr-BE"/>
              </w:rPr>
            </w:pPr>
          </w:p>
        </w:tc>
        <w:tc>
          <w:tcPr>
            <w:tcW w:w="1001" w:type="dxa"/>
            <w:tcBorders>
              <w:top w:val="single" w:sz="8" w:space="0" w:color="365F91"/>
            </w:tcBorders>
          </w:tcPr>
          <w:p w:rsidR="000B433A" w:rsidRPr="005759E4" w:rsidRDefault="000B433A" w:rsidP="005759E4">
            <w:pPr>
              <w:spacing w:line="240" w:lineRule="auto"/>
              <w:rPr>
                <w:rFonts w:cs="Calibri"/>
                <w:color w:val="365F91"/>
                <w:sz w:val="18"/>
                <w:szCs w:val="18"/>
                <w:lang w:val="de-DE" w:eastAsia="fr-BE"/>
              </w:rPr>
            </w:pPr>
          </w:p>
        </w:tc>
      </w:tr>
      <w:tr w:rsidR="000B433A" w:rsidRPr="00D07F58" w:rsidTr="005759E4">
        <w:tc>
          <w:tcPr>
            <w:tcW w:w="9288" w:type="dxa"/>
            <w:gridSpan w:val="6"/>
            <w:tcBorders>
              <w:left w:val="nil"/>
              <w:right w:val="nil"/>
            </w:tcBorders>
            <w:shd w:val="clear" w:color="auto" w:fill="D3DFEE"/>
          </w:tcPr>
          <w:p w:rsidR="000B433A" w:rsidRPr="005759E4" w:rsidRDefault="000B433A" w:rsidP="005759E4">
            <w:pPr>
              <w:spacing w:line="240" w:lineRule="auto"/>
              <w:rPr>
                <w:rFonts w:cs="Calibri"/>
                <w:b/>
                <w:bCs/>
                <w:color w:val="365F91"/>
                <w:sz w:val="18"/>
                <w:szCs w:val="18"/>
                <w:lang w:val="de-DE" w:eastAsia="fr-BE"/>
              </w:rPr>
            </w:pPr>
            <w:r w:rsidRPr="005759E4">
              <w:rPr>
                <w:b/>
                <w:bCs/>
                <w:color w:val="365F91"/>
                <w:sz w:val="28"/>
                <w:lang w:val="de-DE" w:eastAsia="fr-BE"/>
              </w:rPr>
              <w:t xml:space="preserve"> * </w:t>
            </w:r>
            <w:r w:rsidRPr="005759E4">
              <w:rPr>
                <w:bCs/>
                <w:color w:val="365F91"/>
                <w:sz w:val="18"/>
                <w:szCs w:val="18"/>
                <w:lang w:val="de-DE" w:eastAsia="fr-BE"/>
              </w:rPr>
              <w:t>: Richtlinie 2008/50/EG über Luftqualität und saubere Luft für Europa</w:t>
            </w:r>
          </w:p>
        </w:tc>
      </w:tr>
      <w:tr w:rsidR="000B433A" w:rsidRPr="00D90C77" w:rsidTr="005759E4">
        <w:tc>
          <w:tcPr>
            <w:tcW w:w="9288" w:type="dxa"/>
            <w:gridSpan w:val="6"/>
            <w:tcBorders>
              <w:bottom w:val="nil"/>
            </w:tcBorders>
          </w:tcPr>
          <w:tbl>
            <w:tblPr>
              <w:tblW w:w="0" w:type="auto"/>
              <w:tblBorders>
                <w:top w:val="single" w:sz="8" w:space="0" w:color="4F81BD"/>
                <w:bottom w:val="single" w:sz="8" w:space="0" w:color="4F81BD"/>
              </w:tblBorders>
              <w:tblLook w:val="00A0"/>
            </w:tblPr>
            <w:tblGrid>
              <w:gridCol w:w="9072"/>
            </w:tblGrid>
            <w:tr w:rsidR="000B433A" w:rsidRPr="00D90C77" w:rsidTr="005759E4">
              <w:tc>
                <w:tcPr>
                  <w:tcW w:w="9288" w:type="dxa"/>
                  <w:tcBorders>
                    <w:top w:val="single" w:sz="8" w:space="0" w:color="4F81BD"/>
                    <w:left w:val="nil"/>
                    <w:bottom w:val="single" w:sz="8" w:space="0" w:color="4F81BD"/>
                    <w:right w:val="nil"/>
                  </w:tcBorders>
                </w:tcPr>
                <w:p w:rsidR="000B433A" w:rsidRPr="005759E4" w:rsidRDefault="000B433A" w:rsidP="005759E4">
                  <w:pPr>
                    <w:spacing w:line="240" w:lineRule="auto"/>
                    <w:rPr>
                      <w:rFonts w:cs="Calibri"/>
                      <w:b/>
                      <w:bCs/>
                      <w:color w:val="943634"/>
                      <w:sz w:val="18"/>
                      <w:szCs w:val="18"/>
                      <w:lang w:val="de-DE" w:eastAsia="fr-BE"/>
                    </w:rPr>
                  </w:pPr>
                  <w:r w:rsidRPr="005759E4">
                    <w:rPr>
                      <w:b/>
                      <w:bCs/>
                      <w:color w:val="943634"/>
                      <w:sz w:val="28"/>
                      <w:lang w:val="de-DE" w:eastAsia="fr-BE"/>
                    </w:rPr>
                    <w:t xml:space="preserve">* </w:t>
                  </w:r>
                  <w:r w:rsidRPr="005759E4">
                    <w:rPr>
                      <w:bCs/>
                      <w:color w:val="943634"/>
                      <w:sz w:val="18"/>
                      <w:szCs w:val="18"/>
                      <w:lang w:val="de-DE" w:eastAsia="fr-BE"/>
                    </w:rPr>
                    <w:t>Richtlinie 2004/107/EG über Arsen, Cadmium, Quecksilber, Nickel und polyzyklische aromatische Kohlenwasserstoffe in der Luft</w:t>
                  </w:r>
                </w:p>
              </w:tc>
            </w:tr>
          </w:tbl>
          <w:p w:rsidR="000B433A" w:rsidRPr="005759E4" w:rsidRDefault="000B433A" w:rsidP="005759E4">
            <w:pPr>
              <w:spacing w:line="240" w:lineRule="auto"/>
              <w:rPr>
                <w:rFonts w:cs="Calibri"/>
                <w:b/>
                <w:bCs/>
                <w:color w:val="365F91"/>
                <w:sz w:val="18"/>
                <w:szCs w:val="18"/>
                <w:lang w:val="de-DE" w:eastAsia="fr-BE"/>
              </w:rPr>
            </w:pPr>
          </w:p>
        </w:tc>
      </w:tr>
      <w:tr w:rsidR="000B433A" w:rsidRPr="00D90C77" w:rsidTr="005759E4">
        <w:tc>
          <w:tcPr>
            <w:tcW w:w="9288" w:type="dxa"/>
            <w:gridSpan w:val="6"/>
            <w:tcBorders>
              <w:top w:val="nil"/>
              <w:left w:val="nil"/>
              <w:bottom w:val="nil"/>
              <w:right w:val="nil"/>
            </w:tcBorders>
            <w:shd w:val="clear" w:color="auto" w:fill="D3DFEE"/>
          </w:tcPr>
          <w:p w:rsidR="000B433A" w:rsidRPr="005759E4" w:rsidRDefault="000B433A" w:rsidP="005759E4">
            <w:pPr>
              <w:spacing w:line="240" w:lineRule="auto"/>
              <w:rPr>
                <w:b/>
                <w:bCs/>
                <w:color w:val="548DD4"/>
                <w:sz w:val="18"/>
                <w:szCs w:val="18"/>
                <w:lang w:val="de-DE" w:eastAsia="fr-BE"/>
              </w:rPr>
            </w:pPr>
            <w:r w:rsidRPr="005759E4">
              <w:rPr>
                <w:bCs/>
                <w:color w:val="548DD4"/>
                <w:sz w:val="28"/>
                <w:lang w:val="de-DE" w:eastAsia="fr-BE"/>
              </w:rPr>
              <w:t xml:space="preserve">  *</w:t>
            </w:r>
            <w:r w:rsidRPr="005759E4">
              <w:rPr>
                <w:bCs/>
                <w:color w:val="548DD4"/>
                <w:sz w:val="18"/>
                <w:szCs w:val="18"/>
                <w:lang w:val="de-DE" w:eastAsia="fr-BE"/>
              </w:rPr>
              <w:t>: UNECE-Übereinkommen über weiträumige grenzüberschreitende Luftverunreinigung -  Long Range Transboundary Air Pollution Convention (LRTAPC)</w:t>
            </w:r>
          </w:p>
          <w:p w:rsidR="000B433A" w:rsidRPr="005759E4" w:rsidRDefault="000B433A" w:rsidP="005759E4">
            <w:pPr>
              <w:spacing w:line="240" w:lineRule="auto"/>
              <w:rPr>
                <w:rFonts w:cs="Calibri"/>
                <w:b/>
                <w:bCs/>
                <w:color w:val="365F91"/>
                <w:sz w:val="18"/>
                <w:szCs w:val="18"/>
                <w:lang w:val="de-DE" w:eastAsia="fr-BE"/>
              </w:rPr>
            </w:pPr>
          </w:p>
        </w:tc>
      </w:tr>
    </w:tbl>
    <w:p w:rsidR="000B433A" w:rsidRDefault="000B433A" w:rsidP="000A7B30">
      <w:pPr>
        <w:rPr>
          <w:b/>
          <w:u w:val="single"/>
          <w:lang w:val="de-DE"/>
        </w:rPr>
      </w:pPr>
    </w:p>
    <w:p w:rsidR="000B433A" w:rsidRDefault="000B433A">
      <w:pPr>
        <w:spacing w:after="200"/>
        <w:jc w:val="left"/>
        <w:rPr>
          <w:b/>
          <w:u w:val="single"/>
          <w:lang w:val="de-DE"/>
        </w:rPr>
      </w:pPr>
      <w:r>
        <w:rPr>
          <w:b/>
          <w:u w:val="single"/>
          <w:lang w:val="de-DE"/>
        </w:rPr>
        <w:br w:type="page"/>
      </w:r>
    </w:p>
    <w:p w:rsidR="000B433A" w:rsidRPr="00013BF2" w:rsidRDefault="000B433A" w:rsidP="000A7B30">
      <w:pPr>
        <w:rPr>
          <w:b/>
          <w:u w:val="single"/>
          <w:lang w:val="de-DE"/>
        </w:rPr>
      </w:pPr>
      <w:r>
        <w:rPr>
          <w:b/>
          <w:u w:val="single"/>
          <w:lang w:val="de-DE"/>
        </w:rPr>
        <w:t>WHO-Luftqualitätsrichtlinien für den Gesundheitsschutz oder geschätzte Referenzniveaus (außerhalb der WHO-Normen).</w:t>
      </w:r>
    </w:p>
    <w:tbl>
      <w:tblPr>
        <w:tblW w:w="0" w:type="auto"/>
        <w:tblBorders>
          <w:top w:val="single" w:sz="8" w:space="0" w:color="4F81BD"/>
          <w:bottom w:val="single" w:sz="8" w:space="0" w:color="4F81BD"/>
        </w:tblBorders>
        <w:tblLook w:val="00A0"/>
      </w:tblPr>
      <w:tblGrid>
        <w:gridCol w:w="1094"/>
        <w:gridCol w:w="1809"/>
        <w:gridCol w:w="2279"/>
        <w:gridCol w:w="1864"/>
        <w:gridCol w:w="1289"/>
        <w:gridCol w:w="953"/>
      </w:tblGrid>
      <w:tr w:rsidR="000B433A" w:rsidRPr="005759E4" w:rsidTr="005759E4">
        <w:tc>
          <w:tcPr>
            <w:tcW w:w="1053" w:type="dxa"/>
            <w:tcBorders>
              <w:top w:val="nil"/>
              <w:left w:val="nil"/>
              <w:bottom w:val="single" w:sz="12" w:space="0" w:color="4F81BD"/>
              <w:right w:val="nil"/>
            </w:tcBorders>
          </w:tcPr>
          <w:p w:rsidR="000B433A" w:rsidRPr="005759E4" w:rsidRDefault="000B433A" w:rsidP="005759E4">
            <w:pPr>
              <w:spacing w:line="240" w:lineRule="auto"/>
              <w:rPr>
                <w:b/>
                <w:bCs/>
                <w:color w:val="365F91"/>
                <w:sz w:val="18"/>
                <w:szCs w:val="18"/>
                <w:lang w:val="de-DE" w:eastAsia="fr-BE"/>
              </w:rPr>
            </w:pPr>
            <w:r w:rsidRPr="005759E4">
              <w:rPr>
                <w:b/>
                <w:bCs/>
                <w:color w:val="365F91"/>
                <w:sz w:val="18"/>
                <w:lang w:val="de-DE" w:eastAsia="fr-BE"/>
              </w:rPr>
              <w:t>Schadstoffe</w:t>
            </w:r>
          </w:p>
        </w:tc>
        <w:tc>
          <w:tcPr>
            <w:tcW w:w="1814" w:type="dxa"/>
            <w:tcBorders>
              <w:top w:val="nil"/>
              <w:left w:val="nil"/>
              <w:bottom w:val="single" w:sz="12" w:space="0" w:color="4F81BD"/>
              <w:right w:val="nil"/>
            </w:tcBorders>
          </w:tcPr>
          <w:p w:rsidR="000B433A" w:rsidRPr="005759E4" w:rsidRDefault="000B433A" w:rsidP="005759E4">
            <w:pPr>
              <w:spacing w:line="240" w:lineRule="auto"/>
              <w:rPr>
                <w:b/>
                <w:bCs/>
                <w:color w:val="365F91"/>
                <w:sz w:val="18"/>
                <w:szCs w:val="18"/>
                <w:lang w:val="de-DE" w:eastAsia="fr-BE"/>
              </w:rPr>
            </w:pPr>
            <w:r w:rsidRPr="005759E4">
              <w:rPr>
                <w:b/>
                <w:bCs/>
                <w:color w:val="365F91"/>
                <w:sz w:val="18"/>
                <w:lang w:val="de-DE" w:eastAsia="fr-BE"/>
              </w:rPr>
              <w:t>Durchschnittlicher Zeitraum</w:t>
            </w:r>
          </w:p>
        </w:tc>
        <w:tc>
          <w:tcPr>
            <w:tcW w:w="2287" w:type="dxa"/>
            <w:tcBorders>
              <w:top w:val="nil"/>
              <w:left w:val="nil"/>
              <w:bottom w:val="single" w:sz="12" w:space="0" w:color="4F81BD"/>
              <w:right w:val="nil"/>
            </w:tcBorders>
          </w:tcPr>
          <w:p w:rsidR="000B433A" w:rsidRPr="005759E4" w:rsidRDefault="000B433A" w:rsidP="005759E4">
            <w:pPr>
              <w:spacing w:line="240" w:lineRule="auto"/>
              <w:ind w:right="-6"/>
              <w:rPr>
                <w:b/>
                <w:bCs/>
                <w:color w:val="365F91"/>
                <w:sz w:val="18"/>
                <w:szCs w:val="18"/>
                <w:lang w:val="de-DE" w:eastAsia="fr-BE"/>
              </w:rPr>
            </w:pPr>
            <w:r w:rsidRPr="005759E4">
              <w:rPr>
                <w:b/>
                <w:bCs/>
                <w:color w:val="365F91"/>
                <w:sz w:val="18"/>
                <w:lang w:val="de-DE" w:eastAsia="fr-BE"/>
              </w:rPr>
              <w:t>Luftqualitätsrichtwerte</w:t>
            </w:r>
          </w:p>
        </w:tc>
        <w:tc>
          <w:tcPr>
            <w:tcW w:w="1872" w:type="dxa"/>
            <w:tcBorders>
              <w:top w:val="nil"/>
              <w:left w:val="nil"/>
              <w:bottom w:val="single" w:sz="12" w:space="0" w:color="4F81BD"/>
              <w:right w:val="nil"/>
            </w:tcBorders>
          </w:tcPr>
          <w:p w:rsidR="000B433A" w:rsidRPr="005759E4" w:rsidRDefault="000B433A" w:rsidP="005759E4">
            <w:pPr>
              <w:spacing w:line="240" w:lineRule="auto"/>
              <w:rPr>
                <w:b/>
                <w:bCs/>
                <w:color w:val="365F91"/>
                <w:sz w:val="18"/>
                <w:szCs w:val="18"/>
                <w:lang w:val="de-DE" w:eastAsia="fr-BE"/>
              </w:rPr>
            </w:pPr>
            <w:r w:rsidRPr="005759E4">
              <w:rPr>
                <w:b/>
                <w:bCs/>
                <w:color w:val="365F91"/>
                <w:sz w:val="18"/>
                <w:lang w:val="de-DE" w:eastAsia="fr-BE"/>
              </w:rPr>
              <w:t>Referenzniveaus*</w:t>
            </w:r>
          </w:p>
        </w:tc>
        <w:tc>
          <w:tcPr>
            <w:tcW w:w="1291" w:type="dxa"/>
            <w:tcBorders>
              <w:top w:val="nil"/>
              <w:left w:val="nil"/>
              <w:bottom w:val="single" w:sz="12" w:space="0" w:color="4F81BD"/>
              <w:right w:val="nil"/>
            </w:tcBorders>
          </w:tcPr>
          <w:p w:rsidR="000B433A" w:rsidRPr="005759E4" w:rsidRDefault="000B433A" w:rsidP="005759E4">
            <w:pPr>
              <w:spacing w:line="240" w:lineRule="auto"/>
              <w:rPr>
                <w:b/>
                <w:bCs/>
                <w:color w:val="365F91"/>
                <w:sz w:val="18"/>
                <w:szCs w:val="18"/>
                <w:lang w:val="de-DE" w:eastAsia="fr-BE"/>
              </w:rPr>
            </w:pPr>
            <w:r w:rsidRPr="005759E4">
              <w:rPr>
                <w:b/>
                <w:bCs/>
                <w:color w:val="365F91"/>
                <w:sz w:val="18"/>
                <w:lang w:val="de-DE" w:eastAsia="fr-BE"/>
              </w:rPr>
              <w:t>Kommentare</w:t>
            </w:r>
          </w:p>
        </w:tc>
        <w:tc>
          <w:tcPr>
            <w:tcW w:w="971" w:type="dxa"/>
            <w:tcBorders>
              <w:top w:val="nil"/>
              <w:left w:val="nil"/>
              <w:bottom w:val="single" w:sz="12" w:space="0" w:color="4F81BD"/>
              <w:right w:val="nil"/>
            </w:tcBorders>
          </w:tcPr>
          <w:p w:rsidR="000B433A" w:rsidRPr="005759E4" w:rsidRDefault="000B433A" w:rsidP="005759E4">
            <w:pPr>
              <w:spacing w:line="240" w:lineRule="auto"/>
              <w:rPr>
                <w:b/>
                <w:bCs/>
                <w:color w:val="365F91"/>
                <w:sz w:val="18"/>
                <w:szCs w:val="18"/>
                <w:lang w:val="de-DE" w:eastAsia="fr-BE"/>
              </w:rPr>
            </w:pPr>
          </w:p>
        </w:tc>
      </w:tr>
      <w:tr w:rsidR="000B433A" w:rsidRPr="005759E4" w:rsidTr="005759E4">
        <w:tc>
          <w:tcPr>
            <w:tcW w:w="1053" w:type="dxa"/>
            <w:tcBorders>
              <w:left w:val="nil"/>
              <w:right w:val="nil"/>
            </w:tcBorders>
            <w:shd w:val="clear" w:color="auto" w:fill="D3DFEE"/>
          </w:tcPr>
          <w:p w:rsidR="000B433A" w:rsidRPr="005759E4" w:rsidRDefault="000B433A" w:rsidP="005759E4">
            <w:pPr>
              <w:spacing w:line="240" w:lineRule="auto"/>
              <w:rPr>
                <w:b/>
                <w:bCs/>
                <w:color w:val="365F91"/>
                <w:lang w:eastAsia="fr-BE"/>
              </w:rPr>
            </w:pPr>
            <w:r w:rsidRPr="005759E4">
              <w:rPr>
                <w:b/>
                <w:bCs/>
                <w:color w:val="365F91"/>
                <w:sz w:val="22"/>
                <w:lang w:eastAsia="fr-BE"/>
              </w:rPr>
              <w:t>SO</w:t>
            </w:r>
            <w:r w:rsidRPr="005759E4">
              <w:rPr>
                <w:b/>
                <w:bCs/>
                <w:color w:val="365F91"/>
                <w:sz w:val="22"/>
                <w:vertAlign w:val="subscript"/>
                <w:lang w:val="de-DE" w:eastAsia="fr-BE"/>
              </w:rPr>
              <w:t>2</w:t>
            </w:r>
          </w:p>
        </w:tc>
        <w:tc>
          <w:tcPr>
            <w:tcW w:w="1814" w:type="dxa"/>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10 Minuten</w:t>
            </w:r>
          </w:p>
        </w:tc>
        <w:tc>
          <w:tcPr>
            <w:tcW w:w="2287" w:type="dxa"/>
            <w:tcBorders>
              <w:left w:val="nil"/>
              <w:right w:val="nil"/>
            </w:tcBorders>
            <w:shd w:val="clear" w:color="auto" w:fill="D3DFEE"/>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500 µg/m</w:t>
            </w:r>
            <w:r w:rsidRPr="005759E4">
              <w:rPr>
                <w:color w:val="365F91"/>
                <w:sz w:val="18"/>
                <w:szCs w:val="18"/>
                <w:vertAlign w:val="superscript"/>
                <w:lang w:val="de-DE" w:eastAsia="fr-BE"/>
              </w:rPr>
              <w:t>3</w:t>
            </w:r>
          </w:p>
        </w:tc>
        <w:tc>
          <w:tcPr>
            <w:tcW w:w="1872" w:type="dxa"/>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p>
        </w:tc>
        <w:tc>
          <w:tcPr>
            <w:tcW w:w="1291" w:type="dxa"/>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p>
        </w:tc>
        <w:tc>
          <w:tcPr>
            <w:tcW w:w="971" w:type="dxa"/>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p>
        </w:tc>
      </w:tr>
      <w:tr w:rsidR="000B433A" w:rsidRPr="005759E4" w:rsidTr="005759E4">
        <w:tc>
          <w:tcPr>
            <w:tcW w:w="1053" w:type="dxa"/>
          </w:tcPr>
          <w:p w:rsidR="000B433A" w:rsidRPr="005759E4" w:rsidRDefault="000B433A" w:rsidP="005759E4">
            <w:pPr>
              <w:spacing w:line="240" w:lineRule="auto"/>
              <w:rPr>
                <w:b/>
                <w:bCs/>
                <w:color w:val="365F91"/>
                <w:lang w:eastAsia="fr-BE"/>
              </w:rPr>
            </w:pPr>
          </w:p>
        </w:tc>
        <w:tc>
          <w:tcPr>
            <w:tcW w:w="1814" w:type="dxa"/>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1 Tag</w:t>
            </w:r>
          </w:p>
        </w:tc>
        <w:tc>
          <w:tcPr>
            <w:tcW w:w="2287" w:type="dxa"/>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20 µg/m</w:t>
            </w:r>
            <w:r w:rsidRPr="005759E4">
              <w:rPr>
                <w:color w:val="365F91"/>
                <w:sz w:val="18"/>
                <w:szCs w:val="18"/>
                <w:vertAlign w:val="superscript"/>
                <w:lang w:val="de-DE" w:eastAsia="fr-BE"/>
              </w:rPr>
              <w:t>3</w:t>
            </w:r>
          </w:p>
        </w:tc>
        <w:tc>
          <w:tcPr>
            <w:tcW w:w="1872" w:type="dxa"/>
          </w:tcPr>
          <w:p w:rsidR="000B433A" w:rsidRPr="005759E4" w:rsidRDefault="000B433A" w:rsidP="005759E4">
            <w:pPr>
              <w:spacing w:line="240" w:lineRule="auto"/>
              <w:rPr>
                <w:color w:val="365F91"/>
                <w:sz w:val="18"/>
                <w:szCs w:val="18"/>
                <w:lang w:val="de-DE" w:eastAsia="fr-BE"/>
              </w:rPr>
            </w:pPr>
          </w:p>
        </w:tc>
        <w:tc>
          <w:tcPr>
            <w:tcW w:w="1291" w:type="dxa"/>
          </w:tcPr>
          <w:p w:rsidR="000B433A" w:rsidRPr="005759E4" w:rsidRDefault="000B433A" w:rsidP="005759E4">
            <w:pPr>
              <w:spacing w:line="240" w:lineRule="auto"/>
              <w:rPr>
                <w:color w:val="365F91"/>
                <w:sz w:val="18"/>
                <w:szCs w:val="18"/>
                <w:lang w:val="de-DE" w:eastAsia="fr-BE"/>
              </w:rPr>
            </w:pPr>
          </w:p>
        </w:tc>
        <w:tc>
          <w:tcPr>
            <w:tcW w:w="971" w:type="dxa"/>
          </w:tcPr>
          <w:p w:rsidR="000B433A" w:rsidRPr="005759E4" w:rsidRDefault="000B433A" w:rsidP="005759E4">
            <w:pPr>
              <w:spacing w:line="240" w:lineRule="auto"/>
              <w:rPr>
                <w:color w:val="365F91"/>
                <w:sz w:val="18"/>
                <w:szCs w:val="18"/>
                <w:lang w:val="de-DE" w:eastAsia="fr-BE"/>
              </w:rPr>
            </w:pPr>
          </w:p>
        </w:tc>
      </w:tr>
      <w:tr w:rsidR="000B433A" w:rsidRPr="005759E4" w:rsidTr="005759E4">
        <w:tc>
          <w:tcPr>
            <w:tcW w:w="1053" w:type="dxa"/>
            <w:tcBorders>
              <w:left w:val="nil"/>
              <w:right w:val="nil"/>
            </w:tcBorders>
            <w:shd w:val="clear" w:color="auto" w:fill="D3DFEE"/>
          </w:tcPr>
          <w:p w:rsidR="000B433A" w:rsidRPr="005759E4" w:rsidRDefault="000B433A" w:rsidP="005759E4">
            <w:pPr>
              <w:spacing w:line="240" w:lineRule="auto"/>
              <w:rPr>
                <w:b/>
                <w:bCs/>
                <w:color w:val="365F91"/>
                <w:lang w:eastAsia="fr-BE"/>
              </w:rPr>
            </w:pPr>
            <w:r w:rsidRPr="005759E4">
              <w:rPr>
                <w:b/>
                <w:bCs/>
                <w:color w:val="365F91"/>
                <w:sz w:val="22"/>
                <w:lang w:eastAsia="fr-BE"/>
              </w:rPr>
              <w:t>NO</w:t>
            </w:r>
            <w:r w:rsidRPr="005759E4">
              <w:rPr>
                <w:b/>
                <w:bCs/>
                <w:color w:val="365F91"/>
                <w:sz w:val="22"/>
                <w:vertAlign w:val="subscript"/>
                <w:lang w:val="de-DE" w:eastAsia="fr-BE"/>
              </w:rPr>
              <w:t>2</w:t>
            </w:r>
          </w:p>
        </w:tc>
        <w:tc>
          <w:tcPr>
            <w:tcW w:w="1814" w:type="dxa"/>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1 Stunde</w:t>
            </w:r>
          </w:p>
        </w:tc>
        <w:tc>
          <w:tcPr>
            <w:tcW w:w="2287" w:type="dxa"/>
            <w:tcBorders>
              <w:left w:val="nil"/>
              <w:right w:val="nil"/>
            </w:tcBorders>
            <w:shd w:val="clear" w:color="auto" w:fill="D3DFEE"/>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500 µg/m</w:t>
            </w:r>
            <w:r w:rsidRPr="005759E4">
              <w:rPr>
                <w:color w:val="365F91"/>
                <w:sz w:val="18"/>
                <w:szCs w:val="18"/>
                <w:vertAlign w:val="superscript"/>
                <w:lang w:val="de-DE" w:eastAsia="fr-BE"/>
              </w:rPr>
              <w:t>3</w:t>
            </w:r>
          </w:p>
        </w:tc>
        <w:tc>
          <w:tcPr>
            <w:tcW w:w="1872" w:type="dxa"/>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p>
        </w:tc>
        <w:tc>
          <w:tcPr>
            <w:tcW w:w="1291" w:type="dxa"/>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p>
        </w:tc>
        <w:tc>
          <w:tcPr>
            <w:tcW w:w="971" w:type="dxa"/>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p>
        </w:tc>
      </w:tr>
      <w:tr w:rsidR="000B433A" w:rsidRPr="005759E4" w:rsidTr="005759E4">
        <w:tc>
          <w:tcPr>
            <w:tcW w:w="1053" w:type="dxa"/>
          </w:tcPr>
          <w:p w:rsidR="000B433A" w:rsidRPr="005759E4" w:rsidRDefault="000B433A" w:rsidP="005759E4">
            <w:pPr>
              <w:spacing w:line="240" w:lineRule="auto"/>
              <w:rPr>
                <w:b/>
                <w:bCs/>
                <w:color w:val="365F91"/>
                <w:lang w:eastAsia="fr-BE"/>
              </w:rPr>
            </w:pPr>
          </w:p>
        </w:tc>
        <w:tc>
          <w:tcPr>
            <w:tcW w:w="1814" w:type="dxa"/>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1 Jahr</w:t>
            </w:r>
          </w:p>
        </w:tc>
        <w:tc>
          <w:tcPr>
            <w:tcW w:w="2287" w:type="dxa"/>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10 µg/m</w:t>
            </w:r>
            <w:r w:rsidRPr="005759E4">
              <w:rPr>
                <w:color w:val="365F91"/>
                <w:sz w:val="18"/>
                <w:szCs w:val="18"/>
                <w:vertAlign w:val="superscript"/>
                <w:lang w:val="de-DE" w:eastAsia="fr-BE"/>
              </w:rPr>
              <w:t>3</w:t>
            </w:r>
          </w:p>
        </w:tc>
        <w:tc>
          <w:tcPr>
            <w:tcW w:w="1872" w:type="dxa"/>
          </w:tcPr>
          <w:p w:rsidR="000B433A" w:rsidRPr="005759E4" w:rsidRDefault="000B433A" w:rsidP="005759E4">
            <w:pPr>
              <w:spacing w:line="240" w:lineRule="auto"/>
              <w:rPr>
                <w:color w:val="365F91"/>
                <w:sz w:val="18"/>
                <w:szCs w:val="18"/>
                <w:lang w:val="de-DE" w:eastAsia="fr-BE"/>
              </w:rPr>
            </w:pPr>
          </w:p>
        </w:tc>
        <w:tc>
          <w:tcPr>
            <w:tcW w:w="1291" w:type="dxa"/>
          </w:tcPr>
          <w:p w:rsidR="000B433A" w:rsidRPr="005759E4" w:rsidRDefault="000B433A" w:rsidP="005759E4">
            <w:pPr>
              <w:spacing w:line="240" w:lineRule="auto"/>
              <w:rPr>
                <w:color w:val="365F91"/>
                <w:sz w:val="18"/>
                <w:szCs w:val="18"/>
                <w:lang w:val="de-DE" w:eastAsia="fr-BE"/>
              </w:rPr>
            </w:pPr>
          </w:p>
        </w:tc>
        <w:tc>
          <w:tcPr>
            <w:tcW w:w="971" w:type="dxa"/>
          </w:tcPr>
          <w:p w:rsidR="000B433A" w:rsidRPr="005759E4" w:rsidRDefault="000B433A" w:rsidP="005759E4">
            <w:pPr>
              <w:spacing w:line="240" w:lineRule="auto"/>
              <w:rPr>
                <w:color w:val="365F91"/>
                <w:sz w:val="18"/>
                <w:szCs w:val="18"/>
                <w:lang w:val="de-DE" w:eastAsia="fr-BE"/>
              </w:rPr>
            </w:pPr>
          </w:p>
        </w:tc>
      </w:tr>
      <w:tr w:rsidR="000B433A" w:rsidRPr="005759E4" w:rsidTr="005759E4">
        <w:tc>
          <w:tcPr>
            <w:tcW w:w="1053" w:type="dxa"/>
            <w:tcBorders>
              <w:left w:val="nil"/>
              <w:right w:val="nil"/>
            </w:tcBorders>
            <w:shd w:val="clear" w:color="auto" w:fill="D3DFEE"/>
          </w:tcPr>
          <w:p w:rsidR="000B433A" w:rsidRPr="005759E4" w:rsidRDefault="000B433A" w:rsidP="005759E4">
            <w:pPr>
              <w:spacing w:line="240" w:lineRule="auto"/>
              <w:rPr>
                <w:b/>
                <w:bCs/>
                <w:color w:val="365F91"/>
                <w:lang w:eastAsia="fr-BE"/>
              </w:rPr>
            </w:pPr>
            <w:r w:rsidRPr="005759E4">
              <w:rPr>
                <w:b/>
                <w:bCs/>
                <w:color w:val="365F91"/>
                <w:sz w:val="22"/>
                <w:lang w:eastAsia="fr-BE"/>
              </w:rPr>
              <w:t>PM10</w:t>
            </w:r>
          </w:p>
        </w:tc>
        <w:tc>
          <w:tcPr>
            <w:tcW w:w="1814" w:type="dxa"/>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1 Tag</w:t>
            </w:r>
          </w:p>
        </w:tc>
        <w:tc>
          <w:tcPr>
            <w:tcW w:w="2287" w:type="dxa"/>
            <w:tcBorders>
              <w:left w:val="nil"/>
              <w:right w:val="nil"/>
            </w:tcBorders>
            <w:shd w:val="clear" w:color="auto" w:fill="D3DFEE"/>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50 µg/m</w:t>
            </w:r>
            <w:r w:rsidRPr="005759E4">
              <w:rPr>
                <w:color w:val="365F91"/>
                <w:sz w:val="18"/>
                <w:szCs w:val="18"/>
                <w:vertAlign w:val="superscript"/>
                <w:lang w:val="de-DE" w:eastAsia="fr-BE"/>
              </w:rPr>
              <w:t>3</w:t>
            </w:r>
          </w:p>
        </w:tc>
        <w:tc>
          <w:tcPr>
            <w:tcW w:w="1872" w:type="dxa"/>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p>
        </w:tc>
        <w:tc>
          <w:tcPr>
            <w:tcW w:w="2262" w:type="dxa"/>
            <w:gridSpan w:val="2"/>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Perzentil 99 (3 T./Jahr)</w:t>
            </w:r>
          </w:p>
        </w:tc>
      </w:tr>
      <w:tr w:rsidR="000B433A" w:rsidRPr="005759E4" w:rsidTr="005759E4">
        <w:tc>
          <w:tcPr>
            <w:tcW w:w="1053" w:type="dxa"/>
          </w:tcPr>
          <w:p w:rsidR="000B433A" w:rsidRPr="005759E4" w:rsidRDefault="000B433A" w:rsidP="005759E4">
            <w:pPr>
              <w:spacing w:line="240" w:lineRule="auto"/>
              <w:rPr>
                <w:b/>
                <w:bCs/>
                <w:color w:val="365F91"/>
                <w:lang w:eastAsia="fr-BE"/>
              </w:rPr>
            </w:pPr>
          </w:p>
        </w:tc>
        <w:tc>
          <w:tcPr>
            <w:tcW w:w="1814" w:type="dxa"/>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1 Jahr</w:t>
            </w:r>
          </w:p>
        </w:tc>
        <w:tc>
          <w:tcPr>
            <w:tcW w:w="2287" w:type="dxa"/>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20 µg/m</w:t>
            </w:r>
            <w:r w:rsidRPr="005759E4">
              <w:rPr>
                <w:color w:val="365F91"/>
                <w:sz w:val="18"/>
                <w:szCs w:val="18"/>
                <w:vertAlign w:val="superscript"/>
                <w:lang w:val="de-DE" w:eastAsia="fr-BE"/>
              </w:rPr>
              <w:t>3</w:t>
            </w:r>
          </w:p>
        </w:tc>
        <w:tc>
          <w:tcPr>
            <w:tcW w:w="1872" w:type="dxa"/>
          </w:tcPr>
          <w:p w:rsidR="000B433A" w:rsidRPr="005759E4" w:rsidRDefault="000B433A" w:rsidP="005759E4">
            <w:pPr>
              <w:spacing w:line="240" w:lineRule="auto"/>
              <w:rPr>
                <w:color w:val="365F91"/>
                <w:sz w:val="18"/>
                <w:szCs w:val="18"/>
                <w:lang w:val="de-DE" w:eastAsia="fr-BE"/>
              </w:rPr>
            </w:pPr>
          </w:p>
        </w:tc>
        <w:tc>
          <w:tcPr>
            <w:tcW w:w="1291" w:type="dxa"/>
          </w:tcPr>
          <w:p w:rsidR="000B433A" w:rsidRPr="005759E4" w:rsidRDefault="000B433A" w:rsidP="005759E4">
            <w:pPr>
              <w:spacing w:line="240" w:lineRule="auto"/>
              <w:rPr>
                <w:color w:val="365F91"/>
                <w:sz w:val="18"/>
                <w:szCs w:val="18"/>
                <w:lang w:val="de-DE" w:eastAsia="fr-BE"/>
              </w:rPr>
            </w:pPr>
          </w:p>
        </w:tc>
        <w:tc>
          <w:tcPr>
            <w:tcW w:w="971" w:type="dxa"/>
          </w:tcPr>
          <w:p w:rsidR="000B433A" w:rsidRPr="005759E4" w:rsidRDefault="000B433A" w:rsidP="005759E4">
            <w:pPr>
              <w:spacing w:line="240" w:lineRule="auto"/>
              <w:rPr>
                <w:color w:val="365F91"/>
                <w:sz w:val="18"/>
                <w:szCs w:val="18"/>
                <w:lang w:val="de-DE" w:eastAsia="fr-BE"/>
              </w:rPr>
            </w:pPr>
          </w:p>
        </w:tc>
      </w:tr>
      <w:tr w:rsidR="000B433A" w:rsidRPr="005759E4" w:rsidTr="005759E4">
        <w:tc>
          <w:tcPr>
            <w:tcW w:w="1053" w:type="dxa"/>
            <w:tcBorders>
              <w:left w:val="nil"/>
              <w:right w:val="nil"/>
            </w:tcBorders>
            <w:shd w:val="clear" w:color="auto" w:fill="D3DFEE"/>
          </w:tcPr>
          <w:p w:rsidR="000B433A" w:rsidRPr="005759E4" w:rsidRDefault="000B433A" w:rsidP="005759E4">
            <w:pPr>
              <w:spacing w:line="240" w:lineRule="auto"/>
              <w:rPr>
                <w:b/>
                <w:bCs/>
                <w:color w:val="365F91"/>
                <w:lang w:eastAsia="fr-BE"/>
              </w:rPr>
            </w:pPr>
            <w:r w:rsidRPr="005759E4">
              <w:rPr>
                <w:b/>
                <w:bCs/>
                <w:color w:val="365F91"/>
                <w:sz w:val="22"/>
                <w:lang w:eastAsia="fr-BE"/>
              </w:rPr>
              <w:t>PM2</w:t>
            </w:r>
            <w:proofErr w:type="gramStart"/>
            <w:r w:rsidRPr="005759E4">
              <w:rPr>
                <w:b/>
                <w:bCs/>
                <w:color w:val="365F91"/>
                <w:sz w:val="22"/>
                <w:lang w:eastAsia="fr-BE"/>
              </w:rPr>
              <w:t>,5</w:t>
            </w:r>
            <w:proofErr w:type="gramEnd"/>
          </w:p>
        </w:tc>
        <w:tc>
          <w:tcPr>
            <w:tcW w:w="1814" w:type="dxa"/>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1 Tag</w:t>
            </w:r>
          </w:p>
        </w:tc>
        <w:tc>
          <w:tcPr>
            <w:tcW w:w="2287" w:type="dxa"/>
            <w:tcBorders>
              <w:left w:val="nil"/>
              <w:right w:val="nil"/>
            </w:tcBorders>
            <w:shd w:val="clear" w:color="auto" w:fill="D3DFEE"/>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25 µg/m</w:t>
            </w:r>
            <w:r w:rsidRPr="005759E4">
              <w:rPr>
                <w:color w:val="365F91"/>
                <w:sz w:val="18"/>
                <w:szCs w:val="18"/>
                <w:vertAlign w:val="superscript"/>
                <w:lang w:val="de-DE" w:eastAsia="fr-BE"/>
              </w:rPr>
              <w:t>3</w:t>
            </w:r>
          </w:p>
        </w:tc>
        <w:tc>
          <w:tcPr>
            <w:tcW w:w="1872" w:type="dxa"/>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p>
        </w:tc>
        <w:tc>
          <w:tcPr>
            <w:tcW w:w="2262" w:type="dxa"/>
            <w:gridSpan w:val="2"/>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 xml:space="preserve">Perzentil 99 (3 T./Jahr) </w:t>
            </w:r>
          </w:p>
        </w:tc>
      </w:tr>
      <w:tr w:rsidR="000B433A" w:rsidRPr="005759E4" w:rsidTr="005759E4">
        <w:tc>
          <w:tcPr>
            <w:tcW w:w="1053" w:type="dxa"/>
          </w:tcPr>
          <w:p w:rsidR="000B433A" w:rsidRPr="005759E4" w:rsidRDefault="000B433A" w:rsidP="005759E4">
            <w:pPr>
              <w:spacing w:line="240" w:lineRule="auto"/>
              <w:rPr>
                <w:b/>
                <w:bCs/>
                <w:color w:val="365F91"/>
                <w:lang w:eastAsia="fr-BE"/>
              </w:rPr>
            </w:pPr>
          </w:p>
        </w:tc>
        <w:tc>
          <w:tcPr>
            <w:tcW w:w="1814" w:type="dxa"/>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1 Jahr</w:t>
            </w:r>
          </w:p>
        </w:tc>
        <w:tc>
          <w:tcPr>
            <w:tcW w:w="2287" w:type="dxa"/>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10 µg/m</w:t>
            </w:r>
            <w:r w:rsidRPr="005759E4">
              <w:rPr>
                <w:color w:val="365F91"/>
                <w:sz w:val="18"/>
                <w:szCs w:val="18"/>
                <w:vertAlign w:val="superscript"/>
                <w:lang w:val="de-DE" w:eastAsia="fr-BE"/>
              </w:rPr>
              <w:t>3</w:t>
            </w:r>
          </w:p>
        </w:tc>
        <w:tc>
          <w:tcPr>
            <w:tcW w:w="1872" w:type="dxa"/>
          </w:tcPr>
          <w:p w:rsidR="000B433A" w:rsidRPr="005759E4" w:rsidRDefault="000B433A" w:rsidP="005759E4">
            <w:pPr>
              <w:spacing w:line="240" w:lineRule="auto"/>
              <w:rPr>
                <w:color w:val="365F91"/>
                <w:sz w:val="18"/>
                <w:szCs w:val="18"/>
                <w:lang w:val="de-DE" w:eastAsia="fr-BE"/>
              </w:rPr>
            </w:pPr>
          </w:p>
        </w:tc>
        <w:tc>
          <w:tcPr>
            <w:tcW w:w="1291" w:type="dxa"/>
          </w:tcPr>
          <w:p w:rsidR="000B433A" w:rsidRPr="005759E4" w:rsidRDefault="000B433A" w:rsidP="005759E4">
            <w:pPr>
              <w:spacing w:line="240" w:lineRule="auto"/>
              <w:rPr>
                <w:color w:val="365F91"/>
                <w:sz w:val="18"/>
                <w:szCs w:val="18"/>
                <w:lang w:val="de-DE" w:eastAsia="fr-BE"/>
              </w:rPr>
            </w:pPr>
          </w:p>
        </w:tc>
        <w:tc>
          <w:tcPr>
            <w:tcW w:w="971" w:type="dxa"/>
          </w:tcPr>
          <w:p w:rsidR="000B433A" w:rsidRPr="005759E4" w:rsidRDefault="000B433A" w:rsidP="005759E4">
            <w:pPr>
              <w:spacing w:line="240" w:lineRule="auto"/>
              <w:rPr>
                <w:color w:val="365F91"/>
                <w:sz w:val="18"/>
                <w:szCs w:val="18"/>
                <w:lang w:val="de-DE" w:eastAsia="fr-BE"/>
              </w:rPr>
            </w:pPr>
          </w:p>
        </w:tc>
      </w:tr>
      <w:tr w:rsidR="000B433A" w:rsidRPr="005759E4" w:rsidTr="005759E4">
        <w:tc>
          <w:tcPr>
            <w:tcW w:w="1053" w:type="dxa"/>
            <w:tcBorders>
              <w:left w:val="nil"/>
              <w:right w:val="nil"/>
            </w:tcBorders>
            <w:shd w:val="clear" w:color="auto" w:fill="D3DFEE"/>
          </w:tcPr>
          <w:p w:rsidR="000B433A" w:rsidRPr="005759E4" w:rsidRDefault="000B433A" w:rsidP="005759E4">
            <w:pPr>
              <w:spacing w:line="240" w:lineRule="auto"/>
              <w:rPr>
                <w:b/>
                <w:bCs/>
                <w:color w:val="365F91"/>
                <w:lang w:eastAsia="fr-BE"/>
              </w:rPr>
            </w:pPr>
            <w:r w:rsidRPr="005759E4">
              <w:rPr>
                <w:b/>
                <w:bCs/>
                <w:color w:val="365F91"/>
                <w:sz w:val="22"/>
                <w:lang w:eastAsia="fr-BE"/>
              </w:rPr>
              <w:t xml:space="preserve">Ozon </w:t>
            </w:r>
          </w:p>
        </w:tc>
        <w:tc>
          <w:tcPr>
            <w:tcW w:w="1814" w:type="dxa"/>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Max. täglicher gleitender Durchschnitt über einen Zeitraum von 8 Std.</w:t>
            </w:r>
          </w:p>
        </w:tc>
        <w:tc>
          <w:tcPr>
            <w:tcW w:w="2287" w:type="dxa"/>
            <w:tcBorders>
              <w:left w:val="nil"/>
              <w:right w:val="nil"/>
            </w:tcBorders>
            <w:shd w:val="clear" w:color="auto" w:fill="D3DFEE"/>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100 µg/m</w:t>
            </w:r>
            <w:r w:rsidRPr="005759E4">
              <w:rPr>
                <w:color w:val="365F91"/>
                <w:sz w:val="18"/>
                <w:szCs w:val="18"/>
                <w:vertAlign w:val="superscript"/>
                <w:lang w:val="de-DE" w:eastAsia="fr-BE"/>
              </w:rPr>
              <w:t>3</w:t>
            </w:r>
          </w:p>
        </w:tc>
        <w:tc>
          <w:tcPr>
            <w:tcW w:w="1872" w:type="dxa"/>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p>
        </w:tc>
        <w:tc>
          <w:tcPr>
            <w:tcW w:w="1291" w:type="dxa"/>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p>
        </w:tc>
        <w:tc>
          <w:tcPr>
            <w:tcW w:w="971" w:type="dxa"/>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p>
        </w:tc>
      </w:tr>
      <w:tr w:rsidR="000B433A" w:rsidRPr="005759E4" w:rsidTr="005759E4">
        <w:tc>
          <w:tcPr>
            <w:tcW w:w="1053" w:type="dxa"/>
          </w:tcPr>
          <w:p w:rsidR="000B433A" w:rsidRPr="005759E4" w:rsidRDefault="000B433A" w:rsidP="005759E4">
            <w:pPr>
              <w:spacing w:line="240" w:lineRule="auto"/>
              <w:rPr>
                <w:b/>
                <w:bCs/>
                <w:color w:val="365F91"/>
                <w:lang w:eastAsia="fr-BE"/>
              </w:rPr>
            </w:pPr>
            <w:r w:rsidRPr="005759E4">
              <w:rPr>
                <w:b/>
                <w:bCs/>
                <w:color w:val="365F91"/>
                <w:sz w:val="22"/>
                <w:lang w:eastAsia="fr-BE"/>
              </w:rPr>
              <w:t>CO</w:t>
            </w:r>
          </w:p>
        </w:tc>
        <w:tc>
          <w:tcPr>
            <w:tcW w:w="1814" w:type="dxa"/>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1 Stunde</w:t>
            </w:r>
          </w:p>
        </w:tc>
        <w:tc>
          <w:tcPr>
            <w:tcW w:w="2287" w:type="dxa"/>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30 mg/m</w:t>
            </w:r>
            <w:r w:rsidRPr="005759E4">
              <w:rPr>
                <w:color w:val="365F91"/>
                <w:sz w:val="18"/>
                <w:szCs w:val="18"/>
                <w:vertAlign w:val="superscript"/>
                <w:lang w:val="de-DE" w:eastAsia="fr-BE"/>
              </w:rPr>
              <w:t>3</w:t>
            </w:r>
          </w:p>
        </w:tc>
        <w:tc>
          <w:tcPr>
            <w:tcW w:w="1872" w:type="dxa"/>
          </w:tcPr>
          <w:p w:rsidR="000B433A" w:rsidRPr="005759E4" w:rsidRDefault="000B433A" w:rsidP="005759E4">
            <w:pPr>
              <w:spacing w:line="240" w:lineRule="auto"/>
              <w:rPr>
                <w:color w:val="365F91"/>
                <w:sz w:val="18"/>
                <w:szCs w:val="18"/>
                <w:lang w:val="de-DE" w:eastAsia="fr-BE"/>
              </w:rPr>
            </w:pPr>
          </w:p>
        </w:tc>
        <w:tc>
          <w:tcPr>
            <w:tcW w:w="1291" w:type="dxa"/>
          </w:tcPr>
          <w:p w:rsidR="000B433A" w:rsidRPr="005759E4" w:rsidRDefault="000B433A" w:rsidP="005759E4">
            <w:pPr>
              <w:spacing w:line="240" w:lineRule="auto"/>
              <w:rPr>
                <w:color w:val="365F91"/>
                <w:sz w:val="18"/>
                <w:szCs w:val="18"/>
                <w:lang w:val="de-DE" w:eastAsia="fr-BE"/>
              </w:rPr>
            </w:pPr>
          </w:p>
        </w:tc>
        <w:tc>
          <w:tcPr>
            <w:tcW w:w="971" w:type="dxa"/>
          </w:tcPr>
          <w:p w:rsidR="000B433A" w:rsidRPr="005759E4" w:rsidRDefault="000B433A" w:rsidP="005759E4">
            <w:pPr>
              <w:spacing w:line="240" w:lineRule="auto"/>
              <w:rPr>
                <w:color w:val="365F91"/>
                <w:sz w:val="18"/>
                <w:szCs w:val="18"/>
                <w:lang w:val="de-DE" w:eastAsia="fr-BE"/>
              </w:rPr>
            </w:pPr>
          </w:p>
        </w:tc>
      </w:tr>
      <w:tr w:rsidR="000B433A" w:rsidRPr="005759E4" w:rsidTr="005759E4">
        <w:tc>
          <w:tcPr>
            <w:tcW w:w="1053" w:type="dxa"/>
            <w:tcBorders>
              <w:left w:val="nil"/>
              <w:right w:val="nil"/>
            </w:tcBorders>
            <w:shd w:val="clear" w:color="auto" w:fill="D3DFEE"/>
          </w:tcPr>
          <w:p w:rsidR="000B433A" w:rsidRPr="005759E4" w:rsidRDefault="000B433A" w:rsidP="005759E4">
            <w:pPr>
              <w:spacing w:line="240" w:lineRule="auto"/>
              <w:rPr>
                <w:b/>
                <w:bCs/>
                <w:color w:val="365F91"/>
                <w:lang w:eastAsia="fr-BE"/>
              </w:rPr>
            </w:pPr>
          </w:p>
        </w:tc>
        <w:tc>
          <w:tcPr>
            <w:tcW w:w="1814" w:type="dxa"/>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Max. täglicher gleitender Durchschnitt über einen Zeitraum von 8 Std.</w:t>
            </w:r>
          </w:p>
        </w:tc>
        <w:tc>
          <w:tcPr>
            <w:tcW w:w="2287" w:type="dxa"/>
            <w:tcBorders>
              <w:left w:val="nil"/>
              <w:right w:val="nil"/>
            </w:tcBorders>
            <w:shd w:val="clear" w:color="auto" w:fill="D3DFEE"/>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10 mg/m</w:t>
            </w:r>
            <w:r w:rsidRPr="005759E4">
              <w:rPr>
                <w:color w:val="365F91"/>
                <w:sz w:val="18"/>
                <w:szCs w:val="18"/>
                <w:vertAlign w:val="superscript"/>
                <w:lang w:val="de-DE" w:eastAsia="fr-BE"/>
              </w:rPr>
              <w:t>3</w:t>
            </w:r>
          </w:p>
        </w:tc>
        <w:tc>
          <w:tcPr>
            <w:tcW w:w="1872" w:type="dxa"/>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p>
        </w:tc>
        <w:tc>
          <w:tcPr>
            <w:tcW w:w="2262" w:type="dxa"/>
            <w:gridSpan w:val="2"/>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p>
        </w:tc>
      </w:tr>
      <w:tr w:rsidR="000B433A" w:rsidRPr="005759E4" w:rsidTr="005759E4">
        <w:tc>
          <w:tcPr>
            <w:tcW w:w="1053" w:type="dxa"/>
          </w:tcPr>
          <w:p w:rsidR="000B433A" w:rsidRPr="005759E4" w:rsidRDefault="000B433A" w:rsidP="005759E4">
            <w:pPr>
              <w:spacing w:line="240" w:lineRule="auto"/>
              <w:rPr>
                <w:b/>
                <w:bCs/>
                <w:color w:val="365F91"/>
                <w:lang w:eastAsia="fr-BE"/>
              </w:rPr>
            </w:pPr>
            <w:r w:rsidRPr="005759E4">
              <w:rPr>
                <w:b/>
                <w:bCs/>
                <w:color w:val="365F91"/>
                <w:sz w:val="22"/>
                <w:lang w:eastAsia="fr-BE"/>
              </w:rPr>
              <w:t>C6H6</w:t>
            </w:r>
          </w:p>
        </w:tc>
        <w:tc>
          <w:tcPr>
            <w:tcW w:w="1814" w:type="dxa"/>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1 Jahr</w:t>
            </w:r>
          </w:p>
        </w:tc>
        <w:tc>
          <w:tcPr>
            <w:tcW w:w="2287" w:type="dxa"/>
          </w:tcPr>
          <w:p w:rsidR="000B433A" w:rsidRPr="005759E4" w:rsidRDefault="000B433A" w:rsidP="005759E4">
            <w:pPr>
              <w:spacing w:line="240" w:lineRule="auto"/>
              <w:ind w:right="-6"/>
              <w:rPr>
                <w:color w:val="365F91"/>
                <w:sz w:val="18"/>
                <w:szCs w:val="18"/>
                <w:lang w:val="de-DE" w:eastAsia="fr-BE"/>
              </w:rPr>
            </w:pPr>
          </w:p>
        </w:tc>
        <w:tc>
          <w:tcPr>
            <w:tcW w:w="1872" w:type="dxa"/>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1,7 µg/m</w:t>
            </w:r>
            <w:r w:rsidRPr="005759E4">
              <w:rPr>
                <w:color w:val="365F91"/>
                <w:sz w:val="18"/>
                <w:szCs w:val="18"/>
                <w:vertAlign w:val="superscript"/>
                <w:lang w:val="de-DE" w:eastAsia="fr-BE"/>
              </w:rPr>
              <w:t>3</w:t>
            </w:r>
          </w:p>
        </w:tc>
        <w:tc>
          <w:tcPr>
            <w:tcW w:w="1291" w:type="dxa"/>
          </w:tcPr>
          <w:p w:rsidR="000B433A" w:rsidRPr="005759E4" w:rsidRDefault="000B433A" w:rsidP="005759E4">
            <w:pPr>
              <w:spacing w:line="240" w:lineRule="auto"/>
              <w:rPr>
                <w:color w:val="365F91"/>
                <w:sz w:val="18"/>
                <w:szCs w:val="18"/>
                <w:lang w:val="de-DE" w:eastAsia="fr-BE"/>
              </w:rPr>
            </w:pPr>
          </w:p>
        </w:tc>
        <w:tc>
          <w:tcPr>
            <w:tcW w:w="971" w:type="dxa"/>
          </w:tcPr>
          <w:p w:rsidR="000B433A" w:rsidRPr="005759E4" w:rsidRDefault="000B433A" w:rsidP="005759E4">
            <w:pPr>
              <w:spacing w:line="240" w:lineRule="auto"/>
              <w:rPr>
                <w:color w:val="365F91"/>
                <w:sz w:val="18"/>
                <w:szCs w:val="18"/>
                <w:lang w:val="de-DE" w:eastAsia="fr-BE"/>
              </w:rPr>
            </w:pPr>
          </w:p>
        </w:tc>
      </w:tr>
      <w:tr w:rsidR="000B433A" w:rsidRPr="005759E4" w:rsidTr="005759E4">
        <w:tc>
          <w:tcPr>
            <w:tcW w:w="1053" w:type="dxa"/>
            <w:tcBorders>
              <w:left w:val="nil"/>
              <w:right w:val="nil"/>
            </w:tcBorders>
            <w:shd w:val="clear" w:color="auto" w:fill="D3DFEE"/>
          </w:tcPr>
          <w:p w:rsidR="000B433A" w:rsidRPr="005759E4" w:rsidRDefault="000B433A" w:rsidP="005759E4">
            <w:pPr>
              <w:spacing w:line="240" w:lineRule="auto"/>
              <w:rPr>
                <w:b/>
                <w:bCs/>
                <w:color w:val="365F91"/>
                <w:lang w:eastAsia="fr-BE"/>
              </w:rPr>
            </w:pPr>
            <w:r w:rsidRPr="005759E4">
              <w:rPr>
                <w:b/>
                <w:bCs/>
                <w:color w:val="365F91"/>
                <w:sz w:val="22"/>
                <w:lang w:eastAsia="fr-BE"/>
              </w:rPr>
              <w:t>BSP</w:t>
            </w:r>
          </w:p>
        </w:tc>
        <w:tc>
          <w:tcPr>
            <w:tcW w:w="1814" w:type="dxa"/>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1 Jahr</w:t>
            </w:r>
          </w:p>
        </w:tc>
        <w:tc>
          <w:tcPr>
            <w:tcW w:w="2287" w:type="dxa"/>
            <w:tcBorders>
              <w:left w:val="nil"/>
              <w:right w:val="nil"/>
            </w:tcBorders>
            <w:shd w:val="clear" w:color="auto" w:fill="D3DFEE"/>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0,5 µg/m</w:t>
            </w:r>
            <w:r w:rsidRPr="005759E4">
              <w:rPr>
                <w:color w:val="365F91"/>
                <w:sz w:val="18"/>
                <w:szCs w:val="18"/>
                <w:vertAlign w:val="superscript"/>
                <w:lang w:val="de-DE" w:eastAsia="fr-BE"/>
              </w:rPr>
              <w:t>3</w:t>
            </w:r>
          </w:p>
        </w:tc>
        <w:tc>
          <w:tcPr>
            <w:tcW w:w="1872" w:type="dxa"/>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p>
        </w:tc>
        <w:tc>
          <w:tcPr>
            <w:tcW w:w="1291" w:type="dxa"/>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p>
        </w:tc>
        <w:tc>
          <w:tcPr>
            <w:tcW w:w="971" w:type="dxa"/>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p>
        </w:tc>
      </w:tr>
      <w:tr w:rsidR="000B433A" w:rsidRPr="005759E4" w:rsidTr="005759E4">
        <w:tc>
          <w:tcPr>
            <w:tcW w:w="1053" w:type="dxa"/>
          </w:tcPr>
          <w:p w:rsidR="000B433A" w:rsidRPr="005759E4" w:rsidRDefault="000B433A" w:rsidP="005759E4">
            <w:pPr>
              <w:spacing w:line="240" w:lineRule="auto"/>
              <w:rPr>
                <w:b/>
                <w:bCs/>
                <w:color w:val="365F91"/>
                <w:lang w:eastAsia="fr-BE"/>
              </w:rPr>
            </w:pPr>
            <w:r w:rsidRPr="005759E4">
              <w:rPr>
                <w:b/>
                <w:bCs/>
                <w:color w:val="365F91"/>
                <w:sz w:val="22"/>
                <w:lang w:eastAsia="fr-BE"/>
              </w:rPr>
              <w:t>BaP</w:t>
            </w:r>
          </w:p>
        </w:tc>
        <w:tc>
          <w:tcPr>
            <w:tcW w:w="1814" w:type="dxa"/>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1 Jahr</w:t>
            </w:r>
          </w:p>
        </w:tc>
        <w:tc>
          <w:tcPr>
            <w:tcW w:w="2287" w:type="dxa"/>
          </w:tcPr>
          <w:p w:rsidR="000B433A" w:rsidRPr="005759E4" w:rsidRDefault="000B433A" w:rsidP="005759E4">
            <w:pPr>
              <w:spacing w:line="240" w:lineRule="auto"/>
              <w:ind w:right="-6"/>
              <w:rPr>
                <w:color w:val="365F91"/>
                <w:sz w:val="18"/>
                <w:szCs w:val="18"/>
                <w:lang w:val="de-DE" w:eastAsia="fr-BE"/>
              </w:rPr>
            </w:pPr>
          </w:p>
        </w:tc>
        <w:tc>
          <w:tcPr>
            <w:tcW w:w="1872" w:type="dxa"/>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0,12 ng/m</w:t>
            </w:r>
            <w:r w:rsidRPr="005759E4">
              <w:rPr>
                <w:color w:val="365F91"/>
                <w:sz w:val="18"/>
                <w:szCs w:val="18"/>
                <w:vertAlign w:val="superscript"/>
                <w:lang w:val="de-DE" w:eastAsia="fr-BE"/>
              </w:rPr>
              <w:t>3</w:t>
            </w:r>
          </w:p>
        </w:tc>
        <w:tc>
          <w:tcPr>
            <w:tcW w:w="1291" w:type="dxa"/>
          </w:tcPr>
          <w:p w:rsidR="000B433A" w:rsidRPr="005759E4" w:rsidRDefault="000B433A" w:rsidP="005759E4">
            <w:pPr>
              <w:spacing w:line="240" w:lineRule="auto"/>
              <w:rPr>
                <w:color w:val="365F91"/>
                <w:sz w:val="18"/>
                <w:szCs w:val="18"/>
                <w:lang w:val="de-DE" w:eastAsia="fr-BE"/>
              </w:rPr>
            </w:pPr>
          </w:p>
        </w:tc>
        <w:tc>
          <w:tcPr>
            <w:tcW w:w="971" w:type="dxa"/>
          </w:tcPr>
          <w:p w:rsidR="000B433A" w:rsidRPr="005759E4" w:rsidRDefault="000B433A" w:rsidP="005759E4">
            <w:pPr>
              <w:spacing w:line="240" w:lineRule="auto"/>
              <w:rPr>
                <w:color w:val="365F91"/>
                <w:sz w:val="18"/>
                <w:szCs w:val="18"/>
                <w:lang w:val="de-DE" w:eastAsia="fr-BE"/>
              </w:rPr>
            </w:pPr>
          </w:p>
        </w:tc>
      </w:tr>
      <w:tr w:rsidR="000B433A" w:rsidRPr="005759E4" w:rsidTr="005759E4">
        <w:tc>
          <w:tcPr>
            <w:tcW w:w="1053" w:type="dxa"/>
            <w:tcBorders>
              <w:left w:val="nil"/>
              <w:right w:val="nil"/>
            </w:tcBorders>
            <w:shd w:val="clear" w:color="auto" w:fill="D3DFEE"/>
          </w:tcPr>
          <w:p w:rsidR="000B433A" w:rsidRPr="005759E4" w:rsidRDefault="000B433A" w:rsidP="005759E4">
            <w:pPr>
              <w:spacing w:line="240" w:lineRule="auto"/>
              <w:rPr>
                <w:b/>
                <w:bCs/>
                <w:color w:val="365F91"/>
                <w:lang w:eastAsia="fr-BE"/>
              </w:rPr>
            </w:pPr>
            <w:r w:rsidRPr="005759E4">
              <w:rPr>
                <w:b/>
                <w:bCs/>
                <w:color w:val="365F91"/>
                <w:sz w:val="22"/>
                <w:lang w:eastAsia="fr-BE"/>
              </w:rPr>
              <w:t>As</w:t>
            </w:r>
          </w:p>
        </w:tc>
        <w:tc>
          <w:tcPr>
            <w:tcW w:w="1814" w:type="dxa"/>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1 Jahr</w:t>
            </w:r>
          </w:p>
        </w:tc>
        <w:tc>
          <w:tcPr>
            <w:tcW w:w="2287" w:type="dxa"/>
            <w:tcBorders>
              <w:left w:val="nil"/>
              <w:right w:val="nil"/>
            </w:tcBorders>
            <w:shd w:val="clear" w:color="auto" w:fill="D3DFEE"/>
          </w:tcPr>
          <w:p w:rsidR="000B433A" w:rsidRPr="005759E4" w:rsidRDefault="000B433A" w:rsidP="005759E4">
            <w:pPr>
              <w:spacing w:line="240" w:lineRule="auto"/>
              <w:ind w:right="-6"/>
              <w:rPr>
                <w:color w:val="365F91"/>
                <w:sz w:val="18"/>
                <w:szCs w:val="18"/>
                <w:lang w:val="de-DE" w:eastAsia="fr-BE"/>
              </w:rPr>
            </w:pPr>
          </w:p>
        </w:tc>
        <w:tc>
          <w:tcPr>
            <w:tcW w:w="1872" w:type="dxa"/>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6,6 ng/m</w:t>
            </w:r>
            <w:r w:rsidRPr="005759E4">
              <w:rPr>
                <w:color w:val="365F91"/>
                <w:sz w:val="18"/>
                <w:szCs w:val="18"/>
                <w:vertAlign w:val="superscript"/>
                <w:lang w:val="de-DE" w:eastAsia="fr-BE"/>
              </w:rPr>
              <w:t>3</w:t>
            </w:r>
          </w:p>
        </w:tc>
        <w:tc>
          <w:tcPr>
            <w:tcW w:w="1291" w:type="dxa"/>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p>
        </w:tc>
        <w:tc>
          <w:tcPr>
            <w:tcW w:w="971" w:type="dxa"/>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p>
        </w:tc>
      </w:tr>
      <w:tr w:rsidR="000B433A" w:rsidRPr="005759E4" w:rsidTr="005759E4">
        <w:tc>
          <w:tcPr>
            <w:tcW w:w="1053" w:type="dxa"/>
          </w:tcPr>
          <w:p w:rsidR="000B433A" w:rsidRPr="005759E4" w:rsidRDefault="000B433A" w:rsidP="005759E4">
            <w:pPr>
              <w:spacing w:line="240" w:lineRule="auto"/>
              <w:rPr>
                <w:b/>
                <w:bCs/>
                <w:color w:val="365F91"/>
                <w:lang w:eastAsia="fr-BE"/>
              </w:rPr>
            </w:pPr>
            <w:r w:rsidRPr="005759E4">
              <w:rPr>
                <w:b/>
                <w:bCs/>
                <w:color w:val="365F91"/>
                <w:sz w:val="22"/>
                <w:lang w:eastAsia="fr-BE"/>
              </w:rPr>
              <w:t>Ni</w:t>
            </w:r>
          </w:p>
        </w:tc>
        <w:tc>
          <w:tcPr>
            <w:tcW w:w="1814" w:type="dxa"/>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1 Jahr</w:t>
            </w:r>
          </w:p>
        </w:tc>
        <w:tc>
          <w:tcPr>
            <w:tcW w:w="2287" w:type="dxa"/>
          </w:tcPr>
          <w:p w:rsidR="000B433A" w:rsidRPr="005759E4" w:rsidRDefault="000B433A" w:rsidP="005759E4">
            <w:pPr>
              <w:spacing w:line="240" w:lineRule="auto"/>
              <w:ind w:right="-6"/>
              <w:rPr>
                <w:color w:val="365F91"/>
                <w:sz w:val="18"/>
                <w:szCs w:val="18"/>
                <w:lang w:val="de-DE" w:eastAsia="fr-BE"/>
              </w:rPr>
            </w:pPr>
          </w:p>
        </w:tc>
        <w:tc>
          <w:tcPr>
            <w:tcW w:w="1872" w:type="dxa"/>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25 ng/m</w:t>
            </w:r>
            <w:r w:rsidRPr="005759E4">
              <w:rPr>
                <w:color w:val="365F91"/>
                <w:sz w:val="18"/>
                <w:szCs w:val="18"/>
                <w:vertAlign w:val="superscript"/>
                <w:lang w:val="de-DE" w:eastAsia="fr-BE"/>
              </w:rPr>
              <w:t>3</w:t>
            </w:r>
          </w:p>
        </w:tc>
        <w:tc>
          <w:tcPr>
            <w:tcW w:w="1291" w:type="dxa"/>
          </w:tcPr>
          <w:p w:rsidR="000B433A" w:rsidRPr="005759E4" w:rsidRDefault="000B433A" w:rsidP="005759E4">
            <w:pPr>
              <w:spacing w:line="240" w:lineRule="auto"/>
              <w:rPr>
                <w:color w:val="365F91"/>
                <w:sz w:val="18"/>
                <w:szCs w:val="18"/>
                <w:lang w:val="de-DE" w:eastAsia="fr-BE"/>
              </w:rPr>
            </w:pPr>
          </w:p>
        </w:tc>
        <w:tc>
          <w:tcPr>
            <w:tcW w:w="971" w:type="dxa"/>
          </w:tcPr>
          <w:p w:rsidR="000B433A" w:rsidRPr="005759E4" w:rsidRDefault="000B433A" w:rsidP="005759E4">
            <w:pPr>
              <w:spacing w:line="240" w:lineRule="auto"/>
              <w:rPr>
                <w:color w:val="365F91"/>
                <w:sz w:val="18"/>
                <w:szCs w:val="18"/>
                <w:lang w:val="de-DE" w:eastAsia="fr-BE"/>
              </w:rPr>
            </w:pPr>
          </w:p>
        </w:tc>
      </w:tr>
      <w:tr w:rsidR="000B433A" w:rsidRPr="005759E4" w:rsidTr="005759E4">
        <w:tc>
          <w:tcPr>
            <w:tcW w:w="1053" w:type="dxa"/>
            <w:tcBorders>
              <w:left w:val="nil"/>
              <w:right w:val="nil"/>
            </w:tcBorders>
            <w:shd w:val="clear" w:color="auto" w:fill="D3DFEE"/>
          </w:tcPr>
          <w:p w:rsidR="000B433A" w:rsidRPr="005759E4" w:rsidRDefault="000B433A" w:rsidP="005759E4">
            <w:pPr>
              <w:spacing w:line="240" w:lineRule="auto"/>
              <w:rPr>
                <w:b/>
                <w:bCs/>
                <w:color w:val="365F91"/>
                <w:lang w:eastAsia="fr-BE"/>
              </w:rPr>
            </w:pPr>
            <w:r w:rsidRPr="005759E4">
              <w:rPr>
                <w:b/>
                <w:bCs/>
                <w:color w:val="365F91"/>
                <w:sz w:val="22"/>
                <w:lang w:eastAsia="fr-BE"/>
              </w:rPr>
              <w:t>Cd</w:t>
            </w:r>
          </w:p>
        </w:tc>
        <w:tc>
          <w:tcPr>
            <w:tcW w:w="1814" w:type="dxa"/>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r w:rsidRPr="005759E4">
              <w:rPr>
                <w:color w:val="365F91"/>
                <w:sz w:val="18"/>
                <w:lang w:val="de-DE" w:eastAsia="fr-BE"/>
              </w:rPr>
              <w:t>1 Jahr</w:t>
            </w:r>
          </w:p>
        </w:tc>
        <w:tc>
          <w:tcPr>
            <w:tcW w:w="2287" w:type="dxa"/>
            <w:tcBorders>
              <w:left w:val="nil"/>
              <w:right w:val="nil"/>
            </w:tcBorders>
            <w:shd w:val="clear" w:color="auto" w:fill="D3DFEE"/>
          </w:tcPr>
          <w:p w:rsidR="000B433A" w:rsidRPr="005759E4" w:rsidRDefault="000B433A" w:rsidP="005759E4">
            <w:pPr>
              <w:spacing w:line="240" w:lineRule="auto"/>
              <w:ind w:right="-6"/>
              <w:rPr>
                <w:color w:val="365F91"/>
                <w:sz w:val="18"/>
                <w:szCs w:val="18"/>
                <w:lang w:val="de-DE" w:eastAsia="fr-BE"/>
              </w:rPr>
            </w:pPr>
            <w:r w:rsidRPr="005759E4">
              <w:rPr>
                <w:color w:val="365F91"/>
                <w:sz w:val="18"/>
                <w:lang w:val="de-DE" w:eastAsia="fr-BE"/>
              </w:rPr>
              <w:t>5 ng/m</w:t>
            </w:r>
            <w:r w:rsidRPr="005759E4">
              <w:rPr>
                <w:color w:val="365F91"/>
                <w:sz w:val="18"/>
                <w:szCs w:val="18"/>
                <w:vertAlign w:val="superscript"/>
                <w:lang w:val="de-DE" w:eastAsia="fr-BE"/>
              </w:rPr>
              <w:t>3</w:t>
            </w:r>
          </w:p>
        </w:tc>
        <w:tc>
          <w:tcPr>
            <w:tcW w:w="1872" w:type="dxa"/>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p>
        </w:tc>
        <w:tc>
          <w:tcPr>
            <w:tcW w:w="2262" w:type="dxa"/>
            <w:gridSpan w:val="2"/>
            <w:tcBorders>
              <w:left w:val="nil"/>
              <w:right w:val="nil"/>
            </w:tcBorders>
            <w:shd w:val="clear" w:color="auto" w:fill="D3DFEE"/>
          </w:tcPr>
          <w:p w:rsidR="000B433A" w:rsidRPr="005759E4" w:rsidRDefault="000B433A" w:rsidP="005759E4">
            <w:pPr>
              <w:spacing w:line="240" w:lineRule="auto"/>
              <w:rPr>
                <w:color w:val="365F91"/>
                <w:sz w:val="18"/>
                <w:szCs w:val="18"/>
                <w:lang w:val="de-DE" w:eastAsia="fr-BE"/>
              </w:rPr>
            </w:pPr>
          </w:p>
        </w:tc>
      </w:tr>
      <w:tr w:rsidR="000B433A" w:rsidRPr="005759E4" w:rsidTr="005759E4">
        <w:tc>
          <w:tcPr>
            <w:tcW w:w="1053" w:type="dxa"/>
          </w:tcPr>
          <w:p w:rsidR="000B433A" w:rsidRPr="005759E4" w:rsidRDefault="000B433A" w:rsidP="005759E4">
            <w:pPr>
              <w:spacing w:line="240" w:lineRule="auto"/>
              <w:rPr>
                <w:b/>
                <w:bCs/>
                <w:color w:val="365F91"/>
                <w:lang w:eastAsia="fr-BE"/>
              </w:rPr>
            </w:pPr>
          </w:p>
        </w:tc>
        <w:tc>
          <w:tcPr>
            <w:tcW w:w="1814" w:type="dxa"/>
          </w:tcPr>
          <w:p w:rsidR="000B433A" w:rsidRPr="005759E4" w:rsidRDefault="000B433A" w:rsidP="005759E4">
            <w:pPr>
              <w:spacing w:line="240" w:lineRule="auto"/>
              <w:rPr>
                <w:color w:val="365F91"/>
                <w:sz w:val="18"/>
                <w:szCs w:val="18"/>
                <w:lang w:val="de-DE" w:eastAsia="fr-BE"/>
              </w:rPr>
            </w:pPr>
          </w:p>
        </w:tc>
        <w:tc>
          <w:tcPr>
            <w:tcW w:w="2287" w:type="dxa"/>
          </w:tcPr>
          <w:p w:rsidR="000B433A" w:rsidRPr="005759E4" w:rsidRDefault="000B433A" w:rsidP="005759E4">
            <w:pPr>
              <w:spacing w:line="240" w:lineRule="auto"/>
              <w:ind w:right="-6"/>
              <w:rPr>
                <w:color w:val="365F91"/>
                <w:sz w:val="18"/>
                <w:szCs w:val="18"/>
                <w:lang w:val="de-DE" w:eastAsia="fr-BE"/>
              </w:rPr>
            </w:pPr>
          </w:p>
        </w:tc>
        <w:tc>
          <w:tcPr>
            <w:tcW w:w="1872" w:type="dxa"/>
          </w:tcPr>
          <w:p w:rsidR="000B433A" w:rsidRPr="005759E4" w:rsidRDefault="000B433A" w:rsidP="005759E4">
            <w:pPr>
              <w:spacing w:line="240" w:lineRule="auto"/>
              <w:rPr>
                <w:color w:val="365F91"/>
                <w:sz w:val="18"/>
                <w:szCs w:val="18"/>
                <w:lang w:val="de-DE" w:eastAsia="fr-BE"/>
              </w:rPr>
            </w:pPr>
          </w:p>
        </w:tc>
        <w:tc>
          <w:tcPr>
            <w:tcW w:w="1291" w:type="dxa"/>
          </w:tcPr>
          <w:p w:rsidR="000B433A" w:rsidRPr="005759E4" w:rsidRDefault="000B433A" w:rsidP="005759E4">
            <w:pPr>
              <w:spacing w:line="240" w:lineRule="auto"/>
              <w:rPr>
                <w:color w:val="365F91"/>
                <w:sz w:val="18"/>
                <w:szCs w:val="18"/>
                <w:lang w:val="de-DE" w:eastAsia="fr-BE"/>
              </w:rPr>
            </w:pPr>
          </w:p>
        </w:tc>
        <w:tc>
          <w:tcPr>
            <w:tcW w:w="971" w:type="dxa"/>
          </w:tcPr>
          <w:p w:rsidR="000B433A" w:rsidRPr="005759E4" w:rsidRDefault="000B433A" w:rsidP="005759E4">
            <w:pPr>
              <w:spacing w:line="240" w:lineRule="auto"/>
              <w:rPr>
                <w:color w:val="365F91"/>
                <w:sz w:val="18"/>
                <w:szCs w:val="18"/>
                <w:lang w:val="de-DE" w:eastAsia="fr-BE"/>
              </w:rPr>
            </w:pPr>
          </w:p>
        </w:tc>
      </w:tr>
      <w:tr w:rsidR="000B433A" w:rsidRPr="005759E4" w:rsidTr="005759E4">
        <w:tc>
          <w:tcPr>
            <w:tcW w:w="1053" w:type="dxa"/>
            <w:tcBorders>
              <w:left w:val="nil"/>
              <w:bottom w:val="single" w:sz="8" w:space="0" w:color="4F81BD"/>
              <w:right w:val="nil"/>
            </w:tcBorders>
            <w:shd w:val="clear" w:color="auto" w:fill="D3DFEE"/>
          </w:tcPr>
          <w:p w:rsidR="000B433A" w:rsidRPr="005759E4" w:rsidRDefault="000B433A" w:rsidP="005759E4">
            <w:pPr>
              <w:spacing w:line="240" w:lineRule="auto"/>
              <w:rPr>
                <w:b/>
                <w:bCs/>
                <w:color w:val="365F91"/>
                <w:lang w:eastAsia="fr-BE"/>
              </w:rPr>
            </w:pPr>
          </w:p>
        </w:tc>
        <w:tc>
          <w:tcPr>
            <w:tcW w:w="1814" w:type="dxa"/>
            <w:tcBorders>
              <w:left w:val="nil"/>
              <w:bottom w:val="single" w:sz="8" w:space="0" w:color="4F81BD"/>
              <w:right w:val="nil"/>
            </w:tcBorders>
            <w:shd w:val="clear" w:color="auto" w:fill="D3DFEE"/>
          </w:tcPr>
          <w:p w:rsidR="000B433A" w:rsidRPr="005759E4" w:rsidRDefault="000B433A" w:rsidP="005759E4">
            <w:pPr>
              <w:spacing w:line="240" w:lineRule="auto"/>
              <w:rPr>
                <w:color w:val="365F91"/>
                <w:sz w:val="18"/>
                <w:szCs w:val="18"/>
                <w:lang w:val="de-DE" w:eastAsia="fr-BE"/>
              </w:rPr>
            </w:pPr>
          </w:p>
        </w:tc>
        <w:tc>
          <w:tcPr>
            <w:tcW w:w="2287" w:type="dxa"/>
            <w:tcBorders>
              <w:left w:val="nil"/>
              <w:bottom w:val="single" w:sz="8" w:space="0" w:color="4F81BD"/>
              <w:right w:val="nil"/>
            </w:tcBorders>
            <w:shd w:val="clear" w:color="auto" w:fill="D3DFEE"/>
          </w:tcPr>
          <w:p w:rsidR="000B433A" w:rsidRPr="005759E4" w:rsidRDefault="000B433A" w:rsidP="005759E4">
            <w:pPr>
              <w:spacing w:line="240" w:lineRule="auto"/>
              <w:ind w:right="-6"/>
              <w:rPr>
                <w:color w:val="365F91"/>
                <w:sz w:val="18"/>
                <w:szCs w:val="18"/>
                <w:lang w:val="de-DE" w:eastAsia="fr-BE"/>
              </w:rPr>
            </w:pPr>
          </w:p>
        </w:tc>
        <w:tc>
          <w:tcPr>
            <w:tcW w:w="1872" w:type="dxa"/>
            <w:tcBorders>
              <w:left w:val="nil"/>
              <w:bottom w:val="single" w:sz="8" w:space="0" w:color="4F81BD"/>
              <w:right w:val="nil"/>
            </w:tcBorders>
            <w:shd w:val="clear" w:color="auto" w:fill="D3DFEE"/>
          </w:tcPr>
          <w:p w:rsidR="000B433A" w:rsidRPr="005759E4" w:rsidRDefault="000B433A" w:rsidP="005759E4">
            <w:pPr>
              <w:spacing w:line="240" w:lineRule="auto"/>
              <w:rPr>
                <w:color w:val="365F91"/>
                <w:sz w:val="18"/>
                <w:szCs w:val="18"/>
                <w:lang w:val="de-DE" w:eastAsia="fr-BE"/>
              </w:rPr>
            </w:pPr>
          </w:p>
        </w:tc>
        <w:tc>
          <w:tcPr>
            <w:tcW w:w="1291" w:type="dxa"/>
            <w:tcBorders>
              <w:left w:val="nil"/>
              <w:bottom w:val="single" w:sz="8" w:space="0" w:color="4F81BD"/>
              <w:right w:val="nil"/>
            </w:tcBorders>
            <w:shd w:val="clear" w:color="auto" w:fill="D3DFEE"/>
          </w:tcPr>
          <w:p w:rsidR="000B433A" w:rsidRPr="005759E4" w:rsidRDefault="000B433A" w:rsidP="005759E4">
            <w:pPr>
              <w:spacing w:line="240" w:lineRule="auto"/>
              <w:rPr>
                <w:color w:val="365F91"/>
                <w:sz w:val="18"/>
                <w:szCs w:val="18"/>
                <w:lang w:val="de-DE" w:eastAsia="fr-BE"/>
              </w:rPr>
            </w:pPr>
          </w:p>
        </w:tc>
        <w:tc>
          <w:tcPr>
            <w:tcW w:w="971" w:type="dxa"/>
            <w:tcBorders>
              <w:left w:val="nil"/>
              <w:bottom w:val="single" w:sz="8" w:space="0" w:color="4F81BD"/>
              <w:right w:val="nil"/>
            </w:tcBorders>
            <w:shd w:val="clear" w:color="auto" w:fill="D3DFEE"/>
          </w:tcPr>
          <w:p w:rsidR="000B433A" w:rsidRPr="005759E4" w:rsidRDefault="000B433A" w:rsidP="005759E4">
            <w:pPr>
              <w:spacing w:line="240" w:lineRule="auto"/>
              <w:rPr>
                <w:color w:val="365F91"/>
                <w:sz w:val="18"/>
                <w:szCs w:val="18"/>
                <w:lang w:val="de-DE" w:eastAsia="fr-BE"/>
              </w:rPr>
            </w:pPr>
          </w:p>
        </w:tc>
      </w:tr>
    </w:tbl>
    <w:p w:rsidR="000B433A" w:rsidRPr="00DD5282" w:rsidRDefault="000B433A" w:rsidP="000A7B30">
      <w:pPr>
        <w:rPr>
          <w:color w:val="365F91"/>
          <w:sz w:val="18"/>
          <w:szCs w:val="18"/>
          <w:lang w:val="de-DE"/>
        </w:rPr>
      </w:pPr>
      <w:r>
        <w:rPr>
          <w:color w:val="365F91"/>
          <w:sz w:val="18"/>
          <w:lang w:val="de-DE"/>
        </w:rPr>
        <w:t>* Da die WHO keine Richtwerte für BaP, C6H6, As und Ni festgelegt hat, wurden die Referenzniveaus auf der Grundlage eines akzeptablen Risikos eines zusätzlichen Krebsrisikos von etwa 1 von 100.000 geschätzt.</w:t>
      </w:r>
    </w:p>
    <w:p w:rsidR="000B433A" w:rsidRPr="00D07F58" w:rsidRDefault="000B433A" w:rsidP="000A7B30">
      <w:pPr>
        <w:rPr>
          <w:lang w:val="de-DE"/>
        </w:rPr>
      </w:pPr>
    </w:p>
    <w:sectPr w:rsidR="000B433A" w:rsidRPr="00D07F58" w:rsidSect="00253CB2">
      <w:headerReference w:type="even" r:id="rId40"/>
      <w:headerReference w:type="default" r:id="rId41"/>
      <w:footerReference w:type="even" r:id="rId42"/>
      <w:footerReference w:type="default" r:id="rId43"/>
      <w:headerReference w:type="first" r:id="rId44"/>
      <w:footerReference w:type="first" r:id="rId45"/>
      <w:pgSz w:w="11906" w:h="16838"/>
      <w:pgMar w:top="1417" w:right="1417" w:bottom="1417" w:left="1417"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433A" w:rsidRDefault="000B433A" w:rsidP="008D4BC8">
      <w:pPr>
        <w:spacing w:after="0" w:line="240" w:lineRule="auto"/>
      </w:pPr>
      <w:r>
        <w:separator/>
      </w:r>
    </w:p>
  </w:endnote>
  <w:endnote w:type="continuationSeparator" w:id="0">
    <w:p w:rsidR="000B433A" w:rsidRDefault="000B433A" w:rsidP="008D4BC8">
      <w:pPr>
        <w:spacing w:after="0" w:line="240" w:lineRule="auto"/>
      </w:pPr>
      <w:r>
        <w:continuationSeparator/>
      </w:r>
    </w:p>
  </w:endnote>
  <w:endnote w:type="continuationNotice" w:id="1">
    <w:p w:rsidR="000B433A" w:rsidRDefault="000B433A">
      <w:pPr>
        <w:spacing w:after="0" w:line="240" w:lineRule="auto"/>
      </w:pP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33A" w:rsidRDefault="000B433A">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33A" w:rsidRDefault="005A6B21">
    <w:pPr>
      <w:pStyle w:val="Pieddepage"/>
      <w:jc w:val="right"/>
    </w:pPr>
    <w:r>
      <w:rPr>
        <w:lang w:val="de-DE"/>
      </w:rPr>
      <w:fldChar w:fldCharType="begin"/>
    </w:r>
    <w:r w:rsidR="000B433A">
      <w:rPr>
        <w:lang w:val="de-DE"/>
      </w:rPr>
      <w:instrText xml:space="preserve"> PAGE   \* MERGEFORMAT </w:instrText>
    </w:r>
    <w:r>
      <w:rPr>
        <w:lang w:val="de-DE"/>
      </w:rPr>
      <w:fldChar w:fldCharType="separate"/>
    </w:r>
    <w:r w:rsidR="00D90C77">
      <w:rPr>
        <w:noProof/>
        <w:lang w:val="de-DE"/>
      </w:rPr>
      <w:t>2</w:t>
    </w:r>
    <w:r>
      <w:rPr>
        <w:lang w:val="de-DE"/>
      </w:rPr>
      <w:fldChar w:fldCharType="end"/>
    </w:r>
  </w:p>
  <w:p w:rsidR="000B433A" w:rsidRDefault="000B433A">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33A" w:rsidRDefault="000B433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433A" w:rsidRDefault="000B433A" w:rsidP="008D4BC8">
      <w:pPr>
        <w:spacing w:after="0" w:line="240" w:lineRule="auto"/>
      </w:pPr>
      <w:r>
        <w:separator/>
      </w:r>
    </w:p>
  </w:footnote>
  <w:footnote w:type="continuationSeparator" w:id="0">
    <w:p w:rsidR="000B433A" w:rsidRDefault="000B433A" w:rsidP="008D4BC8">
      <w:pPr>
        <w:spacing w:after="0" w:line="240" w:lineRule="auto"/>
      </w:pPr>
      <w:r>
        <w:continuationSeparator/>
      </w:r>
    </w:p>
  </w:footnote>
  <w:footnote w:type="continuationNotice" w:id="1">
    <w:p w:rsidR="000B433A" w:rsidRDefault="000B433A">
      <w:pPr>
        <w:spacing w:after="0" w:line="240" w:lineRule="auto"/>
      </w:pPr>
    </w:p>
  </w:footnote>
  <w:footnote w:id="2">
    <w:p w:rsidR="000B433A" w:rsidRDefault="000B433A">
      <w:pPr>
        <w:pStyle w:val="Notedebasdepage"/>
      </w:pPr>
      <w:r w:rsidRPr="00D57939">
        <w:rPr>
          <w:rStyle w:val="Appelnotedebasdep"/>
          <w:rFonts w:ascii="Calibri" w:hAnsi="Calibri"/>
          <w:sz w:val="16"/>
          <w:szCs w:val="16"/>
          <w:lang w:val="de-DE"/>
        </w:rPr>
        <w:footnoteRef/>
      </w:r>
      <w:r>
        <w:rPr>
          <w:rFonts w:ascii="Calibri" w:hAnsi="Calibri"/>
          <w:sz w:val="16"/>
          <w:lang w:val="de-DE"/>
        </w:rPr>
        <w:t xml:space="preserve"> AEE-Bericht - Luftqualität in Europa - Bericht 2018 - Nr. 12/2018, Tabelle 10.1, S. 64</w:t>
      </w:r>
    </w:p>
  </w:footnote>
  <w:footnote w:id="3">
    <w:p w:rsidR="000B433A" w:rsidRPr="00D90C77" w:rsidRDefault="000B433A" w:rsidP="00A40602">
      <w:pPr>
        <w:pStyle w:val="Notedebasdepage"/>
        <w:rPr>
          <w:lang w:val="de-DE"/>
        </w:rPr>
      </w:pPr>
      <w:r>
        <w:rPr>
          <w:rStyle w:val="Appelnotedebasdep"/>
          <w:lang w:val="de-DE"/>
        </w:rPr>
        <w:footnoteRef/>
      </w:r>
      <w:r>
        <w:rPr>
          <w:sz w:val="16"/>
          <w:lang w:val="de-DE"/>
        </w:rPr>
        <w:t xml:space="preserve"> Dieser Sektor ist eine Kohlendioxidsenke, der jedoch nicht Teil der europäischen Ziele für 2013 - 2020 ist. Er wird im Rahmen des Kyoto-Protokolls nach komplexen Regeln bilanziert, die darauf abzielen, nur die Kohlendioxidspeicherung zu berücksichtigen, die in direktem Zusammenhang mit menschlichen Eingriffen steht.</w:t>
      </w:r>
    </w:p>
  </w:footnote>
  <w:footnote w:id="4">
    <w:p w:rsidR="000B433A" w:rsidRDefault="000B433A" w:rsidP="00A40602">
      <w:pPr>
        <w:pStyle w:val="Notedebasdepage"/>
      </w:pPr>
      <w:r w:rsidRPr="007B1055">
        <w:rPr>
          <w:rStyle w:val="Appelnotedebasdep"/>
          <w:sz w:val="16"/>
          <w:szCs w:val="16"/>
          <w:lang w:val="de-DE"/>
        </w:rPr>
        <w:footnoteRef/>
      </w:r>
      <w:r>
        <w:rPr>
          <w:sz w:val="16"/>
          <w:lang w:val="de-DE"/>
        </w:rPr>
        <w:t>Anwendbare GWP: CH</w:t>
      </w:r>
      <w:r w:rsidRPr="006E7869">
        <w:rPr>
          <w:sz w:val="16"/>
          <w:szCs w:val="16"/>
          <w:vertAlign w:val="subscript"/>
          <w:lang w:val="de-DE"/>
        </w:rPr>
        <w:t>4</w:t>
      </w:r>
      <w:r>
        <w:rPr>
          <w:sz w:val="16"/>
          <w:lang w:val="de-DE"/>
        </w:rPr>
        <w:t>= 25 et N</w:t>
      </w:r>
      <w:r w:rsidRPr="006E7869">
        <w:rPr>
          <w:sz w:val="16"/>
          <w:szCs w:val="16"/>
          <w:vertAlign w:val="subscript"/>
          <w:lang w:val="de-DE"/>
        </w:rPr>
        <w:t>2</w:t>
      </w:r>
      <w:r>
        <w:rPr>
          <w:sz w:val="16"/>
          <w:lang w:val="de-DE"/>
        </w:rPr>
        <w:t>O = 298. Die GWP für fluorierte Gase werden ebenfalls überprüft.</w:t>
      </w:r>
    </w:p>
  </w:footnote>
  <w:footnote w:id="5">
    <w:p w:rsidR="000B433A" w:rsidRPr="00144046" w:rsidRDefault="000B433A" w:rsidP="00EE0630">
      <w:pPr>
        <w:rPr>
          <w:rFonts w:ascii="Verdana" w:hAnsi="Verdana"/>
          <w:lang w:val="de-DE"/>
        </w:rPr>
      </w:pPr>
      <w:r>
        <w:rPr>
          <w:rStyle w:val="Appelnotedebasdep"/>
          <w:lang w:val="de-DE"/>
        </w:rPr>
        <w:footnoteRef/>
      </w:r>
      <w:r>
        <w:rPr>
          <w:rFonts w:ascii="Verdana" w:hAnsi="Verdana"/>
          <w:sz w:val="18"/>
          <w:lang w:val="de-DE"/>
        </w:rPr>
        <w:t xml:space="preserve"> Der Begriff „Bruttoinlandsenergieverbrauch“ bezieht sich auf den gesamten Energiebedarf eines geografischen Gebiets.</w:t>
      </w:r>
    </w:p>
    <w:p w:rsidR="000B433A" w:rsidRPr="00D90C77" w:rsidRDefault="000B433A" w:rsidP="00EE0630">
      <w:pPr>
        <w:rPr>
          <w:lang w:val="en-GB"/>
        </w:rPr>
      </w:pPr>
    </w:p>
  </w:footnote>
  <w:footnote w:id="6">
    <w:p w:rsidR="000B433A" w:rsidRDefault="000B433A" w:rsidP="0063591F">
      <w:pPr>
        <w:pStyle w:val="Notedebasdepage"/>
      </w:pPr>
      <w:r>
        <w:rPr>
          <w:rStyle w:val="Appelnotedebasdep"/>
          <w:lang w:val="de-DE"/>
        </w:rPr>
        <w:footnoteRef/>
      </w:r>
      <w:r>
        <w:rPr>
          <w:sz w:val="16"/>
          <w:lang w:val="de-DE"/>
        </w:rPr>
        <w:t xml:space="preserve"> Eine vollständige Definition finden Sie in der Richtlinie 2009/28/EG.</w:t>
      </w:r>
    </w:p>
  </w:footnote>
  <w:footnote w:id="7">
    <w:p w:rsidR="000B433A" w:rsidRDefault="000B433A" w:rsidP="00A83D2E">
      <w:pPr>
        <w:pStyle w:val="Notedebasdepage"/>
        <w:ind w:left="0" w:firstLine="0"/>
      </w:pPr>
      <w:r>
        <w:rPr>
          <w:rStyle w:val="Appelnotedebasdep"/>
          <w:lang w:val="de-DE"/>
        </w:rPr>
        <w:footnoteRef/>
      </w:r>
      <w:r>
        <w:rPr>
          <w:sz w:val="20"/>
          <w:lang w:val="de-DE"/>
        </w:rPr>
        <w:t xml:space="preserve"> Luftpartikel werden nach ihrer Größe klassifiziert. TSP, PM</w:t>
      </w:r>
      <w:r w:rsidRPr="00F8151F">
        <w:rPr>
          <w:sz w:val="20"/>
          <w:vertAlign w:val="subscript"/>
          <w:lang w:val="de-DE"/>
        </w:rPr>
        <w:t>10</w:t>
      </w:r>
      <w:r>
        <w:rPr>
          <w:sz w:val="20"/>
          <w:lang w:val="de-DE"/>
        </w:rPr>
        <w:t xml:space="preserve"> und PM</w:t>
      </w:r>
      <w:r w:rsidRPr="00F8151F">
        <w:rPr>
          <w:sz w:val="20"/>
          <w:vertAlign w:val="subscript"/>
          <w:lang w:val="de-DE"/>
        </w:rPr>
        <w:t>2</w:t>
      </w:r>
      <w:proofErr w:type="gramStart"/>
      <w:r w:rsidRPr="00F8151F">
        <w:rPr>
          <w:sz w:val="20"/>
          <w:vertAlign w:val="subscript"/>
          <w:lang w:val="de-DE"/>
        </w:rPr>
        <w:t>,5</w:t>
      </w:r>
      <w:proofErr w:type="gramEnd"/>
      <w:r>
        <w:rPr>
          <w:sz w:val="20"/>
          <w:lang w:val="de-DE"/>
        </w:rPr>
        <w:t xml:space="preserve"> sind Partikel mit mittleren aerodynamischen Durchmessern von 75 µm, 10 µm bzw. 2,5 µm.</w:t>
      </w:r>
    </w:p>
  </w:footnote>
  <w:footnote w:id="8">
    <w:p w:rsidR="000B433A" w:rsidRDefault="000B433A" w:rsidP="008F6F57">
      <w:pPr>
        <w:pStyle w:val="Notedebasdepage"/>
        <w:ind w:left="0" w:hanging="153"/>
      </w:pPr>
      <w:r w:rsidRPr="00047F91">
        <w:rPr>
          <w:rStyle w:val="Appelnotedebasdep"/>
          <w:rFonts w:ascii="Calibri" w:hAnsi="Calibri"/>
          <w:sz w:val="16"/>
          <w:szCs w:val="16"/>
          <w:lang w:val="de-DE"/>
        </w:rPr>
        <w:footnoteRef/>
      </w:r>
      <w:r>
        <w:rPr>
          <w:rFonts w:ascii="Calibri" w:hAnsi="Calibri"/>
          <w:sz w:val="16"/>
          <w:lang w:val="de-DE"/>
        </w:rPr>
        <w:t xml:space="preserve"> Der Primärverbrauch ist abhängig vom Stromerzeugungspark. Das hier beschriebene Bestreben setzt den Ausstieg aus der Atomkraft nach dem bisher geplanten Zeitplan sowie eine Begrenzung der wallonischen Importe auf 1.600 GWh voraus.</w:t>
      </w:r>
    </w:p>
  </w:footnote>
  <w:footnote w:id="9">
    <w:p w:rsidR="000B433A" w:rsidRDefault="000B433A" w:rsidP="008F6F57">
      <w:pPr>
        <w:pStyle w:val="Notedebasdepage"/>
      </w:pPr>
      <w:r w:rsidRPr="00596FD9">
        <w:rPr>
          <w:rStyle w:val="Appelnotedebasdep"/>
          <w:rFonts w:ascii="Calibri" w:hAnsi="Calibri"/>
          <w:sz w:val="16"/>
          <w:lang w:val="de-DE"/>
        </w:rPr>
        <w:footnoteRef/>
      </w:r>
      <w:r w:rsidRPr="00D07F58">
        <w:rPr>
          <w:rFonts w:ascii="Calibri" w:hAnsi="Calibri"/>
          <w:sz w:val="16"/>
        </w:rPr>
        <w:t xml:space="preserve"> WEM: With Existing Measures</w:t>
      </w:r>
    </w:p>
  </w:footnote>
  <w:footnote w:id="10">
    <w:p w:rsidR="000B433A" w:rsidRDefault="000B433A" w:rsidP="008F6F57">
      <w:pPr>
        <w:pStyle w:val="Notedebasdepage"/>
      </w:pPr>
      <w:r w:rsidRPr="00596FD9">
        <w:rPr>
          <w:rStyle w:val="Appelnotedebasdep"/>
          <w:rFonts w:ascii="Calibri" w:hAnsi="Calibri"/>
          <w:sz w:val="16"/>
          <w:lang w:val="de-DE"/>
        </w:rPr>
        <w:footnoteRef/>
      </w:r>
      <w:r w:rsidRPr="00D07F58">
        <w:rPr>
          <w:rFonts w:ascii="Calibri" w:hAnsi="Calibri"/>
          <w:sz w:val="16"/>
        </w:rPr>
        <w:t xml:space="preserve"> WAM: With Additional Measures</w:t>
      </w:r>
    </w:p>
  </w:footnote>
  <w:footnote w:id="11">
    <w:p w:rsidR="000B433A" w:rsidRDefault="000B433A" w:rsidP="008F6F57">
      <w:pPr>
        <w:pStyle w:val="Notedebasdepage"/>
      </w:pPr>
      <w:r w:rsidRPr="00596FD9">
        <w:rPr>
          <w:rStyle w:val="Appelnotedebasdep"/>
          <w:rFonts w:ascii="Calibri" w:hAnsi="Calibri"/>
          <w:sz w:val="16"/>
          <w:lang w:val="de-DE"/>
        </w:rPr>
        <w:footnoteRef/>
      </w:r>
      <w:r>
        <w:rPr>
          <w:rFonts w:ascii="Calibri" w:hAnsi="Calibri"/>
          <w:sz w:val="16"/>
          <w:lang w:val="de-DE"/>
        </w:rPr>
        <w:t xml:space="preserve"> Vorbehaltlich strenger Zulassungskriterien, die für diese Maßnahmen zu erfüllen sind.</w:t>
      </w:r>
    </w:p>
  </w:footnote>
  <w:footnote w:id="12">
    <w:p w:rsidR="000B433A" w:rsidRDefault="000B433A" w:rsidP="008F6F57">
      <w:pPr>
        <w:pStyle w:val="Notedebasdepage"/>
      </w:pPr>
      <w:r w:rsidRPr="00596FD9">
        <w:rPr>
          <w:rStyle w:val="Appelnotedebasdep"/>
          <w:rFonts w:ascii="Calibri" w:hAnsi="Calibri"/>
          <w:sz w:val="16"/>
          <w:lang w:val="de-DE"/>
        </w:rPr>
        <w:footnoteRef/>
      </w:r>
      <w:r>
        <w:rPr>
          <w:rFonts w:ascii="Calibri" w:hAnsi="Calibri"/>
          <w:sz w:val="16"/>
          <w:lang w:val="de-DE"/>
        </w:rPr>
        <w:t xml:space="preserve"> Das Ziel wird auf dem durchschnittlichen Endverbrauch für die Jahre 2016, 2017 und 2018 ausgerichtet, sobald diese Daten vorliegen.</w:t>
      </w:r>
    </w:p>
  </w:footnote>
  <w:footnote w:id="13">
    <w:p w:rsidR="000B433A" w:rsidRDefault="000B433A" w:rsidP="008F6F57">
      <w:pPr>
        <w:pStyle w:val="Notedebasdepage"/>
      </w:pPr>
      <w:r w:rsidRPr="00951A81">
        <w:rPr>
          <w:rStyle w:val="Appelnotedebasdep"/>
          <w:rFonts w:ascii="Calibri" w:hAnsi="Calibri"/>
          <w:sz w:val="16"/>
          <w:lang w:val="de-DE"/>
        </w:rPr>
        <w:footnoteRef/>
      </w:r>
      <w:r>
        <w:rPr>
          <w:rFonts w:ascii="Calibri" w:hAnsi="Calibri"/>
          <w:sz w:val="16"/>
          <w:lang w:val="de-DE"/>
        </w:rPr>
        <w:t xml:space="preserve"> https://fr.wikipedia.org/wiki/Accord_de_Kigali</w:t>
      </w:r>
    </w:p>
  </w:footnote>
  <w:footnote w:id="14">
    <w:p w:rsidR="000B433A" w:rsidRDefault="000B433A" w:rsidP="008F6F57">
      <w:pPr>
        <w:pStyle w:val="Notedebasdepage"/>
      </w:pPr>
      <w:r w:rsidRPr="00951A81">
        <w:rPr>
          <w:rStyle w:val="Appelnotedebasdep"/>
          <w:rFonts w:ascii="Calibri" w:hAnsi="Calibri" w:cs="Arial"/>
          <w:sz w:val="16"/>
          <w:lang w:val="de-DE"/>
        </w:rPr>
        <w:footnoteRef/>
      </w:r>
      <w:r>
        <w:rPr>
          <w:rFonts w:ascii="Calibri" w:hAnsi="Calibri"/>
          <w:sz w:val="16"/>
          <w:lang w:val="de-DE"/>
        </w:rPr>
        <w:t xml:space="preserve"> AEA: Annual Emission Allocation (Jährliche Emissionszuweisung)</w:t>
      </w:r>
    </w:p>
  </w:footnote>
  <w:footnote w:id="15">
    <w:p w:rsidR="000B433A" w:rsidRDefault="000B433A" w:rsidP="00037323">
      <w:pPr>
        <w:pStyle w:val="Notedebasdepage"/>
      </w:pPr>
      <w:r w:rsidRPr="004E7A79">
        <w:rPr>
          <w:rStyle w:val="Appelnotedebasdep"/>
          <w:rFonts w:ascii="Calibri" w:hAnsi="Calibri"/>
          <w:sz w:val="16"/>
          <w:szCs w:val="16"/>
          <w:lang w:val="de-DE"/>
        </w:rPr>
        <w:footnoteRef/>
      </w:r>
      <w:r>
        <w:rPr>
          <w:rFonts w:ascii="Calibri" w:hAnsi="Calibri"/>
          <w:sz w:val="16"/>
          <w:lang w:val="de-DE"/>
        </w:rPr>
        <w:t xml:space="preserve"> In der Wallonie wird derzeit das TIMES-Modell (Optimierungsmodell) entwickelt.</w:t>
      </w:r>
    </w:p>
  </w:footnote>
  <w:footnote w:id="16">
    <w:p w:rsidR="000B433A" w:rsidRDefault="000B433A">
      <w:pPr>
        <w:pStyle w:val="Notedebasdepage"/>
      </w:pPr>
      <w:r w:rsidRPr="00F820B8">
        <w:rPr>
          <w:rStyle w:val="Appelnotedebasdep"/>
          <w:rFonts w:ascii="Calibri" w:hAnsi="Calibri"/>
          <w:sz w:val="16"/>
          <w:szCs w:val="16"/>
          <w:lang w:val="de-DE"/>
        </w:rPr>
        <w:footnoteRef/>
      </w:r>
      <w:r>
        <w:rPr>
          <w:rFonts w:ascii="Calibri" w:hAnsi="Calibri"/>
          <w:sz w:val="16"/>
          <w:lang w:val="de-DE"/>
        </w:rPr>
        <w:t xml:space="preserve"> Die hier genannte Zahl ist eine Schätzung, das endgültige Ziel sollte auf dem Durchschnitt der Verbräuche 2016, 2017 und 2018 basieren, sobald sie verfügbar sind.</w:t>
      </w:r>
    </w:p>
  </w:footnote>
  <w:footnote w:id="17">
    <w:p w:rsidR="000B433A" w:rsidRPr="00B343F9" w:rsidRDefault="000B433A" w:rsidP="00CE1A98">
      <w:pPr>
        <w:spacing w:after="0" w:line="240" w:lineRule="auto"/>
        <w:rPr>
          <w:rFonts w:ascii="Verdana" w:hAnsi="Verdana"/>
          <w:sz w:val="18"/>
          <w:szCs w:val="18"/>
          <w:lang w:val="de-DE"/>
        </w:rPr>
      </w:pPr>
      <w:r w:rsidRPr="004130E7">
        <w:rPr>
          <w:rStyle w:val="Appelnotedebasdep"/>
          <w:sz w:val="16"/>
          <w:szCs w:val="16"/>
          <w:lang w:val="de-DE"/>
        </w:rPr>
        <w:footnoteRef/>
      </w:r>
      <w:r>
        <w:rPr>
          <w:sz w:val="16"/>
          <w:lang w:val="de-DE"/>
        </w:rPr>
        <w:t xml:space="preserve"> Es ist anzumerken, dass das Fuel Switching von Heizöl auf Erdgas in den frühen 2000er-Jahren weit verbreitet war. Diese Option war im Zusammenhang mit der Erreichung der Ziele des Kyoto-Protokolls durchaus relevant, zeigt sich heute jedoch unzureichend oder sogar blockierend (Lock-in-Phänomen), um die Klimaziele von 2030 zu erreichen, und noch mehr in Hinblick auf die bis 2050 anvisierten Ziele. Fuel Switching ist zudem einer der in der Studie „100% erneuerbar“ identifizierten Wege, auch für Heizungsanwendungen. Es sei auch darauf hingewiesen, dass Schweden ernsthaft eine starke Dekarbonisierung seiner Stahlindustrie durch zunehmende Elektrifizierung und die Verwendung von Wasserstoff in Betracht zieht. </w:t>
      </w:r>
    </w:p>
    <w:p w:rsidR="000B433A" w:rsidRPr="00D90C77" w:rsidRDefault="000B433A" w:rsidP="00CE1A98">
      <w:pPr>
        <w:spacing w:after="0" w:line="240" w:lineRule="auto"/>
        <w:rPr>
          <w:lang w:val="de-DE"/>
        </w:rPr>
      </w:pPr>
    </w:p>
  </w:footnote>
  <w:footnote w:id="18">
    <w:p w:rsidR="000B433A" w:rsidRPr="00D90C77" w:rsidRDefault="000B433A" w:rsidP="00CE1A98">
      <w:pPr>
        <w:pStyle w:val="Notedebasdepage"/>
        <w:rPr>
          <w:lang w:val="de-DE"/>
        </w:rPr>
      </w:pPr>
      <w:r w:rsidRPr="00E26458">
        <w:rPr>
          <w:rStyle w:val="Appelnotedebasdep"/>
          <w:rFonts w:ascii="Calibri" w:hAnsi="Calibri"/>
          <w:sz w:val="16"/>
          <w:szCs w:val="16"/>
          <w:lang w:val="de-DE"/>
        </w:rPr>
        <w:footnoteRef/>
      </w:r>
      <w:r>
        <w:rPr>
          <w:rFonts w:ascii="Calibri" w:hAnsi="Calibri"/>
          <w:sz w:val="16"/>
          <w:lang w:val="de-DE"/>
        </w:rPr>
        <w:t xml:space="preserve"> Siehe EE-Maßnahme - Entwicklung eines rechtlichen und regulatorischen Rahmens der Energieleistungsverträge (ELV)</w:t>
      </w:r>
    </w:p>
  </w:footnote>
  <w:footnote w:id="19">
    <w:p w:rsidR="000B433A" w:rsidRPr="00D90C77" w:rsidRDefault="000B433A" w:rsidP="00060326">
      <w:pPr>
        <w:pStyle w:val="Notedebasdepage"/>
        <w:rPr>
          <w:lang w:val="de-DE"/>
        </w:rPr>
      </w:pPr>
      <w:r w:rsidRPr="00B54CA5">
        <w:rPr>
          <w:rStyle w:val="Appelnotedebasdep"/>
          <w:rFonts w:ascii="Calibri" w:hAnsi="Calibri"/>
          <w:sz w:val="16"/>
          <w:szCs w:val="16"/>
          <w:lang w:val="de-DE"/>
        </w:rPr>
        <w:footnoteRef/>
      </w:r>
      <w:r>
        <w:rPr>
          <w:rFonts w:ascii="Calibri" w:hAnsi="Calibri"/>
          <w:sz w:val="16"/>
          <w:lang w:val="de-DE"/>
        </w:rPr>
        <w:t xml:space="preserve"> Die komplette Renovierungsstrategie ist unter folgendem Link verfügbar: https://energie.wallonie.be/fr/strategie-de-renovation.html?IDC=9580</w:t>
      </w:r>
    </w:p>
  </w:footnote>
  <w:footnote w:id="20">
    <w:p w:rsidR="000B433A" w:rsidRPr="00D90C77" w:rsidRDefault="000B433A" w:rsidP="00CE1A98">
      <w:pPr>
        <w:pStyle w:val="Sansinterligne"/>
        <w:rPr>
          <w:lang w:val="de-DE"/>
        </w:rPr>
      </w:pPr>
      <w:r w:rsidRPr="00303491">
        <w:rPr>
          <w:rStyle w:val="Appelnotedebasdep"/>
          <w:rFonts w:ascii="Calibri" w:hAnsi="Calibri"/>
          <w:sz w:val="16"/>
          <w:szCs w:val="16"/>
          <w:vertAlign w:val="baseline"/>
          <w:lang w:val="de-DE"/>
        </w:rPr>
        <w:footnoteRef/>
      </w:r>
      <w:r>
        <w:rPr>
          <w:rFonts w:ascii="Calibri" w:hAnsi="Calibri"/>
          <w:sz w:val="16"/>
          <w:lang w:val="de-DE"/>
        </w:rPr>
        <w:t xml:space="preserve"> (Stern, 2009) (USA)</w:t>
      </w:r>
    </w:p>
  </w:footnote>
  <w:footnote w:id="21">
    <w:p w:rsidR="000B433A" w:rsidRPr="00D90C77" w:rsidRDefault="000B433A" w:rsidP="00CE1A98">
      <w:pPr>
        <w:pStyle w:val="Sansinterligne"/>
        <w:rPr>
          <w:lang w:val="de-DE"/>
        </w:rPr>
      </w:pPr>
      <w:r w:rsidRPr="00303491">
        <w:rPr>
          <w:rStyle w:val="Appelnotedebasdep"/>
          <w:rFonts w:ascii="Calibri" w:hAnsi="Calibri"/>
          <w:sz w:val="16"/>
          <w:szCs w:val="16"/>
          <w:vertAlign w:val="baseline"/>
          <w:lang w:val="de-DE"/>
        </w:rPr>
        <w:footnoteRef/>
      </w:r>
      <w:r>
        <w:rPr>
          <w:rFonts w:ascii="Calibri" w:hAnsi="Calibri"/>
          <w:sz w:val="16"/>
          <w:lang w:val="de-DE"/>
        </w:rPr>
        <w:t xml:space="preserve"> (S. Nonhebel, 2001) (Niederlande)</w:t>
      </w:r>
    </w:p>
  </w:footnote>
  <w:footnote w:id="22">
    <w:p w:rsidR="000B433A" w:rsidRPr="00D90C77" w:rsidRDefault="000B433A" w:rsidP="00CE1A98">
      <w:pPr>
        <w:pStyle w:val="Sansinterligne"/>
        <w:rPr>
          <w:lang w:val="de-DE"/>
        </w:rPr>
      </w:pPr>
      <w:r w:rsidRPr="00303491">
        <w:rPr>
          <w:rStyle w:val="Appelnotedebasdep"/>
          <w:rFonts w:ascii="Calibri" w:hAnsi="Calibri"/>
          <w:sz w:val="16"/>
          <w:szCs w:val="16"/>
          <w:vertAlign w:val="baseline"/>
          <w:lang w:val="de-DE"/>
        </w:rPr>
        <w:footnoteRef/>
      </w:r>
      <w:r>
        <w:rPr>
          <w:rFonts w:ascii="Calibri" w:hAnsi="Calibri"/>
          <w:sz w:val="16"/>
          <w:lang w:val="de-DE"/>
        </w:rPr>
        <w:t xml:space="preserve"> (5 % nach (S. Nonhebel, 2001))</w:t>
      </w:r>
    </w:p>
  </w:footnote>
  <w:footnote w:id="23">
    <w:p w:rsidR="000B433A" w:rsidRDefault="000B433A" w:rsidP="00B83D1D">
      <w:pPr>
        <w:pStyle w:val="Notedebasdepage"/>
        <w:ind w:left="0" w:hanging="11"/>
        <w:jc w:val="both"/>
      </w:pPr>
      <w:r>
        <w:rPr>
          <w:rStyle w:val="Appelnotedebasdep"/>
          <w:lang w:val="de-DE"/>
        </w:rPr>
        <w:footnoteRef/>
      </w:r>
      <w:r>
        <w:rPr>
          <w:sz w:val="20"/>
          <w:lang w:val="de-DE"/>
        </w:rPr>
        <w:t>„Quasi Null Energie“ ist das Niveau der Energieeffizienz, das Gebäude in der Zukunft erreichen müssen. (</w:t>
      </w:r>
      <w:hyperlink r:id="rId1" w:history="1">
        <w:r w:rsidRPr="00D5118D">
          <w:rPr>
            <w:rStyle w:val="Lienhypertexte"/>
            <w:sz w:val="20"/>
            <w:lang w:val="de-DE"/>
          </w:rPr>
          <w:t>http://www.q-zen.be</w:t>
        </w:r>
      </w:hyperlink>
      <w:r>
        <w:rPr>
          <w:sz w:val="20"/>
          <w:lang w:val="de-DE"/>
        </w:rPr>
        <w:t xml:space="preserve">)  </w:t>
      </w:r>
    </w:p>
  </w:footnote>
  <w:footnote w:id="24">
    <w:p w:rsidR="000B433A" w:rsidRDefault="000B433A" w:rsidP="00264355">
      <w:pPr>
        <w:pStyle w:val="Notedebasdepage"/>
        <w:ind w:left="0" w:firstLine="0"/>
        <w:jc w:val="both"/>
      </w:pPr>
      <w:r w:rsidRPr="00766360">
        <w:rPr>
          <w:rStyle w:val="Appelnotedebasdep"/>
          <w:rFonts w:ascii="Verdana" w:hAnsi="Verdana"/>
          <w:sz w:val="18"/>
          <w:szCs w:val="18"/>
          <w:lang w:val="de-DE"/>
        </w:rPr>
        <w:footnoteRef/>
      </w:r>
      <w:r>
        <w:rPr>
          <w:rFonts w:ascii="Calibri" w:hAnsi="Calibri"/>
          <w:sz w:val="18"/>
          <w:lang w:val="de-DE"/>
        </w:rPr>
        <w:t xml:space="preserve"> Power-to-X (oder „P2X“) bezeichnet die Umwandlung von Strom in einen anderen Energieträger. Dieser Energieträger „X“ kann Wärme sein (im Falle von „Power to Heat“ (2)), die z. B. den industriellen Bedarf deckt oder Wärmenetze versorgt. Es kann sich ebenfalls um ein Synthesegas („Power to Gas“ (3)) handeln: Wasserstoff für Mobilitätszwecke oder Methan (nach der Methanisierung), das selbst zu Industrie-, Heizungs- oder Mobilitätszwecken in das Gasnetz eingespeist werden kann.</w:t>
      </w:r>
    </w:p>
  </w:footnote>
  <w:footnote w:id="25">
    <w:p w:rsidR="000B433A" w:rsidRPr="00D90C77" w:rsidRDefault="000B433A" w:rsidP="00195F39">
      <w:pPr>
        <w:spacing w:line="240" w:lineRule="auto"/>
        <w:rPr>
          <w:lang w:val="en-GB"/>
        </w:rPr>
      </w:pPr>
      <w:r w:rsidRPr="00766360">
        <w:rPr>
          <w:rStyle w:val="Appelnotedebasdep"/>
          <w:rFonts w:ascii="Verdana" w:hAnsi="Verdana"/>
          <w:sz w:val="18"/>
          <w:szCs w:val="18"/>
          <w:lang w:val="de-DE"/>
        </w:rPr>
        <w:footnoteRef/>
      </w:r>
      <w:r>
        <w:rPr>
          <w:rFonts w:ascii="Verdana" w:hAnsi="Verdana"/>
          <w:sz w:val="18"/>
          <w:lang w:val="de-DE"/>
        </w:rPr>
        <w:t xml:space="preserve"> </w:t>
      </w:r>
      <w:hyperlink r:id="rId2" w:history="1">
        <w:r>
          <w:rPr>
            <w:rStyle w:val="Lienhypertexte"/>
            <w:rFonts w:ascii="Verdana" w:hAnsi="Verdana"/>
            <w:sz w:val="18"/>
            <w:lang w:val="de-DE"/>
          </w:rPr>
          <w:t>https://www.energieinfowallonie.be/upload/documents/tableau-de-synthese-clients-proteges.pdf</w:t>
        </w:r>
      </w:hyperlink>
      <w:r>
        <w:rPr>
          <w:rFonts w:ascii="Verdana" w:hAnsi="Verdana"/>
          <w:sz w:val="18"/>
          <w:lang w:val="de-DE"/>
        </w:rPr>
        <w:t xml:space="preserve"> </w:t>
      </w:r>
    </w:p>
  </w:footnote>
  <w:footnote w:id="26">
    <w:p w:rsidR="000B433A" w:rsidRPr="00D90C77" w:rsidRDefault="000B433A" w:rsidP="00195F39">
      <w:pPr>
        <w:spacing w:line="240" w:lineRule="auto"/>
        <w:rPr>
          <w:lang w:val="en-GB"/>
        </w:rPr>
      </w:pPr>
      <w:r w:rsidRPr="00766360">
        <w:rPr>
          <w:rStyle w:val="Appelnotedebasdep"/>
          <w:rFonts w:ascii="Verdana" w:hAnsi="Verdana"/>
          <w:sz w:val="18"/>
          <w:szCs w:val="18"/>
          <w:lang w:val="de-DE"/>
        </w:rPr>
        <w:footnoteRef/>
      </w:r>
      <w:r>
        <w:rPr>
          <w:rFonts w:ascii="Verdana" w:hAnsi="Verdana"/>
          <w:sz w:val="18"/>
          <w:lang w:val="de-DE"/>
        </w:rPr>
        <w:t xml:space="preserve"> </w:t>
      </w:r>
      <w:hyperlink r:id="rId3" w:anchor="quels-avantages-pour-le-client-protege" w:history="1">
        <w:r>
          <w:rPr>
            <w:rStyle w:val="Lienhypertexte"/>
            <w:rFonts w:ascii="Verdana" w:hAnsi="Verdana"/>
            <w:sz w:val="18"/>
            <w:lang w:val="de-DE"/>
          </w:rPr>
          <w:t>https://www.energieinfowallonie.be/fr/mesures-sociales/le-client-protege#quels-avantages-pour-le-client-protege</w:t>
        </w:r>
      </w:hyperlink>
    </w:p>
  </w:footnote>
  <w:footnote w:id="27">
    <w:p w:rsidR="000B433A" w:rsidRDefault="000B433A" w:rsidP="00195F39">
      <w:pPr>
        <w:pStyle w:val="Notedebasdepage"/>
      </w:pPr>
      <w:r w:rsidRPr="00B343F9">
        <w:rPr>
          <w:rStyle w:val="Appelnotedebasdep"/>
          <w:rFonts w:ascii="Verdana" w:hAnsi="Verdana"/>
          <w:sz w:val="18"/>
          <w:szCs w:val="18"/>
          <w:lang w:val="de-DE"/>
        </w:rPr>
        <w:footnoteRef/>
      </w:r>
      <w:r>
        <w:rPr>
          <w:rFonts w:ascii="Verdana" w:hAnsi="Verdana"/>
          <w:sz w:val="18"/>
          <w:lang w:val="de-DE"/>
        </w:rPr>
        <w:t xml:space="preserve"> CWaPE „Studie über Budgetzähler“, CD16l15-CWaPE-0018, Dezember 2016</w:t>
      </w:r>
    </w:p>
  </w:footnote>
  <w:footnote w:id="28">
    <w:p w:rsidR="000B433A" w:rsidRDefault="000B433A" w:rsidP="004364AD">
      <w:pPr>
        <w:pStyle w:val="Notedebasdepage"/>
      </w:pPr>
      <w:r w:rsidRPr="00596FD9">
        <w:rPr>
          <w:rStyle w:val="Appelnotedebasdep"/>
          <w:rFonts w:ascii="Calibri" w:hAnsi="Calibri"/>
          <w:sz w:val="16"/>
          <w:lang w:val="de-DE"/>
        </w:rPr>
        <w:footnoteRef/>
      </w:r>
      <w:r w:rsidRPr="00D07F58">
        <w:rPr>
          <w:rFonts w:ascii="Calibri" w:hAnsi="Calibri"/>
          <w:sz w:val="16"/>
        </w:rPr>
        <w:t xml:space="preserve"> WEM: With Existing Measures</w:t>
      </w:r>
    </w:p>
  </w:footnote>
  <w:footnote w:id="29">
    <w:p w:rsidR="000B433A" w:rsidRDefault="000B433A" w:rsidP="004364AD">
      <w:pPr>
        <w:pStyle w:val="Notedebasdepage"/>
      </w:pPr>
      <w:r w:rsidRPr="00596FD9">
        <w:rPr>
          <w:rStyle w:val="Appelnotedebasdep"/>
          <w:rFonts w:ascii="Calibri" w:hAnsi="Calibri"/>
          <w:sz w:val="16"/>
          <w:lang w:val="de-DE"/>
        </w:rPr>
        <w:footnoteRef/>
      </w:r>
      <w:r w:rsidRPr="00D07F58">
        <w:rPr>
          <w:rFonts w:ascii="Calibri" w:hAnsi="Calibri"/>
          <w:sz w:val="16"/>
        </w:rPr>
        <w:t xml:space="preserve"> WAM: With Additional Measures</w:t>
      </w:r>
    </w:p>
  </w:footnote>
  <w:footnote w:id="30">
    <w:p w:rsidR="000B433A" w:rsidRPr="008B21DA" w:rsidRDefault="000B433A" w:rsidP="00FE11CC">
      <w:pPr>
        <w:pStyle w:val="Notedebasdepage"/>
        <w:rPr>
          <w:sz w:val="16"/>
          <w:szCs w:val="16"/>
          <w:lang w:val="de-DE"/>
        </w:rPr>
      </w:pPr>
      <w:r w:rsidRPr="008B21DA">
        <w:rPr>
          <w:rStyle w:val="Appelnotedebasdep"/>
          <w:sz w:val="16"/>
          <w:szCs w:val="16"/>
          <w:lang w:val="de-DE"/>
        </w:rPr>
        <w:footnoteRef/>
      </w:r>
      <w:r w:rsidRPr="008B21DA">
        <w:rPr>
          <w:sz w:val="16"/>
          <w:szCs w:val="16"/>
          <w:lang w:val="de-DE"/>
        </w:rPr>
        <w:t xml:space="preserve">ECORES, TEC, ULg, ULB, &amp; UCL. (2011). </w:t>
      </w:r>
      <w:r w:rsidRPr="008B21DA">
        <w:rPr>
          <w:i/>
          <w:iCs/>
          <w:sz w:val="16"/>
          <w:szCs w:val="16"/>
          <w:lang w:val="de-DE"/>
        </w:rPr>
        <w:t xml:space="preserve">Anpassung an die Klimaänderung in der Wallonischen Region. </w:t>
      </w:r>
    </w:p>
    <w:p w:rsidR="000B433A" w:rsidRDefault="000B433A" w:rsidP="00FE11CC">
      <w:pPr>
        <w:pStyle w:val="Notedebasdepage"/>
      </w:pPr>
    </w:p>
  </w:footnote>
  <w:footnote w:id="31">
    <w:p w:rsidR="000B433A" w:rsidRDefault="000B433A">
      <w:pPr>
        <w:pStyle w:val="Notedebasdepage"/>
      </w:pPr>
      <w:r w:rsidRPr="0090019F">
        <w:rPr>
          <w:rStyle w:val="Appelnotedebasdep"/>
          <w:rFonts w:ascii="Calibri" w:hAnsi="Calibri"/>
          <w:sz w:val="16"/>
          <w:lang w:val="de-DE"/>
        </w:rPr>
        <w:footnoteRef/>
      </w:r>
      <w:r>
        <w:rPr>
          <w:rFonts w:ascii="Calibri" w:hAnsi="Calibri"/>
          <w:sz w:val="16"/>
          <w:lang w:val="de-DE"/>
        </w:rPr>
        <w:t xml:space="preserve"> http://www.awac.be/index.php/thematiques/politiques-actions/plan-pace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33A" w:rsidRDefault="000B433A">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33A" w:rsidRDefault="000B433A">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33A" w:rsidRDefault="000B433A">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F14FA"/>
    <w:multiLevelType w:val="hybridMultilevel"/>
    <w:tmpl w:val="EDF439BC"/>
    <w:lvl w:ilvl="0" w:tplc="080C0015">
      <w:start w:val="1"/>
      <w:numFmt w:val="bullet"/>
      <w:lvlText w:val="-"/>
      <w:lvlJc w:val="left"/>
      <w:pPr>
        <w:ind w:left="720" w:hanging="360"/>
      </w:pPr>
      <w:rPr>
        <w:rFonts w:ascii="Calibri" w:eastAsia="Times New Roman" w:hAnsi="Calibri" w:hint="default"/>
      </w:rPr>
    </w:lvl>
    <w:lvl w:ilvl="1" w:tplc="080C0003">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3550EED"/>
    <w:multiLevelType w:val="hybridMultilevel"/>
    <w:tmpl w:val="B6824D9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5BC25D1"/>
    <w:multiLevelType w:val="hybridMultilevel"/>
    <w:tmpl w:val="CB9A7262"/>
    <w:lvl w:ilvl="0" w:tplc="9F02C212">
      <w:start w:val="1"/>
      <w:numFmt w:val="lowerRoman"/>
      <w:lvlText w:val="%1."/>
      <w:lvlJc w:val="left"/>
      <w:pPr>
        <w:ind w:left="1425" w:hanging="720"/>
      </w:pPr>
      <w:rPr>
        <w:rFonts w:cs="Times New Roman" w:hint="default"/>
      </w:rPr>
    </w:lvl>
    <w:lvl w:ilvl="1" w:tplc="080C0019" w:tentative="1">
      <w:start w:val="1"/>
      <w:numFmt w:val="lowerLetter"/>
      <w:lvlText w:val="%2."/>
      <w:lvlJc w:val="left"/>
      <w:pPr>
        <w:ind w:left="1785" w:hanging="360"/>
      </w:pPr>
      <w:rPr>
        <w:rFonts w:cs="Times New Roman"/>
      </w:rPr>
    </w:lvl>
    <w:lvl w:ilvl="2" w:tplc="080C001B" w:tentative="1">
      <w:start w:val="1"/>
      <w:numFmt w:val="lowerRoman"/>
      <w:lvlText w:val="%3."/>
      <w:lvlJc w:val="right"/>
      <w:pPr>
        <w:ind w:left="2505" w:hanging="180"/>
      </w:pPr>
      <w:rPr>
        <w:rFonts w:cs="Times New Roman"/>
      </w:rPr>
    </w:lvl>
    <w:lvl w:ilvl="3" w:tplc="080C000F" w:tentative="1">
      <w:start w:val="1"/>
      <w:numFmt w:val="decimal"/>
      <w:lvlText w:val="%4."/>
      <w:lvlJc w:val="left"/>
      <w:pPr>
        <w:ind w:left="3225" w:hanging="360"/>
      </w:pPr>
      <w:rPr>
        <w:rFonts w:cs="Times New Roman"/>
      </w:rPr>
    </w:lvl>
    <w:lvl w:ilvl="4" w:tplc="080C0019" w:tentative="1">
      <w:start w:val="1"/>
      <w:numFmt w:val="lowerLetter"/>
      <w:lvlText w:val="%5."/>
      <w:lvlJc w:val="left"/>
      <w:pPr>
        <w:ind w:left="3945" w:hanging="360"/>
      </w:pPr>
      <w:rPr>
        <w:rFonts w:cs="Times New Roman"/>
      </w:rPr>
    </w:lvl>
    <w:lvl w:ilvl="5" w:tplc="080C001B" w:tentative="1">
      <w:start w:val="1"/>
      <w:numFmt w:val="lowerRoman"/>
      <w:lvlText w:val="%6."/>
      <w:lvlJc w:val="right"/>
      <w:pPr>
        <w:ind w:left="4665" w:hanging="180"/>
      </w:pPr>
      <w:rPr>
        <w:rFonts w:cs="Times New Roman"/>
      </w:rPr>
    </w:lvl>
    <w:lvl w:ilvl="6" w:tplc="080C000F" w:tentative="1">
      <w:start w:val="1"/>
      <w:numFmt w:val="decimal"/>
      <w:lvlText w:val="%7."/>
      <w:lvlJc w:val="left"/>
      <w:pPr>
        <w:ind w:left="5385" w:hanging="360"/>
      </w:pPr>
      <w:rPr>
        <w:rFonts w:cs="Times New Roman"/>
      </w:rPr>
    </w:lvl>
    <w:lvl w:ilvl="7" w:tplc="080C0019" w:tentative="1">
      <w:start w:val="1"/>
      <w:numFmt w:val="lowerLetter"/>
      <w:lvlText w:val="%8."/>
      <w:lvlJc w:val="left"/>
      <w:pPr>
        <w:ind w:left="6105" w:hanging="360"/>
      </w:pPr>
      <w:rPr>
        <w:rFonts w:cs="Times New Roman"/>
      </w:rPr>
    </w:lvl>
    <w:lvl w:ilvl="8" w:tplc="080C001B" w:tentative="1">
      <w:start w:val="1"/>
      <w:numFmt w:val="lowerRoman"/>
      <w:lvlText w:val="%9."/>
      <w:lvlJc w:val="right"/>
      <w:pPr>
        <w:ind w:left="6825" w:hanging="180"/>
      </w:pPr>
      <w:rPr>
        <w:rFonts w:cs="Times New Roman"/>
      </w:rPr>
    </w:lvl>
  </w:abstractNum>
  <w:abstractNum w:abstractNumId="3">
    <w:nsid w:val="0B1C6904"/>
    <w:multiLevelType w:val="hybridMultilevel"/>
    <w:tmpl w:val="1FDCC59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0E9235BD"/>
    <w:multiLevelType w:val="hybridMultilevel"/>
    <w:tmpl w:val="9B860F5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0F7D5B1A"/>
    <w:multiLevelType w:val="hybridMultilevel"/>
    <w:tmpl w:val="5934A91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hint="default"/>
      </w:rPr>
    </w:lvl>
    <w:lvl w:ilvl="8" w:tplc="080C0005">
      <w:start w:val="1"/>
      <w:numFmt w:val="bullet"/>
      <w:lvlText w:val=""/>
      <w:lvlJc w:val="left"/>
      <w:pPr>
        <w:ind w:left="6480" w:hanging="360"/>
      </w:pPr>
      <w:rPr>
        <w:rFonts w:ascii="Wingdings" w:hAnsi="Wingdings" w:hint="default"/>
      </w:rPr>
    </w:lvl>
  </w:abstractNum>
  <w:abstractNum w:abstractNumId="6">
    <w:nsid w:val="111A347C"/>
    <w:multiLevelType w:val="hybridMultilevel"/>
    <w:tmpl w:val="6144E8B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11227DDA"/>
    <w:multiLevelType w:val="hybridMultilevel"/>
    <w:tmpl w:val="F98C37F6"/>
    <w:lvl w:ilvl="0" w:tplc="AE7C6722">
      <w:numFmt w:val="bullet"/>
      <w:lvlText w:val="-"/>
      <w:lvlJc w:val="left"/>
      <w:pPr>
        <w:ind w:left="720" w:hanging="360"/>
      </w:pPr>
      <w:rPr>
        <w:rFonts w:ascii="Calibri" w:eastAsia="Times New Roman" w:hAnsi="Calibri"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11483224"/>
    <w:multiLevelType w:val="hybridMultilevel"/>
    <w:tmpl w:val="ACC0B9D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14790C15"/>
    <w:multiLevelType w:val="hybridMultilevel"/>
    <w:tmpl w:val="7F405772"/>
    <w:lvl w:ilvl="0" w:tplc="5F4E9D78">
      <w:start w:val="1"/>
      <w:numFmt w:val="bullet"/>
      <w:lvlText w:val="-"/>
      <w:lvlJc w:val="left"/>
      <w:pPr>
        <w:ind w:left="405"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10">
    <w:nsid w:val="159642FF"/>
    <w:multiLevelType w:val="hybridMultilevel"/>
    <w:tmpl w:val="D0CE02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18791AD0"/>
    <w:multiLevelType w:val="multilevel"/>
    <w:tmpl w:val="78329602"/>
    <w:lvl w:ilvl="0">
      <w:start w:val="1"/>
      <w:numFmt w:val="decimal"/>
      <w:pStyle w:val="TITRE1I7"/>
      <w:isLgl/>
      <w:lvlText w:val="%1."/>
      <w:lvlJc w:val="left"/>
      <w:pPr>
        <w:ind w:left="360" w:hanging="360"/>
      </w:pPr>
      <w:rPr>
        <w:rFonts w:cs="Times New Roman" w:hint="default"/>
      </w:rPr>
    </w:lvl>
    <w:lvl w:ilvl="1">
      <w:start w:val="1"/>
      <w:numFmt w:val="decimal"/>
      <w:pStyle w:val="TITRE2I7"/>
      <w:lvlText w:val="%1.%2."/>
      <w:lvlJc w:val="left"/>
      <w:pPr>
        <w:ind w:left="720" w:hanging="360"/>
      </w:pPr>
      <w:rPr>
        <w:rFonts w:cs="Times New Roman" w:hint="default"/>
      </w:rPr>
    </w:lvl>
    <w:lvl w:ilvl="2">
      <w:start w:val="1"/>
      <w:numFmt w:val="decimal"/>
      <w:pStyle w:val="TITRE3I7"/>
      <w:lvlText w:val="%1.%2.%3."/>
      <w:lvlJc w:val="left"/>
      <w:pPr>
        <w:ind w:left="1080" w:hanging="360"/>
      </w:pPr>
      <w:rPr>
        <w:rFonts w:cs="Times New Roman" w:hint="default"/>
      </w:rPr>
    </w:lvl>
    <w:lvl w:ilvl="3">
      <w:start w:val="1"/>
      <w:numFmt w:val="upperLetter"/>
      <w:pStyle w:val="TITRE4I7"/>
      <w:lvlText w:val="%4."/>
      <w:lvlJc w:val="left"/>
      <w:pPr>
        <w:ind w:left="1440" w:hanging="360"/>
      </w:pPr>
      <w:rPr>
        <w:rFonts w:cs="Times New Roman" w:hint="default"/>
      </w:rPr>
    </w:lvl>
    <w:lvl w:ilvl="4">
      <w:start w:val="1"/>
      <w:numFmt w:val="decimal"/>
      <w:pStyle w:val="TITRE5I7"/>
      <w:lvlText w:val="%4.%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2">
    <w:nsid w:val="1A8D4933"/>
    <w:multiLevelType w:val="hybridMultilevel"/>
    <w:tmpl w:val="A7D660FA"/>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1AD341D6"/>
    <w:multiLevelType w:val="hybridMultilevel"/>
    <w:tmpl w:val="BFF489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1F6A60FE"/>
    <w:multiLevelType w:val="hybridMultilevel"/>
    <w:tmpl w:val="294A5578"/>
    <w:lvl w:ilvl="0" w:tplc="6C6C0904">
      <w:numFmt w:val="bullet"/>
      <w:lvlText w:val=""/>
      <w:lvlJc w:val="left"/>
      <w:pPr>
        <w:ind w:left="720" w:hanging="360"/>
      </w:pPr>
      <w:rPr>
        <w:rFonts w:ascii="Symbol" w:eastAsia="Times New Roman" w:hAnsi="Symbol" w:hint="default"/>
      </w:rPr>
    </w:lvl>
    <w:lvl w:ilvl="1" w:tplc="080C0003">
      <w:start w:val="1"/>
      <w:numFmt w:val="bullet"/>
      <w:lvlText w:val="o"/>
      <w:lvlJc w:val="left"/>
      <w:pPr>
        <w:ind w:left="1440" w:hanging="360"/>
      </w:pPr>
      <w:rPr>
        <w:rFonts w:ascii="Courier New" w:hAnsi="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hint="default"/>
      </w:rPr>
    </w:lvl>
    <w:lvl w:ilvl="8" w:tplc="080C0005">
      <w:start w:val="1"/>
      <w:numFmt w:val="bullet"/>
      <w:lvlText w:val=""/>
      <w:lvlJc w:val="left"/>
      <w:pPr>
        <w:ind w:left="6480" w:hanging="360"/>
      </w:pPr>
      <w:rPr>
        <w:rFonts w:ascii="Wingdings" w:hAnsi="Wingdings" w:hint="default"/>
      </w:rPr>
    </w:lvl>
  </w:abstractNum>
  <w:abstractNum w:abstractNumId="15">
    <w:nsid w:val="208C483E"/>
    <w:multiLevelType w:val="hybridMultilevel"/>
    <w:tmpl w:val="6B5C451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220C57CD"/>
    <w:multiLevelType w:val="hybridMultilevel"/>
    <w:tmpl w:val="1B2E199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28D34E1D"/>
    <w:multiLevelType w:val="hybridMultilevel"/>
    <w:tmpl w:val="D258F94C"/>
    <w:lvl w:ilvl="0" w:tplc="080C0005">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2A326978"/>
    <w:multiLevelType w:val="hybridMultilevel"/>
    <w:tmpl w:val="D1B006C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2B786746"/>
    <w:multiLevelType w:val="hybridMultilevel"/>
    <w:tmpl w:val="6114C412"/>
    <w:lvl w:ilvl="0" w:tplc="8C6A39CE">
      <w:start w:val="2006"/>
      <w:numFmt w:val="bullet"/>
      <w:lvlText w:val="-"/>
      <w:lvlJc w:val="left"/>
      <w:pPr>
        <w:ind w:left="720" w:hanging="360"/>
      </w:pPr>
      <w:rPr>
        <w:rFonts w:ascii="Arial" w:eastAsia="Times New Roman" w:hAnsi="Aria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2B9E0AD4"/>
    <w:multiLevelType w:val="hybridMultilevel"/>
    <w:tmpl w:val="3C4CB32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2C865F11"/>
    <w:multiLevelType w:val="hybridMultilevel"/>
    <w:tmpl w:val="7C38D3D6"/>
    <w:lvl w:ilvl="0" w:tplc="0F7C8468">
      <w:numFmt w:val="bullet"/>
      <w:lvlText w:val="-"/>
      <w:lvlJc w:val="left"/>
      <w:pPr>
        <w:ind w:left="720" w:hanging="360"/>
      </w:pPr>
      <w:rPr>
        <w:rFonts w:ascii="Calibri" w:eastAsia="Times New Roman" w:hAnsi="Calibri"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2E826E97"/>
    <w:multiLevelType w:val="hybridMultilevel"/>
    <w:tmpl w:val="CC06ABAE"/>
    <w:lvl w:ilvl="0" w:tplc="4E78DA00">
      <w:start w:val="1"/>
      <w:numFmt w:val="lowerRoman"/>
      <w:lvlText w:val="%1."/>
      <w:lvlJc w:val="left"/>
      <w:pPr>
        <w:ind w:left="1080" w:hanging="72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23">
    <w:nsid w:val="30810FA6"/>
    <w:multiLevelType w:val="hybridMultilevel"/>
    <w:tmpl w:val="F3442510"/>
    <w:lvl w:ilvl="0" w:tplc="080C0009">
      <w:start w:val="1"/>
      <w:numFmt w:val="bullet"/>
      <w:lvlText w:val=""/>
      <w:lvlJc w:val="left"/>
      <w:pPr>
        <w:ind w:left="786" w:hanging="360"/>
      </w:pPr>
      <w:rPr>
        <w:rFonts w:ascii="Wingdings" w:hAnsi="Wingdings"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32897DD8"/>
    <w:multiLevelType w:val="hybridMultilevel"/>
    <w:tmpl w:val="2D3248F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388D3BE0"/>
    <w:multiLevelType w:val="hybridMultilevel"/>
    <w:tmpl w:val="BAF01928"/>
    <w:lvl w:ilvl="0" w:tplc="A6F0ADF2">
      <w:numFmt w:val="bullet"/>
      <w:lvlText w:val=""/>
      <w:lvlJc w:val="left"/>
      <w:pPr>
        <w:ind w:left="720" w:hanging="360"/>
      </w:pPr>
      <w:rPr>
        <w:rFonts w:ascii="Symbol" w:eastAsia="Times New Roman"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38914766"/>
    <w:multiLevelType w:val="hybridMultilevel"/>
    <w:tmpl w:val="A0B492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3C490EC8"/>
    <w:multiLevelType w:val="hybridMultilevel"/>
    <w:tmpl w:val="78E0936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3C816882"/>
    <w:multiLevelType w:val="multilevel"/>
    <w:tmpl w:val="DE308DBA"/>
    <w:lvl w:ilvl="0">
      <w:start w:val="1"/>
      <w:numFmt w:val="decimal"/>
      <w:lvlText w:val="%1."/>
      <w:lvlJc w:val="left"/>
      <w:pPr>
        <w:ind w:left="720"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29">
    <w:nsid w:val="3CD61923"/>
    <w:multiLevelType w:val="hybridMultilevel"/>
    <w:tmpl w:val="463258B2"/>
    <w:lvl w:ilvl="0" w:tplc="080C000F">
      <w:start w:val="1"/>
      <w:numFmt w:val="decimal"/>
      <w:lvlText w:val="%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30">
    <w:nsid w:val="3FF27B00"/>
    <w:multiLevelType w:val="hybridMultilevel"/>
    <w:tmpl w:val="F2089F2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439737D9"/>
    <w:multiLevelType w:val="hybridMultilevel"/>
    <w:tmpl w:val="A8B6FA44"/>
    <w:lvl w:ilvl="0" w:tplc="9CCEF6DE">
      <w:start w:val="11"/>
      <w:numFmt w:val="bullet"/>
      <w:lvlText w:val="-"/>
      <w:lvlJc w:val="left"/>
      <w:pPr>
        <w:ind w:left="786" w:hanging="360"/>
      </w:pPr>
      <w:rPr>
        <w:rFonts w:ascii="Calibri" w:eastAsia="Times New Roman" w:hAnsi="Calibri" w:hint="default"/>
      </w:rPr>
    </w:lvl>
    <w:lvl w:ilvl="1" w:tplc="080C0003">
      <w:start w:val="1"/>
      <w:numFmt w:val="bullet"/>
      <w:lvlText w:val="o"/>
      <w:lvlJc w:val="left"/>
      <w:pPr>
        <w:ind w:left="1506" w:hanging="360"/>
      </w:pPr>
      <w:rPr>
        <w:rFonts w:ascii="Courier New" w:hAnsi="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32">
    <w:nsid w:val="43EE4E9A"/>
    <w:multiLevelType w:val="multilevel"/>
    <w:tmpl w:val="19369A56"/>
    <w:lvl w:ilvl="0">
      <w:start w:val="1"/>
      <w:numFmt w:val="decimal"/>
      <w:lvlText w:val="%1."/>
      <w:lvlJc w:val="left"/>
      <w:pPr>
        <w:ind w:left="720" w:hanging="360"/>
      </w:pPr>
      <w:rPr>
        <w:rFonts w:cs="Times New Roman" w:hint="default"/>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0" w:hanging="1080"/>
      </w:pPr>
      <w:rPr>
        <w:rFonts w:cs="Times New Roman" w:hint="default"/>
      </w:rPr>
    </w:lvl>
    <w:lvl w:ilvl="3">
      <w:start w:val="1"/>
      <w:numFmt w:val="decimal"/>
      <w:isLgl/>
      <w:lvlText w:val="%1.%2.%3.%4."/>
      <w:lvlJc w:val="left"/>
      <w:pPr>
        <w:ind w:left="2835" w:hanging="1440"/>
      </w:pPr>
      <w:rPr>
        <w:rFonts w:cs="Times New Roman" w:hint="default"/>
      </w:rPr>
    </w:lvl>
    <w:lvl w:ilvl="4">
      <w:start w:val="1"/>
      <w:numFmt w:val="decimal"/>
      <w:isLgl/>
      <w:lvlText w:val="%1.%2.%3.%4.%5."/>
      <w:lvlJc w:val="left"/>
      <w:pPr>
        <w:ind w:left="3540" w:hanging="1800"/>
      </w:pPr>
      <w:rPr>
        <w:rFonts w:cs="Times New Roman" w:hint="default"/>
      </w:rPr>
    </w:lvl>
    <w:lvl w:ilvl="5">
      <w:start w:val="1"/>
      <w:numFmt w:val="decimal"/>
      <w:isLgl/>
      <w:lvlText w:val="%1.%2.%3.%4.%5.%6."/>
      <w:lvlJc w:val="left"/>
      <w:pPr>
        <w:ind w:left="4245" w:hanging="2160"/>
      </w:pPr>
      <w:rPr>
        <w:rFonts w:cs="Times New Roman" w:hint="default"/>
      </w:rPr>
    </w:lvl>
    <w:lvl w:ilvl="6">
      <w:start w:val="1"/>
      <w:numFmt w:val="decimal"/>
      <w:isLgl/>
      <w:lvlText w:val="%1.%2.%3.%4.%5.%6.%7."/>
      <w:lvlJc w:val="left"/>
      <w:pPr>
        <w:ind w:left="4950" w:hanging="2520"/>
      </w:pPr>
      <w:rPr>
        <w:rFonts w:cs="Times New Roman" w:hint="default"/>
      </w:rPr>
    </w:lvl>
    <w:lvl w:ilvl="7">
      <w:start w:val="1"/>
      <w:numFmt w:val="decimal"/>
      <w:isLgl/>
      <w:lvlText w:val="%1.%2.%3.%4.%5.%6.%7.%8."/>
      <w:lvlJc w:val="left"/>
      <w:pPr>
        <w:ind w:left="5655" w:hanging="2880"/>
      </w:pPr>
      <w:rPr>
        <w:rFonts w:cs="Times New Roman" w:hint="default"/>
      </w:rPr>
    </w:lvl>
    <w:lvl w:ilvl="8">
      <w:start w:val="1"/>
      <w:numFmt w:val="decimal"/>
      <w:isLgl/>
      <w:lvlText w:val="%1.%2.%3.%4.%5.%6.%7.%8.%9."/>
      <w:lvlJc w:val="left"/>
      <w:pPr>
        <w:ind w:left="6000" w:hanging="2880"/>
      </w:pPr>
      <w:rPr>
        <w:rFonts w:cs="Times New Roman" w:hint="default"/>
      </w:rPr>
    </w:lvl>
  </w:abstractNum>
  <w:abstractNum w:abstractNumId="33">
    <w:nsid w:val="45754E22"/>
    <w:multiLevelType w:val="hybridMultilevel"/>
    <w:tmpl w:val="BEDECC88"/>
    <w:lvl w:ilvl="0" w:tplc="080C0009">
      <w:start w:val="1"/>
      <w:numFmt w:val="bullet"/>
      <w:lvlText w:val=""/>
      <w:lvlJc w:val="left"/>
      <w:pPr>
        <w:ind w:left="1080" w:hanging="360"/>
      </w:pPr>
      <w:rPr>
        <w:rFonts w:ascii="Wingdings" w:hAnsi="Wingdings" w:hint="default"/>
      </w:rPr>
    </w:lvl>
    <w:lvl w:ilvl="1" w:tplc="080C0003">
      <w:start w:val="1"/>
      <w:numFmt w:val="bullet"/>
      <w:lvlText w:val="o"/>
      <w:lvlJc w:val="left"/>
      <w:pPr>
        <w:ind w:left="1800" w:hanging="360"/>
      </w:pPr>
      <w:rPr>
        <w:rFonts w:ascii="Courier New" w:hAnsi="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4">
    <w:nsid w:val="459764C6"/>
    <w:multiLevelType w:val="hybridMultilevel"/>
    <w:tmpl w:val="76E4744E"/>
    <w:lvl w:ilvl="0" w:tplc="08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5">
    <w:nsid w:val="47AD78D7"/>
    <w:multiLevelType w:val="hybridMultilevel"/>
    <w:tmpl w:val="3B44E8E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nsid w:val="4A8814C2"/>
    <w:multiLevelType w:val="hybridMultilevel"/>
    <w:tmpl w:val="F3B4F0FE"/>
    <w:lvl w:ilvl="0" w:tplc="080C0001">
      <w:start w:val="1"/>
      <w:numFmt w:val="bullet"/>
      <w:pStyle w:val="Sous-titre"/>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4E9C780F"/>
    <w:multiLevelType w:val="hybridMultilevel"/>
    <w:tmpl w:val="65C81CF6"/>
    <w:lvl w:ilvl="0" w:tplc="080C0001">
      <w:numFmt w:val="bullet"/>
      <w:lvlText w:val="-"/>
      <w:lvlJc w:val="left"/>
      <w:pPr>
        <w:ind w:left="720" w:hanging="360"/>
      </w:pPr>
      <w:rPr>
        <w:rFonts w:ascii="Times New Roman" w:eastAsia="Times New Roman" w:hAnsi="Times New Roman" w:hint="default"/>
      </w:rPr>
    </w:lvl>
    <w:lvl w:ilvl="1" w:tplc="080C0003">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nsid w:val="4EE85369"/>
    <w:multiLevelType w:val="hybridMultilevel"/>
    <w:tmpl w:val="F07661F8"/>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hint="default"/>
      </w:rPr>
    </w:lvl>
    <w:lvl w:ilvl="2" w:tplc="080C0005">
      <w:numFmt w:val="bullet"/>
      <w:lvlText w:val="·"/>
      <w:lvlJc w:val="left"/>
      <w:pPr>
        <w:ind w:left="2520" w:hanging="360"/>
      </w:pPr>
      <w:rPr>
        <w:rFonts w:ascii="Calibri" w:eastAsia="Times New Roman" w:hAnsi="Calibri" w:hint="default"/>
      </w:rPr>
    </w:lvl>
    <w:lvl w:ilvl="3" w:tplc="080C000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9">
    <w:nsid w:val="50093FD8"/>
    <w:multiLevelType w:val="hybridMultilevel"/>
    <w:tmpl w:val="E6DAEB3C"/>
    <w:lvl w:ilvl="0" w:tplc="08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23E669B"/>
    <w:multiLevelType w:val="hybridMultilevel"/>
    <w:tmpl w:val="197E442E"/>
    <w:lvl w:ilvl="0" w:tplc="8C6A39CE">
      <w:start w:val="2006"/>
      <w:numFmt w:val="bullet"/>
      <w:lvlText w:val="-"/>
      <w:lvlJc w:val="left"/>
      <w:pPr>
        <w:ind w:left="720" w:hanging="360"/>
      </w:pPr>
      <w:rPr>
        <w:rFonts w:ascii="Arial" w:eastAsia="Times New Roman" w:hAnsi="Aria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nsid w:val="52C33DFF"/>
    <w:multiLevelType w:val="hybridMultilevel"/>
    <w:tmpl w:val="9E60529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nsid w:val="58656455"/>
    <w:multiLevelType w:val="hybridMultilevel"/>
    <w:tmpl w:val="44F25D42"/>
    <w:lvl w:ilvl="0" w:tplc="A2924368">
      <w:numFmt w:val="bullet"/>
      <w:lvlText w:val="-"/>
      <w:lvlJc w:val="left"/>
      <w:pPr>
        <w:ind w:left="720" w:hanging="360"/>
      </w:pPr>
      <w:rPr>
        <w:rFonts w:ascii="Calibri" w:eastAsia="Times New Roman" w:hAnsi="Calibri"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nsid w:val="58992E87"/>
    <w:multiLevelType w:val="hybridMultilevel"/>
    <w:tmpl w:val="94560A1C"/>
    <w:lvl w:ilvl="0" w:tplc="080C0003">
      <w:start w:val="1"/>
      <w:numFmt w:val="bullet"/>
      <w:lvlText w:val="o"/>
      <w:lvlJc w:val="left"/>
      <w:pPr>
        <w:ind w:left="786" w:hanging="360"/>
      </w:pPr>
      <w:rPr>
        <w:rFonts w:ascii="Courier New" w:hAnsi="Courier New" w:hint="default"/>
      </w:rPr>
    </w:lvl>
    <w:lvl w:ilvl="1" w:tplc="080C0003" w:tentative="1">
      <w:start w:val="1"/>
      <w:numFmt w:val="bullet"/>
      <w:lvlText w:val="o"/>
      <w:lvlJc w:val="left"/>
      <w:pPr>
        <w:ind w:left="1506" w:hanging="360"/>
      </w:pPr>
      <w:rPr>
        <w:rFonts w:ascii="Courier New" w:hAnsi="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44">
    <w:nsid w:val="59A72293"/>
    <w:multiLevelType w:val="hybridMultilevel"/>
    <w:tmpl w:val="717626CE"/>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nsid w:val="5EEB34F4"/>
    <w:multiLevelType w:val="hybridMultilevel"/>
    <w:tmpl w:val="2402A658"/>
    <w:lvl w:ilvl="0" w:tplc="0F4C5ADC">
      <w:numFmt w:val="bullet"/>
      <w:lvlText w:val="-"/>
      <w:lvlJc w:val="left"/>
      <w:pPr>
        <w:ind w:left="720" w:hanging="360"/>
      </w:pPr>
      <w:rPr>
        <w:rFonts w:ascii="Calibri" w:eastAsia="Times New Roman" w:hAnsi="Calibri"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nsid w:val="627C7BD3"/>
    <w:multiLevelType w:val="hybridMultilevel"/>
    <w:tmpl w:val="3238F58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nsid w:val="62E83219"/>
    <w:multiLevelType w:val="hybridMultilevel"/>
    <w:tmpl w:val="A456E782"/>
    <w:lvl w:ilvl="0" w:tplc="99F6F69E">
      <w:start w:val="1"/>
      <w:numFmt w:val="lowerRoman"/>
      <w:lvlText w:val="%1."/>
      <w:lvlJc w:val="left"/>
      <w:pPr>
        <w:ind w:left="1425" w:hanging="720"/>
      </w:pPr>
      <w:rPr>
        <w:rFonts w:cs="Times New Roman" w:hint="default"/>
      </w:rPr>
    </w:lvl>
    <w:lvl w:ilvl="1" w:tplc="080C0019" w:tentative="1">
      <w:start w:val="1"/>
      <w:numFmt w:val="lowerLetter"/>
      <w:lvlText w:val="%2."/>
      <w:lvlJc w:val="left"/>
      <w:pPr>
        <w:ind w:left="1785" w:hanging="360"/>
      </w:pPr>
      <w:rPr>
        <w:rFonts w:cs="Times New Roman"/>
      </w:rPr>
    </w:lvl>
    <w:lvl w:ilvl="2" w:tplc="080C001B" w:tentative="1">
      <w:start w:val="1"/>
      <w:numFmt w:val="lowerRoman"/>
      <w:lvlText w:val="%3."/>
      <w:lvlJc w:val="right"/>
      <w:pPr>
        <w:ind w:left="2505" w:hanging="180"/>
      </w:pPr>
      <w:rPr>
        <w:rFonts w:cs="Times New Roman"/>
      </w:rPr>
    </w:lvl>
    <w:lvl w:ilvl="3" w:tplc="080C000F" w:tentative="1">
      <w:start w:val="1"/>
      <w:numFmt w:val="decimal"/>
      <w:lvlText w:val="%4."/>
      <w:lvlJc w:val="left"/>
      <w:pPr>
        <w:ind w:left="3225" w:hanging="360"/>
      </w:pPr>
      <w:rPr>
        <w:rFonts w:cs="Times New Roman"/>
      </w:rPr>
    </w:lvl>
    <w:lvl w:ilvl="4" w:tplc="080C0019" w:tentative="1">
      <w:start w:val="1"/>
      <w:numFmt w:val="lowerLetter"/>
      <w:lvlText w:val="%5."/>
      <w:lvlJc w:val="left"/>
      <w:pPr>
        <w:ind w:left="3945" w:hanging="360"/>
      </w:pPr>
      <w:rPr>
        <w:rFonts w:cs="Times New Roman"/>
      </w:rPr>
    </w:lvl>
    <w:lvl w:ilvl="5" w:tplc="080C001B" w:tentative="1">
      <w:start w:val="1"/>
      <w:numFmt w:val="lowerRoman"/>
      <w:lvlText w:val="%6."/>
      <w:lvlJc w:val="right"/>
      <w:pPr>
        <w:ind w:left="4665" w:hanging="180"/>
      </w:pPr>
      <w:rPr>
        <w:rFonts w:cs="Times New Roman"/>
      </w:rPr>
    </w:lvl>
    <w:lvl w:ilvl="6" w:tplc="080C000F" w:tentative="1">
      <w:start w:val="1"/>
      <w:numFmt w:val="decimal"/>
      <w:lvlText w:val="%7."/>
      <w:lvlJc w:val="left"/>
      <w:pPr>
        <w:ind w:left="5385" w:hanging="360"/>
      </w:pPr>
      <w:rPr>
        <w:rFonts w:cs="Times New Roman"/>
      </w:rPr>
    </w:lvl>
    <w:lvl w:ilvl="7" w:tplc="080C0019" w:tentative="1">
      <w:start w:val="1"/>
      <w:numFmt w:val="lowerLetter"/>
      <w:lvlText w:val="%8."/>
      <w:lvlJc w:val="left"/>
      <w:pPr>
        <w:ind w:left="6105" w:hanging="360"/>
      </w:pPr>
      <w:rPr>
        <w:rFonts w:cs="Times New Roman"/>
      </w:rPr>
    </w:lvl>
    <w:lvl w:ilvl="8" w:tplc="080C001B" w:tentative="1">
      <w:start w:val="1"/>
      <w:numFmt w:val="lowerRoman"/>
      <w:lvlText w:val="%9."/>
      <w:lvlJc w:val="right"/>
      <w:pPr>
        <w:ind w:left="6825" w:hanging="180"/>
      </w:pPr>
      <w:rPr>
        <w:rFonts w:cs="Times New Roman"/>
      </w:rPr>
    </w:lvl>
  </w:abstractNum>
  <w:abstractNum w:abstractNumId="48">
    <w:nsid w:val="63D232D1"/>
    <w:multiLevelType w:val="hybridMultilevel"/>
    <w:tmpl w:val="D9984648"/>
    <w:lvl w:ilvl="0" w:tplc="080C0001">
      <w:start w:val="1"/>
      <w:numFmt w:val="bullet"/>
      <w:lvlText w:val=""/>
      <w:lvlJc w:val="left"/>
      <w:pPr>
        <w:ind w:left="360" w:hanging="360"/>
      </w:pPr>
      <w:rPr>
        <w:rFonts w:ascii="Symbol" w:hAnsi="Symbol" w:hint="default"/>
      </w:rPr>
    </w:lvl>
    <w:lvl w:ilvl="1" w:tplc="080C0003" w:tentative="1">
      <w:start w:val="1"/>
      <w:numFmt w:val="lowerLetter"/>
      <w:lvlText w:val="%2."/>
      <w:lvlJc w:val="left"/>
      <w:pPr>
        <w:ind w:left="1080" w:hanging="360"/>
      </w:pPr>
      <w:rPr>
        <w:rFonts w:cs="Times New Roman"/>
      </w:rPr>
    </w:lvl>
    <w:lvl w:ilvl="2" w:tplc="080C0005" w:tentative="1">
      <w:start w:val="1"/>
      <w:numFmt w:val="lowerRoman"/>
      <w:lvlText w:val="%3."/>
      <w:lvlJc w:val="right"/>
      <w:pPr>
        <w:ind w:left="1800" w:hanging="180"/>
      </w:pPr>
      <w:rPr>
        <w:rFonts w:cs="Times New Roman"/>
      </w:rPr>
    </w:lvl>
    <w:lvl w:ilvl="3" w:tplc="080C0001" w:tentative="1">
      <w:start w:val="1"/>
      <w:numFmt w:val="decimal"/>
      <w:lvlText w:val="%4."/>
      <w:lvlJc w:val="left"/>
      <w:pPr>
        <w:ind w:left="2520" w:hanging="360"/>
      </w:pPr>
      <w:rPr>
        <w:rFonts w:cs="Times New Roman"/>
      </w:rPr>
    </w:lvl>
    <w:lvl w:ilvl="4" w:tplc="080C0003" w:tentative="1">
      <w:start w:val="1"/>
      <w:numFmt w:val="lowerLetter"/>
      <w:lvlText w:val="%5."/>
      <w:lvlJc w:val="left"/>
      <w:pPr>
        <w:ind w:left="3240" w:hanging="360"/>
      </w:pPr>
      <w:rPr>
        <w:rFonts w:cs="Times New Roman"/>
      </w:rPr>
    </w:lvl>
    <w:lvl w:ilvl="5" w:tplc="080C0005" w:tentative="1">
      <w:start w:val="1"/>
      <w:numFmt w:val="lowerRoman"/>
      <w:lvlText w:val="%6."/>
      <w:lvlJc w:val="right"/>
      <w:pPr>
        <w:ind w:left="3960" w:hanging="180"/>
      </w:pPr>
      <w:rPr>
        <w:rFonts w:cs="Times New Roman"/>
      </w:rPr>
    </w:lvl>
    <w:lvl w:ilvl="6" w:tplc="080C0001" w:tentative="1">
      <w:start w:val="1"/>
      <w:numFmt w:val="decimal"/>
      <w:lvlText w:val="%7."/>
      <w:lvlJc w:val="left"/>
      <w:pPr>
        <w:ind w:left="4680" w:hanging="360"/>
      </w:pPr>
      <w:rPr>
        <w:rFonts w:cs="Times New Roman"/>
      </w:rPr>
    </w:lvl>
    <w:lvl w:ilvl="7" w:tplc="080C0003" w:tentative="1">
      <w:start w:val="1"/>
      <w:numFmt w:val="lowerLetter"/>
      <w:lvlText w:val="%8."/>
      <w:lvlJc w:val="left"/>
      <w:pPr>
        <w:ind w:left="5400" w:hanging="360"/>
      </w:pPr>
      <w:rPr>
        <w:rFonts w:cs="Times New Roman"/>
      </w:rPr>
    </w:lvl>
    <w:lvl w:ilvl="8" w:tplc="080C0005" w:tentative="1">
      <w:start w:val="1"/>
      <w:numFmt w:val="lowerRoman"/>
      <w:lvlText w:val="%9."/>
      <w:lvlJc w:val="right"/>
      <w:pPr>
        <w:ind w:left="6120" w:hanging="180"/>
      </w:pPr>
      <w:rPr>
        <w:rFonts w:cs="Times New Roman"/>
      </w:rPr>
    </w:lvl>
  </w:abstractNum>
  <w:abstractNum w:abstractNumId="49">
    <w:nsid w:val="64E91370"/>
    <w:multiLevelType w:val="multilevel"/>
    <w:tmpl w:val="EAA2EA3C"/>
    <w:lvl w:ilvl="0">
      <w:start w:val="1"/>
      <w:numFmt w:val="upperRoman"/>
      <w:lvlText w:val="%1."/>
      <w:lvlJc w:val="left"/>
      <w:pPr>
        <w:ind w:left="720" w:hanging="360"/>
      </w:pPr>
      <w:rPr>
        <w:rFonts w:ascii="Calibri" w:eastAsia="Times New Roman" w:hAnsi="Calibri" w:cs="Calibri"/>
        <w:color w:val="1F497D"/>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0">
    <w:nsid w:val="66592BE5"/>
    <w:multiLevelType w:val="hybridMultilevel"/>
    <w:tmpl w:val="949C895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nsid w:val="67F15305"/>
    <w:multiLevelType w:val="hybridMultilevel"/>
    <w:tmpl w:val="3E128CD4"/>
    <w:lvl w:ilvl="0" w:tplc="8C38EB22">
      <w:numFmt w:val="bullet"/>
      <w:lvlText w:val="•"/>
      <w:lvlJc w:val="left"/>
      <w:pPr>
        <w:ind w:left="1065" w:hanging="705"/>
      </w:pPr>
      <w:rPr>
        <w:rFonts w:ascii="Calibri" w:eastAsia="Times New Roman" w:hAnsi="Calibri"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2">
    <w:nsid w:val="6B2A757A"/>
    <w:multiLevelType w:val="hybridMultilevel"/>
    <w:tmpl w:val="5F106680"/>
    <w:lvl w:ilvl="0" w:tplc="080C0009">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nsid w:val="6C2520B5"/>
    <w:multiLevelType w:val="hybridMultilevel"/>
    <w:tmpl w:val="E3AE22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4">
    <w:nsid w:val="6D9F36C3"/>
    <w:multiLevelType w:val="hybridMultilevel"/>
    <w:tmpl w:val="0B10A31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nsid w:val="6DB039A6"/>
    <w:multiLevelType w:val="multilevel"/>
    <w:tmpl w:val="C8447568"/>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6">
    <w:nsid w:val="6E533B75"/>
    <w:multiLevelType w:val="hybridMultilevel"/>
    <w:tmpl w:val="78AA9784"/>
    <w:lvl w:ilvl="0" w:tplc="F7840AE6">
      <w:numFmt w:val="bullet"/>
      <w:lvlText w:val="-"/>
      <w:lvlJc w:val="left"/>
      <w:pPr>
        <w:ind w:left="720" w:hanging="360"/>
      </w:pPr>
      <w:rPr>
        <w:rFonts w:ascii="Calibri" w:eastAsia="Times New Roman" w:hAnsi="Calibri"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7">
    <w:nsid w:val="71884240"/>
    <w:multiLevelType w:val="hybridMultilevel"/>
    <w:tmpl w:val="955EB9FA"/>
    <w:lvl w:ilvl="0" w:tplc="5C4C5144">
      <w:start w:val="1"/>
      <w:numFmt w:val="bullet"/>
      <w:lvlText w:val="•"/>
      <w:lvlJc w:val="left"/>
      <w:pPr>
        <w:tabs>
          <w:tab w:val="num" w:pos="720"/>
        </w:tabs>
        <w:ind w:left="720" w:hanging="360"/>
      </w:pPr>
      <w:rPr>
        <w:rFonts w:ascii="Arial" w:hAnsi="Arial" w:hint="default"/>
      </w:rPr>
    </w:lvl>
    <w:lvl w:ilvl="1" w:tplc="2DC2BD78" w:tentative="1">
      <w:start w:val="1"/>
      <w:numFmt w:val="bullet"/>
      <w:lvlText w:val="•"/>
      <w:lvlJc w:val="left"/>
      <w:pPr>
        <w:tabs>
          <w:tab w:val="num" w:pos="1440"/>
        </w:tabs>
        <w:ind w:left="1440" w:hanging="360"/>
      </w:pPr>
      <w:rPr>
        <w:rFonts w:ascii="Arial" w:hAnsi="Arial" w:hint="default"/>
      </w:rPr>
    </w:lvl>
    <w:lvl w:ilvl="2" w:tplc="1DD86474" w:tentative="1">
      <w:start w:val="1"/>
      <w:numFmt w:val="bullet"/>
      <w:lvlText w:val="•"/>
      <w:lvlJc w:val="left"/>
      <w:pPr>
        <w:tabs>
          <w:tab w:val="num" w:pos="2160"/>
        </w:tabs>
        <w:ind w:left="2160" w:hanging="360"/>
      </w:pPr>
      <w:rPr>
        <w:rFonts w:ascii="Arial" w:hAnsi="Arial" w:hint="default"/>
      </w:rPr>
    </w:lvl>
    <w:lvl w:ilvl="3" w:tplc="2C92400A" w:tentative="1">
      <w:start w:val="1"/>
      <w:numFmt w:val="bullet"/>
      <w:lvlText w:val="•"/>
      <w:lvlJc w:val="left"/>
      <w:pPr>
        <w:tabs>
          <w:tab w:val="num" w:pos="2880"/>
        </w:tabs>
        <w:ind w:left="2880" w:hanging="360"/>
      </w:pPr>
      <w:rPr>
        <w:rFonts w:ascii="Arial" w:hAnsi="Arial" w:hint="default"/>
      </w:rPr>
    </w:lvl>
    <w:lvl w:ilvl="4" w:tplc="097A1008" w:tentative="1">
      <w:start w:val="1"/>
      <w:numFmt w:val="bullet"/>
      <w:lvlText w:val="•"/>
      <w:lvlJc w:val="left"/>
      <w:pPr>
        <w:tabs>
          <w:tab w:val="num" w:pos="3600"/>
        </w:tabs>
        <w:ind w:left="3600" w:hanging="360"/>
      </w:pPr>
      <w:rPr>
        <w:rFonts w:ascii="Arial" w:hAnsi="Arial" w:hint="default"/>
      </w:rPr>
    </w:lvl>
    <w:lvl w:ilvl="5" w:tplc="6326FFDE" w:tentative="1">
      <w:start w:val="1"/>
      <w:numFmt w:val="bullet"/>
      <w:lvlText w:val="•"/>
      <w:lvlJc w:val="left"/>
      <w:pPr>
        <w:tabs>
          <w:tab w:val="num" w:pos="4320"/>
        </w:tabs>
        <w:ind w:left="4320" w:hanging="360"/>
      </w:pPr>
      <w:rPr>
        <w:rFonts w:ascii="Arial" w:hAnsi="Arial" w:hint="default"/>
      </w:rPr>
    </w:lvl>
    <w:lvl w:ilvl="6" w:tplc="ABDEEB92" w:tentative="1">
      <w:start w:val="1"/>
      <w:numFmt w:val="bullet"/>
      <w:lvlText w:val="•"/>
      <w:lvlJc w:val="left"/>
      <w:pPr>
        <w:tabs>
          <w:tab w:val="num" w:pos="5040"/>
        </w:tabs>
        <w:ind w:left="5040" w:hanging="360"/>
      </w:pPr>
      <w:rPr>
        <w:rFonts w:ascii="Arial" w:hAnsi="Arial" w:hint="default"/>
      </w:rPr>
    </w:lvl>
    <w:lvl w:ilvl="7" w:tplc="BE622FE2" w:tentative="1">
      <w:start w:val="1"/>
      <w:numFmt w:val="bullet"/>
      <w:lvlText w:val="•"/>
      <w:lvlJc w:val="left"/>
      <w:pPr>
        <w:tabs>
          <w:tab w:val="num" w:pos="5760"/>
        </w:tabs>
        <w:ind w:left="5760" w:hanging="360"/>
      </w:pPr>
      <w:rPr>
        <w:rFonts w:ascii="Arial" w:hAnsi="Arial" w:hint="default"/>
      </w:rPr>
    </w:lvl>
    <w:lvl w:ilvl="8" w:tplc="5B041332" w:tentative="1">
      <w:start w:val="1"/>
      <w:numFmt w:val="bullet"/>
      <w:lvlText w:val="•"/>
      <w:lvlJc w:val="left"/>
      <w:pPr>
        <w:tabs>
          <w:tab w:val="num" w:pos="6480"/>
        </w:tabs>
        <w:ind w:left="6480" w:hanging="360"/>
      </w:pPr>
      <w:rPr>
        <w:rFonts w:ascii="Arial" w:hAnsi="Arial" w:hint="default"/>
      </w:rPr>
    </w:lvl>
  </w:abstractNum>
  <w:abstractNum w:abstractNumId="58">
    <w:nsid w:val="73FB2207"/>
    <w:multiLevelType w:val="hybridMultilevel"/>
    <w:tmpl w:val="1EB42C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9">
    <w:nsid w:val="752C70C2"/>
    <w:multiLevelType w:val="hybridMultilevel"/>
    <w:tmpl w:val="0666E28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nsid w:val="75F51B54"/>
    <w:multiLevelType w:val="hybridMultilevel"/>
    <w:tmpl w:val="1DBC25A4"/>
    <w:lvl w:ilvl="0" w:tplc="74100D78">
      <w:numFmt w:val="bullet"/>
      <w:lvlText w:val="-"/>
      <w:lvlJc w:val="left"/>
      <w:pPr>
        <w:ind w:left="1800" w:hanging="360"/>
      </w:pPr>
      <w:rPr>
        <w:rFonts w:ascii="Calibri" w:eastAsia="Times New Roman" w:hAnsi="Calibri" w:hint="default"/>
      </w:rPr>
    </w:lvl>
    <w:lvl w:ilvl="1" w:tplc="080C0003" w:tentative="1">
      <w:start w:val="1"/>
      <w:numFmt w:val="bullet"/>
      <w:lvlText w:val="o"/>
      <w:lvlJc w:val="left"/>
      <w:pPr>
        <w:ind w:left="2520" w:hanging="360"/>
      </w:pPr>
      <w:rPr>
        <w:rFonts w:ascii="Courier New" w:hAnsi="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61">
    <w:nsid w:val="772F0CDE"/>
    <w:multiLevelType w:val="hybridMultilevel"/>
    <w:tmpl w:val="6ACA3E04"/>
    <w:lvl w:ilvl="0" w:tplc="83EEA200">
      <w:start w:val="1"/>
      <w:numFmt w:val="lowerRoman"/>
      <w:lvlText w:val="%1."/>
      <w:lvlJc w:val="left"/>
      <w:pPr>
        <w:ind w:left="1080" w:hanging="72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62">
    <w:nsid w:val="77EA269B"/>
    <w:multiLevelType w:val="hybridMultilevel"/>
    <w:tmpl w:val="743CB5B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hint="default"/>
      </w:rPr>
    </w:lvl>
    <w:lvl w:ilvl="8" w:tplc="080C0005">
      <w:start w:val="1"/>
      <w:numFmt w:val="bullet"/>
      <w:lvlText w:val=""/>
      <w:lvlJc w:val="left"/>
      <w:pPr>
        <w:ind w:left="6480" w:hanging="360"/>
      </w:pPr>
      <w:rPr>
        <w:rFonts w:ascii="Wingdings" w:hAnsi="Wingdings" w:hint="default"/>
      </w:rPr>
    </w:lvl>
  </w:abstractNum>
  <w:abstractNum w:abstractNumId="63">
    <w:nsid w:val="78BC2248"/>
    <w:multiLevelType w:val="hybridMultilevel"/>
    <w:tmpl w:val="CB505FAC"/>
    <w:lvl w:ilvl="0" w:tplc="080C000F">
      <w:start w:val="1"/>
      <w:numFmt w:val="decimal"/>
      <w:lvlText w:val="%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64">
    <w:nsid w:val="7ACA6D2C"/>
    <w:multiLevelType w:val="hybridMultilevel"/>
    <w:tmpl w:val="CD0A73EC"/>
    <w:lvl w:ilvl="0" w:tplc="080C0015">
      <w:numFmt w:val="bullet"/>
      <w:lvlText w:val="-"/>
      <w:lvlJc w:val="left"/>
      <w:pPr>
        <w:ind w:left="720" w:hanging="360"/>
      </w:pPr>
      <w:rPr>
        <w:rFonts w:ascii="Times New Roman" w:eastAsia="Times New Roman" w:hAnsi="Times New Roman" w:hint="default"/>
      </w:rPr>
    </w:lvl>
    <w:lvl w:ilvl="1" w:tplc="080C0019" w:tentative="1">
      <w:start w:val="1"/>
      <w:numFmt w:val="bullet"/>
      <w:lvlText w:val="o"/>
      <w:lvlJc w:val="left"/>
      <w:pPr>
        <w:ind w:left="1440" w:hanging="360"/>
      </w:pPr>
      <w:rPr>
        <w:rFonts w:ascii="Courier New" w:hAnsi="Courier New" w:hint="default"/>
      </w:rPr>
    </w:lvl>
    <w:lvl w:ilvl="2" w:tplc="080C001B" w:tentative="1">
      <w:start w:val="1"/>
      <w:numFmt w:val="bullet"/>
      <w:lvlText w:val=""/>
      <w:lvlJc w:val="left"/>
      <w:pPr>
        <w:ind w:left="2160" w:hanging="360"/>
      </w:pPr>
      <w:rPr>
        <w:rFonts w:ascii="Wingdings" w:hAnsi="Wingdings" w:hint="default"/>
      </w:rPr>
    </w:lvl>
    <w:lvl w:ilvl="3" w:tplc="080C000F" w:tentative="1">
      <w:start w:val="1"/>
      <w:numFmt w:val="bullet"/>
      <w:lvlText w:val=""/>
      <w:lvlJc w:val="left"/>
      <w:pPr>
        <w:ind w:left="2880" w:hanging="360"/>
      </w:pPr>
      <w:rPr>
        <w:rFonts w:ascii="Symbol" w:hAnsi="Symbol" w:hint="default"/>
      </w:rPr>
    </w:lvl>
    <w:lvl w:ilvl="4" w:tplc="080C0019" w:tentative="1">
      <w:start w:val="1"/>
      <w:numFmt w:val="bullet"/>
      <w:lvlText w:val="o"/>
      <w:lvlJc w:val="left"/>
      <w:pPr>
        <w:ind w:left="3600" w:hanging="360"/>
      </w:pPr>
      <w:rPr>
        <w:rFonts w:ascii="Courier New" w:hAnsi="Courier New" w:hint="default"/>
      </w:rPr>
    </w:lvl>
    <w:lvl w:ilvl="5" w:tplc="080C001B" w:tentative="1">
      <w:start w:val="1"/>
      <w:numFmt w:val="bullet"/>
      <w:lvlText w:val=""/>
      <w:lvlJc w:val="left"/>
      <w:pPr>
        <w:ind w:left="4320" w:hanging="360"/>
      </w:pPr>
      <w:rPr>
        <w:rFonts w:ascii="Wingdings" w:hAnsi="Wingdings" w:hint="default"/>
      </w:rPr>
    </w:lvl>
    <w:lvl w:ilvl="6" w:tplc="080C000F" w:tentative="1">
      <w:start w:val="1"/>
      <w:numFmt w:val="bullet"/>
      <w:lvlText w:val=""/>
      <w:lvlJc w:val="left"/>
      <w:pPr>
        <w:ind w:left="5040" w:hanging="360"/>
      </w:pPr>
      <w:rPr>
        <w:rFonts w:ascii="Symbol" w:hAnsi="Symbol" w:hint="default"/>
      </w:rPr>
    </w:lvl>
    <w:lvl w:ilvl="7" w:tplc="080C0019" w:tentative="1">
      <w:start w:val="1"/>
      <w:numFmt w:val="bullet"/>
      <w:lvlText w:val="o"/>
      <w:lvlJc w:val="left"/>
      <w:pPr>
        <w:ind w:left="5760" w:hanging="360"/>
      </w:pPr>
      <w:rPr>
        <w:rFonts w:ascii="Courier New" w:hAnsi="Courier New" w:hint="default"/>
      </w:rPr>
    </w:lvl>
    <w:lvl w:ilvl="8" w:tplc="080C001B" w:tentative="1">
      <w:start w:val="1"/>
      <w:numFmt w:val="bullet"/>
      <w:lvlText w:val=""/>
      <w:lvlJc w:val="left"/>
      <w:pPr>
        <w:ind w:left="6480" w:hanging="360"/>
      </w:pPr>
      <w:rPr>
        <w:rFonts w:ascii="Wingdings" w:hAnsi="Wingdings" w:hint="default"/>
      </w:rPr>
    </w:lvl>
  </w:abstractNum>
  <w:abstractNum w:abstractNumId="65">
    <w:nsid w:val="7C8D7ED6"/>
    <w:multiLevelType w:val="hybridMultilevel"/>
    <w:tmpl w:val="7D0EDEC8"/>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66">
    <w:nsid w:val="7CA16EBD"/>
    <w:multiLevelType w:val="hybridMultilevel"/>
    <w:tmpl w:val="3FAE6F22"/>
    <w:lvl w:ilvl="0" w:tplc="2A78CBF8">
      <w:numFmt w:val="bullet"/>
      <w:lvlText w:val="-"/>
      <w:lvlJc w:val="left"/>
      <w:pPr>
        <w:ind w:left="1440" w:hanging="360"/>
      </w:pPr>
      <w:rPr>
        <w:rFonts w:ascii="Times New Roman" w:eastAsia="Times New Roman" w:hAnsi="Times New Roman" w:hint="default"/>
      </w:rPr>
    </w:lvl>
    <w:lvl w:ilvl="1" w:tplc="64F22610" w:tentative="1">
      <w:start w:val="1"/>
      <w:numFmt w:val="bullet"/>
      <w:lvlText w:val="o"/>
      <w:lvlJc w:val="left"/>
      <w:pPr>
        <w:ind w:left="2160" w:hanging="360"/>
      </w:pPr>
      <w:rPr>
        <w:rFonts w:ascii="Courier New" w:hAnsi="Courier New" w:hint="default"/>
      </w:rPr>
    </w:lvl>
    <w:lvl w:ilvl="2" w:tplc="78F26CBA" w:tentative="1">
      <w:start w:val="1"/>
      <w:numFmt w:val="bullet"/>
      <w:lvlText w:val=""/>
      <w:lvlJc w:val="left"/>
      <w:pPr>
        <w:ind w:left="2880" w:hanging="360"/>
      </w:pPr>
      <w:rPr>
        <w:rFonts w:ascii="Wingdings" w:hAnsi="Wingdings" w:hint="default"/>
      </w:rPr>
    </w:lvl>
    <w:lvl w:ilvl="3" w:tplc="8BC232F0" w:tentative="1">
      <w:start w:val="1"/>
      <w:numFmt w:val="bullet"/>
      <w:lvlText w:val=""/>
      <w:lvlJc w:val="left"/>
      <w:pPr>
        <w:ind w:left="3600" w:hanging="360"/>
      </w:pPr>
      <w:rPr>
        <w:rFonts w:ascii="Symbol" w:hAnsi="Symbol" w:hint="default"/>
      </w:rPr>
    </w:lvl>
    <w:lvl w:ilvl="4" w:tplc="B13CE772" w:tentative="1">
      <w:start w:val="1"/>
      <w:numFmt w:val="bullet"/>
      <w:lvlText w:val="o"/>
      <w:lvlJc w:val="left"/>
      <w:pPr>
        <w:ind w:left="4320" w:hanging="360"/>
      </w:pPr>
      <w:rPr>
        <w:rFonts w:ascii="Courier New" w:hAnsi="Courier New" w:hint="default"/>
      </w:rPr>
    </w:lvl>
    <w:lvl w:ilvl="5" w:tplc="A3987706" w:tentative="1">
      <w:start w:val="1"/>
      <w:numFmt w:val="bullet"/>
      <w:lvlText w:val=""/>
      <w:lvlJc w:val="left"/>
      <w:pPr>
        <w:ind w:left="5040" w:hanging="360"/>
      </w:pPr>
      <w:rPr>
        <w:rFonts w:ascii="Wingdings" w:hAnsi="Wingdings" w:hint="default"/>
      </w:rPr>
    </w:lvl>
    <w:lvl w:ilvl="6" w:tplc="A538DCE0" w:tentative="1">
      <w:start w:val="1"/>
      <w:numFmt w:val="bullet"/>
      <w:lvlText w:val=""/>
      <w:lvlJc w:val="left"/>
      <w:pPr>
        <w:ind w:left="5760" w:hanging="360"/>
      </w:pPr>
      <w:rPr>
        <w:rFonts w:ascii="Symbol" w:hAnsi="Symbol" w:hint="default"/>
      </w:rPr>
    </w:lvl>
    <w:lvl w:ilvl="7" w:tplc="30463732" w:tentative="1">
      <w:start w:val="1"/>
      <w:numFmt w:val="bullet"/>
      <w:lvlText w:val="o"/>
      <w:lvlJc w:val="left"/>
      <w:pPr>
        <w:ind w:left="6480" w:hanging="360"/>
      </w:pPr>
      <w:rPr>
        <w:rFonts w:ascii="Courier New" w:hAnsi="Courier New" w:hint="default"/>
      </w:rPr>
    </w:lvl>
    <w:lvl w:ilvl="8" w:tplc="C234BCB4" w:tentative="1">
      <w:start w:val="1"/>
      <w:numFmt w:val="bullet"/>
      <w:lvlText w:val=""/>
      <w:lvlJc w:val="left"/>
      <w:pPr>
        <w:ind w:left="7200" w:hanging="360"/>
      </w:pPr>
      <w:rPr>
        <w:rFonts w:ascii="Wingdings" w:hAnsi="Wingdings" w:hint="default"/>
      </w:rPr>
    </w:lvl>
  </w:abstractNum>
  <w:abstractNum w:abstractNumId="67">
    <w:nsid w:val="7D7A04A3"/>
    <w:multiLevelType w:val="hybridMultilevel"/>
    <w:tmpl w:val="6EFE8DF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8">
    <w:nsid w:val="7D9C26A3"/>
    <w:multiLevelType w:val="hybridMultilevel"/>
    <w:tmpl w:val="FED495B8"/>
    <w:lvl w:ilvl="0" w:tplc="3DDEE894">
      <w:start w:val="1"/>
      <w:numFmt w:val="lowerRoman"/>
      <w:lvlText w:val="%1."/>
      <w:lvlJc w:val="left"/>
      <w:pPr>
        <w:ind w:left="1080" w:hanging="72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num w:numId="1">
    <w:abstractNumId w:val="49"/>
  </w:num>
  <w:num w:numId="2">
    <w:abstractNumId w:val="48"/>
  </w:num>
  <w:num w:numId="3">
    <w:abstractNumId w:val="39"/>
  </w:num>
  <w:num w:numId="4">
    <w:abstractNumId w:val="27"/>
  </w:num>
  <w:num w:numId="5">
    <w:abstractNumId w:val="26"/>
  </w:num>
  <w:num w:numId="6">
    <w:abstractNumId w:val="6"/>
  </w:num>
  <w:num w:numId="7">
    <w:abstractNumId w:val="37"/>
  </w:num>
  <w:num w:numId="8">
    <w:abstractNumId w:val="15"/>
  </w:num>
  <w:num w:numId="9">
    <w:abstractNumId w:val="13"/>
  </w:num>
  <w:num w:numId="10">
    <w:abstractNumId w:val="35"/>
  </w:num>
  <w:num w:numId="11">
    <w:abstractNumId w:val="4"/>
  </w:num>
  <w:num w:numId="12">
    <w:abstractNumId w:val="30"/>
  </w:num>
  <w:num w:numId="13">
    <w:abstractNumId w:val="10"/>
  </w:num>
  <w:num w:numId="14">
    <w:abstractNumId w:val="42"/>
  </w:num>
  <w:num w:numId="15">
    <w:abstractNumId w:val="31"/>
  </w:num>
  <w:num w:numId="16">
    <w:abstractNumId w:val="28"/>
  </w:num>
  <w:num w:numId="17">
    <w:abstractNumId w:val="52"/>
  </w:num>
  <w:num w:numId="18">
    <w:abstractNumId w:val="21"/>
  </w:num>
  <w:num w:numId="19">
    <w:abstractNumId w:val="23"/>
  </w:num>
  <w:num w:numId="20">
    <w:abstractNumId w:val="7"/>
  </w:num>
  <w:num w:numId="21">
    <w:abstractNumId w:val="12"/>
  </w:num>
  <w:num w:numId="22">
    <w:abstractNumId w:val="44"/>
  </w:num>
  <w:num w:numId="23">
    <w:abstractNumId w:val="33"/>
  </w:num>
  <w:num w:numId="24">
    <w:abstractNumId w:val="43"/>
  </w:num>
  <w:num w:numId="25">
    <w:abstractNumId w:val="60"/>
  </w:num>
  <w:num w:numId="26">
    <w:abstractNumId w:val="66"/>
  </w:num>
  <w:num w:numId="27">
    <w:abstractNumId w:val="53"/>
  </w:num>
  <w:num w:numId="28">
    <w:abstractNumId w:val="58"/>
  </w:num>
  <w:num w:numId="29">
    <w:abstractNumId w:val="54"/>
  </w:num>
  <w:num w:numId="30">
    <w:abstractNumId w:val="24"/>
  </w:num>
  <w:num w:numId="31">
    <w:abstractNumId w:val="38"/>
  </w:num>
  <w:num w:numId="32">
    <w:abstractNumId w:val="32"/>
  </w:num>
  <w:num w:numId="33">
    <w:abstractNumId w:val="47"/>
  </w:num>
  <w:num w:numId="34">
    <w:abstractNumId w:val="36"/>
  </w:num>
  <w:num w:numId="35">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4"/>
  </w:num>
  <w:num w:numId="37">
    <w:abstractNumId w:val="0"/>
  </w:num>
  <w:num w:numId="38">
    <w:abstractNumId w:val="50"/>
  </w:num>
  <w:num w:numId="39">
    <w:abstractNumId w:val="63"/>
  </w:num>
  <w:num w:numId="40">
    <w:abstractNumId w:val="29"/>
  </w:num>
  <w:num w:numId="41">
    <w:abstractNumId w:val="2"/>
  </w:num>
  <w:num w:numId="42">
    <w:abstractNumId w:val="20"/>
  </w:num>
  <w:num w:numId="43">
    <w:abstractNumId w:val="61"/>
  </w:num>
  <w:num w:numId="44">
    <w:abstractNumId w:val="65"/>
  </w:num>
  <w:num w:numId="45">
    <w:abstractNumId w:val="16"/>
  </w:num>
  <w:num w:numId="46">
    <w:abstractNumId w:val="17"/>
  </w:num>
  <w:num w:numId="47">
    <w:abstractNumId w:val="67"/>
  </w:num>
  <w:num w:numId="48">
    <w:abstractNumId w:val="25"/>
  </w:num>
  <w:num w:numId="49">
    <w:abstractNumId w:val="8"/>
  </w:num>
  <w:num w:numId="50">
    <w:abstractNumId w:val="3"/>
  </w:num>
  <w:num w:numId="51">
    <w:abstractNumId w:val="59"/>
  </w:num>
  <w:num w:numId="52">
    <w:abstractNumId w:val="27"/>
  </w:num>
  <w:num w:numId="53">
    <w:abstractNumId w:val="14"/>
  </w:num>
  <w:num w:numId="54">
    <w:abstractNumId w:val="45"/>
  </w:num>
  <w:num w:numId="55">
    <w:abstractNumId w:val="11"/>
  </w:num>
  <w:num w:numId="56">
    <w:abstractNumId w:val="1"/>
  </w:num>
  <w:num w:numId="57">
    <w:abstractNumId w:val="41"/>
  </w:num>
  <w:num w:numId="58">
    <w:abstractNumId w:val="56"/>
  </w:num>
  <w:num w:numId="59">
    <w:abstractNumId w:val="22"/>
  </w:num>
  <w:num w:numId="60">
    <w:abstractNumId w:val="68"/>
  </w:num>
  <w:num w:numId="61">
    <w:abstractNumId w:val="46"/>
  </w:num>
  <w:num w:numId="62">
    <w:abstractNumId w:val="18"/>
  </w:num>
  <w:num w:numId="63">
    <w:abstractNumId w:val="62"/>
  </w:num>
  <w:num w:numId="64">
    <w:abstractNumId w:val="5"/>
  </w:num>
  <w:num w:numId="65">
    <w:abstractNumId w:val="19"/>
  </w:num>
  <w:num w:numId="66">
    <w:abstractNumId w:val="51"/>
  </w:num>
  <w:num w:numId="67">
    <w:abstractNumId w:val="40"/>
  </w:num>
  <w:num w:numId="68">
    <w:abstractNumId w:val="34"/>
  </w:num>
  <w:num w:numId="69">
    <w:abstractNumId w:val="57"/>
  </w:num>
  <w:num w:numId="70">
    <w:abstractNumId w:val="55"/>
  </w:num>
  <w:num w:numId="7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grammar="clean"/>
  <w:defaultTabStop w:val="709"/>
  <w:hyphenationZone w:val="425"/>
  <w:drawingGridHorizontalSpacing w:val="120"/>
  <w:displayHorizontalDrawingGridEvery w:val="2"/>
  <w:characterSpacingControl w:val="doNotCompress"/>
  <w:hdrShapeDefaults>
    <o:shapedefaults v:ext="edit" spidmax="3369"/>
  </w:hdrShapeDefaults>
  <w:footnotePr>
    <w:footnote w:id="-1"/>
    <w:footnote w:id="0"/>
    <w:footnote w:id="1"/>
  </w:footnotePr>
  <w:endnotePr>
    <w:endnote w:id="-1"/>
    <w:endnote w:id="0"/>
    <w:endnote w:id="1"/>
  </w:endnotePr>
  <w:compat/>
  <w:rsids>
    <w:rsidRoot w:val="002C4532"/>
    <w:rsid w:val="00001B7D"/>
    <w:rsid w:val="0000617C"/>
    <w:rsid w:val="0000633D"/>
    <w:rsid w:val="00007C7E"/>
    <w:rsid w:val="00010AED"/>
    <w:rsid w:val="00010F28"/>
    <w:rsid w:val="000113CC"/>
    <w:rsid w:val="000127C1"/>
    <w:rsid w:val="00013BF2"/>
    <w:rsid w:val="00015A0A"/>
    <w:rsid w:val="00017269"/>
    <w:rsid w:val="0002323A"/>
    <w:rsid w:val="000235F9"/>
    <w:rsid w:val="000236FB"/>
    <w:rsid w:val="0002374B"/>
    <w:rsid w:val="000268FC"/>
    <w:rsid w:val="00027FB8"/>
    <w:rsid w:val="000304E4"/>
    <w:rsid w:val="00033405"/>
    <w:rsid w:val="00033448"/>
    <w:rsid w:val="000342B9"/>
    <w:rsid w:val="0003465D"/>
    <w:rsid w:val="00037323"/>
    <w:rsid w:val="00040075"/>
    <w:rsid w:val="00040D9A"/>
    <w:rsid w:val="000440E5"/>
    <w:rsid w:val="00045A54"/>
    <w:rsid w:val="00045BF5"/>
    <w:rsid w:val="00046614"/>
    <w:rsid w:val="00047F91"/>
    <w:rsid w:val="000514CA"/>
    <w:rsid w:val="00051FC1"/>
    <w:rsid w:val="00052378"/>
    <w:rsid w:val="00052C40"/>
    <w:rsid w:val="00052D15"/>
    <w:rsid w:val="0005311E"/>
    <w:rsid w:val="000536A4"/>
    <w:rsid w:val="00053BC4"/>
    <w:rsid w:val="00055219"/>
    <w:rsid w:val="000572BB"/>
    <w:rsid w:val="00060326"/>
    <w:rsid w:val="000656E7"/>
    <w:rsid w:val="00065D2A"/>
    <w:rsid w:val="0006798E"/>
    <w:rsid w:val="00071514"/>
    <w:rsid w:val="000719D9"/>
    <w:rsid w:val="00073D68"/>
    <w:rsid w:val="000803DD"/>
    <w:rsid w:val="00082101"/>
    <w:rsid w:val="00083667"/>
    <w:rsid w:val="000848E5"/>
    <w:rsid w:val="00086608"/>
    <w:rsid w:val="0009214A"/>
    <w:rsid w:val="000932FC"/>
    <w:rsid w:val="00093D26"/>
    <w:rsid w:val="00095E13"/>
    <w:rsid w:val="00096A84"/>
    <w:rsid w:val="00096BD0"/>
    <w:rsid w:val="000A2219"/>
    <w:rsid w:val="000A2C40"/>
    <w:rsid w:val="000A72B0"/>
    <w:rsid w:val="000A767D"/>
    <w:rsid w:val="000A7859"/>
    <w:rsid w:val="000A7B30"/>
    <w:rsid w:val="000B2C27"/>
    <w:rsid w:val="000B3077"/>
    <w:rsid w:val="000B3F52"/>
    <w:rsid w:val="000B433A"/>
    <w:rsid w:val="000B54AE"/>
    <w:rsid w:val="000B7ABD"/>
    <w:rsid w:val="000C0B3B"/>
    <w:rsid w:val="000C2A14"/>
    <w:rsid w:val="000C6D94"/>
    <w:rsid w:val="000D0E6A"/>
    <w:rsid w:val="000D0EDC"/>
    <w:rsid w:val="000D2708"/>
    <w:rsid w:val="000D369C"/>
    <w:rsid w:val="000D61FD"/>
    <w:rsid w:val="000D6838"/>
    <w:rsid w:val="000D68C2"/>
    <w:rsid w:val="000E0391"/>
    <w:rsid w:val="000E05CA"/>
    <w:rsid w:val="000E25B5"/>
    <w:rsid w:val="000E290A"/>
    <w:rsid w:val="000E290D"/>
    <w:rsid w:val="000E3F75"/>
    <w:rsid w:val="000F1203"/>
    <w:rsid w:val="000F3E7F"/>
    <w:rsid w:val="000F4BEC"/>
    <w:rsid w:val="000F4C79"/>
    <w:rsid w:val="000F6D7F"/>
    <w:rsid w:val="000F7ACE"/>
    <w:rsid w:val="00101342"/>
    <w:rsid w:val="00104E5F"/>
    <w:rsid w:val="001060F9"/>
    <w:rsid w:val="00106853"/>
    <w:rsid w:val="00123B9C"/>
    <w:rsid w:val="0012614B"/>
    <w:rsid w:val="00126466"/>
    <w:rsid w:val="00127B2F"/>
    <w:rsid w:val="00130526"/>
    <w:rsid w:val="00130EDB"/>
    <w:rsid w:val="00133088"/>
    <w:rsid w:val="0014076C"/>
    <w:rsid w:val="00140A2F"/>
    <w:rsid w:val="00144046"/>
    <w:rsid w:val="001463E1"/>
    <w:rsid w:val="00151E20"/>
    <w:rsid w:val="00152644"/>
    <w:rsid w:val="001533FE"/>
    <w:rsid w:val="001550B5"/>
    <w:rsid w:val="001560C6"/>
    <w:rsid w:val="00156DEE"/>
    <w:rsid w:val="0016195C"/>
    <w:rsid w:val="00161B45"/>
    <w:rsid w:val="001621DB"/>
    <w:rsid w:val="001648CE"/>
    <w:rsid w:val="00165E44"/>
    <w:rsid w:val="00166DF1"/>
    <w:rsid w:val="00170EFD"/>
    <w:rsid w:val="00171557"/>
    <w:rsid w:val="0017425F"/>
    <w:rsid w:val="00181876"/>
    <w:rsid w:val="00181982"/>
    <w:rsid w:val="00183130"/>
    <w:rsid w:val="00184B26"/>
    <w:rsid w:val="00190015"/>
    <w:rsid w:val="0019137A"/>
    <w:rsid w:val="00195F39"/>
    <w:rsid w:val="00197E1F"/>
    <w:rsid w:val="001A0EA4"/>
    <w:rsid w:val="001A4A46"/>
    <w:rsid w:val="001A4B15"/>
    <w:rsid w:val="001A4D01"/>
    <w:rsid w:val="001A518E"/>
    <w:rsid w:val="001A575C"/>
    <w:rsid w:val="001A63CA"/>
    <w:rsid w:val="001B31F0"/>
    <w:rsid w:val="001B472E"/>
    <w:rsid w:val="001C0B5B"/>
    <w:rsid w:val="001C3585"/>
    <w:rsid w:val="001D29CB"/>
    <w:rsid w:val="001D5AAB"/>
    <w:rsid w:val="001D7CF4"/>
    <w:rsid w:val="001E0D1E"/>
    <w:rsid w:val="001E2F28"/>
    <w:rsid w:val="001E40FE"/>
    <w:rsid w:val="001E6AA5"/>
    <w:rsid w:val="001E6E8D"/>
    <w:rsid w:val="001E70CD"/>
    <w:rsid w:val="001E7895"/>
    <w:rsid w:val="001F13CF"/>
    <w:rsid w:val="00200BDA"/>
    <w:rsid w:val="00202FAA"/>
    <w:rsid w:val="00202FB1"/>
    <w:rsid w:val="0020513F"/>
    <w:rsid w:val="002056DE"/>
    <w:rsid w:val="00205784"/>
    <w:rsid w:val="00206E31"/>
    <w:rsid w:val="00207C9B"/>
    <w:rsid w:val="0021097C"/>
    <w:rsid w:val="0021143D"/>
    <w:rsid w:val="002138D5"/>
    <w:rsid w:val="00213DEE"/>
    <w:rsid w:val="00216347"/>
    <w:rsid w:val="00216B05"/>
    <w:rsid w:val="0021753F"/>
    <w:rsid w:val="002177B2"/>
    <w:rsid w:val="0022320C"/>
    <w:rsid w:val="00225279"/>
    <w:rsid w:val="0022541E"/>
    <w:rsid w:val="0022569D"/>
    <w:rsid w:val="00225F9B"/>
    <w:rsid w:val="00226DD5"/>
    <w:rsid w:val="00227497"/>
    <w:rsid w:val="002308BC"/>
    <w:rsid w:val="00233D72"/>
    <w:rsid w:val="0023409E"/>
    <w:rsid w:val="00235585"/>
    <w:rsid w:val="00235C55"/>
    <w:rsid w:val="00237701"/>
    <w:rsid w:val="00237962"/>
    <w:rsid w:val="00240184"/>
    <w:rsid w:val="002405FF"/>
    <w:rsid w:val="00250B8C"/>
    <w:rsid w:val="0025172A"/>
    <w:rsid w:val="00253B93"/>
    <w:rsid w:val="00253CB2"/>
    <w:rsid w:val="00253D46"/>
    <w:rsid w:val="002555E5"/>
    <w:rsid w:val="00262EB9"/>
    <w:rsid w:val="00264355"/>
    <w:rsid w:val="00264C4C"/>
    <w:rsid w:val="00267A79"/>
    <w:rsid w:val="0027638A"/>
    <w:rsid w:val="002775F3"/>
    <w:rsid w:val="00277802"/>
    <w:rsid w:val="00280303"/>
    <w:rsid w:val="00281C7A"/>
    <w:rsid w:val="00284FF3"/>
    <w:rsid w:val="002912A4"/>
    <w:rsid w:val="0029331D"/>
    <w:rsid w:val="00293953"/>
    <w:rsid w:val="00294019"/>
    <w:rsid w:val="002956D8"/>
    <w:rsid w:val="002963BC"/>
    <w:rsid w:val="0029680C"/>
    <w:rsid w:val="002A05BB"/>
    <w:rsid w:val="002A13D5"/>
    <w:rsid w:val="002A5769"/>
    <w:rsid w:val="002A57AE"/>
    <w:rsid w:val="002A5926"/>
    <w:rsid w:val="002A637B"/>
    <w:rsid w:val="002A79CD"/>
    <w:rsid w:val="002A7E18"/>
    <w:rsid w:val="002B1DCD"/>
    <w:rsid w:val="002B28BB"/>
    <w:rsid w:val="002B29E0"/>
    <w:rsid w:val="002B2CAD"/>
    <w:rsid w:val="002B446F"/>
    <w:rsid w:val="002B570A"/>
    <w:rsid w:val="002B5AF1"/>
    <w:rsid w:val="002B6192"/>
    <w:rsid w:val="002B6F7D"/>
    <w:rsid w:val="002C18C2"/>
    <w:rsid w:val="002C4532"/>
    <w:rsid w:val="002C47EB"/>
    <w:rsid w:val="002C5385"/>
    <w:rsid w:val="002C6AFD"/>
    <w:rsid w:val="002D06BF"/>
    <w:rsid w:val="002D5838"/>
    <w:rsid w:val="002D77A9"/>
    <w:rsid w:val="002E00FA"/>
    <w:rsid w:val="002E02D3"/>
    <w:rsid w:val="002E0F66"/>
    <w:rsid w:val="002E1A9F"/>
    <w:rsid w:val="002E5177"/>
    <w:rsid w:val="002E5AB3"/>
    <w:rsid w:val="002F11E4"/>
    <w:rsid w:val="002F3570"/>
    <w:rsid w:val="002F40C7"/>
    <w:rsid w:val="002F48E6"/>
    <w:rsid w:val="002F62A9"/>
    <w:rsid w:val="00300FAA"/>
    <w:rsid w:val="00301022"/>
    <w:rsid w:val="00303491"/>
    <w:rsid w:val="00303A19"/>
    <w:rsid w:val="00312186"/>
    <w:rsid w:val="0031259D"/>
    <w:rsid w:val="00320B8C"/>
    <w:rsid w:val="00320BA6"/>
    <w:rsid w:val="00321CEC"/>
    <w:rsid w:val="003225F9"/>
    <w:rsid w:val="00326C9C"/>
    <w:rsid w:val="0032707B"/>
    <w:rsid w:val="0033045F"/>
    <w:rsid w:val="00333736"/>
    <w:rsid w:val="003339DD"/>
    <w:rsid w:val="00336C48"/>
    <w:rsid w:val="00337BB8"/>
    <w:rsid w:val="00344578"/>
    <w:rsid w:val="003514A5"/>
    <w:rsid w:val="00357294"/>
    <w:rsid w:val="003616EA"/>
    <w:rsid w:val="00362E25"/>
    <w:rsid w:val="00363C46"/>
    <w:rsid w:val="00365899"/>
    <w:rsid w:val="003667C7"/>
    <w:rsid w:val="00372180"/>
    <w:rsid w:val="003758A0"/>
    <w:rsid w:val="00383032"/>
    <w:rsid w:val="00384152"/>
    <w:rsid w:val="00384A47"/>
    <w:rsid w:val="00384E46"/>
    <w:rsid w:val="00385450"/>
    <w:rsid w:val="0038763C"/>
    <w:rsid w:val="00392B31"/>
    <w:rsid w:val="00393301"/>
    <w:rsid w:val="00394081"/>
    <w:rsid w:val="00394D71"/>
    <w:rsid w:val="003A0410"/>
    <w:rsid w:val="003A042B"/>
    <w:rsid w:val="003A2E13"/>
    <w:rsid w:val="003A3502"/>
    <w:rsid w:val="003A3E46"/>
    <w:rsid w:val="003B1E3B"/>
    <w:rsid w:val="003B2980"/>
    <w:rsid w:val="003B558F"/>
    <w:rsid w:val="003B7C24"/>
    <w:rsid w:val="003C0529"/>
    <w:rsid w:val="003C0E59"/>
    <w:rsid w:val="003C225A"/>
    <w:rsid w:val="003C2C99"/>
    <w:rsid w:val="003C4699"/>
    <w:rsid w:val="003C55CA"/>
    <w:rsid w:val="003C6A80"/>
    <w:rsid w:val="003C6FC9"/>
    <w:rsid w:val="003D12E4"/>
    <w:rsid w:val="003D26FA"/>
    <w:rsid w:val="003E1238"/>
    <w:rsid w:val="003E1CFB"/>
    <w:rsid w:val="003E218E"/>
    <w:rsid w:val="003E2E60"/>
    <w:rsid w:val="003E383E"/>
    <w:rsid w:val="003E6C48"/>
    <w:rsid w:val="003E73AA"/>
    <w:rsid w:val="003E7DFE"/>
    <w:rsid w:val="003F0674"/>
    <w:rsid w:val="003F0BD0"/>
    <w:rsid w:val="003F2F06"/>
    <w:rsid w:val="003F6E88"/>
    <w:rsid w:val="00400AB5"/>
    <w:rsid w:val="0040110D"/>
    <w:rsid w:val="00406A4F"/>
    <w:rsid w:val="00406CA2"/>
    <w:rsid w:val="00411AFD"/>
    <w:rsid w:val="004130E7"/>
    <w:rsid w:val="00413D65"/>
    <w:rsid w:val="00415915"/>
    <w:rsid w:val="00415C7B"/>
    <w:rsid w:val="00417A23"/>
    <w:rsid w:val="00417F83"/>
    <w:rsid w:val="0042220B"/>
    <w:rsid w:val="00422AD9"/>
    <w:rsid w:val="0042318A"/>
    <w:rsid w:val="00424D9C"/>
    <w:rsid w:val="00425809"/>
    <w:rsid w:val="0042780E"/>
    <w:rsid w:val="004278AD"/>
    <w:rsid w:val="00427BEC"/>
    <w:rsid w:val="00433C95"/>
    <w:rsid w:val="004364AD"/>
    <w:rsid w:val="004366A7"/>
    <w:rsid w:val="00437B74"/>
    <w:rsid w:val="00442307"/>
    <w:rsid w:val="004432EC"/>
    <w:rsid w:val="0044544A"/>
    <w:rsid w:val="004475CC"/>
    <w:rsid w:val="00450A0B"/>
    <w:rsid w:val="00450A66"/>
    <w:rsid w:val="00452476"/>
    <w:rsid w:val="004528DB"/>
    <w:rsid w:val="00454EAD"/>
    <w:rsid w:val="004555CE"/>
    <w:rsid w:val="0045601D"/>
    <w:rsid w:val="00456D7C"/>
    <w:rsid w:val="00462253"/>
    <w:rsid w:val="0046431C"/>
    <w:rsid w:val="00464B0A"/>
    <w:rsid w:val="00465D3B"/>
    <w:rsid w:val="004713FF"/>
    <w:rsid w:val="00474398"/>
    <w:rsid w:val="004747D3"/>
    <w:rsid w:val="0048189C"/>
    <w:rsid w:val="00481BA1"/>
    <w:rsid w:val="00482D92"/>
    <w:rsid w:val="00483B06"/>
    <w:rsid w:val="00484F3B"/>
    <w:rsid w:val="004860CC"/>
    <w:rsid w:val="00486447"/>
    <w:rsid w:val="00493B3B"/>
    <w:rsid w:val="004941DE"/>
    <w:rsid w:val="00495816"/>
    <w:rsid w:val="004964E7"/>
    <w:rsid w:val="004976F1"/>
    <w:rsid w:val="004A0D6D"/>
    <w:rsid w:val="004A2E93"/>
    <w:rsid w:val="004A4A1B"/>
    <w:rsid w:val="004A4DBB"/>
    <w:rsid w:val="004A664F"/>
    <w:rsid w:val="004B0327"/>
    <w:rsid w:val="004B23BE"/>
    <w:rsid w:val="004B3EE1"/>
    <w:rsid w:val="004B5297"/>
    <w:rsid w:val="004B5F56"/>
    <w:rsid w:val="004B67CC"/>
    <w:rsid w:val="004C5FC3"/>
    <w:rsid w:val="004C69B8"/>
    <w:rsid w:val="004C7E30"/>
    <w:rsid w:val="004D456C"/>
    <w:rsid w:val="004D49B4"/>
    <w:rsid w:val="004D6DDF"/>
    <w:rsid w:val="004E0BBC"/>
    <w:rsid w:val="004E1D1F"/>
    <w:rsid w:val="004E42B1"/>
    <w:rsid w:val="004E6515"/>
    <w:rsid w:val="004E7A79"/>
    <w:rsid w:val="004F06CC"/>
    <w:rsid w:val="004F06CE"/>
    <w:rsid w:val="004F0E80"/>
    <w:rsid w:val="004F17F9"/>
    <w:rsid w:val="004F2D9C"/>
    <w:rsid w:val="004F490B"/>
    <w:rsid w:val="004F5320"/>
    <w:rsid w:val="005024AF"/>
    <w:rsid w:val="005038FD"/>
    <w:rsid w:val="0050542A"/>
    <w:rsid w:val="00505D70"/>
    <w:rsid w:val="00505DDA"/>
    <w:rsid w:val="005068D1"/>
    <w:rsid w:val="00506C1B"/>
    <w:rsid w:val="00506E5C"/>
    <w:rsid w:val="00511E7B"/>
    <w:rsid w:val="005126DF"/>
    <w:rsid w:val="0051429E"/>
    <w:rsid w:val="00516552"/>
    <w:rsid w:val="00517A42"/>
    <w:rsid w:val="00522532"/>
    <w:rsid w:val="005260E9"/>
    <w:rsid w:val="0052697E"/>
    <w:rsid w:val="00527300"/>
    <w:rsid w:val="0053107D"/>
    <w:rsid w:val="0053338D"/>
    <w:rsid w:val="00534986"/>
    <w:rsid w:val="00535BA6"/>
    <w:rsid w:val="00535C05"/>
    <w:rsid w:val="00540C9F"/>
    <w:rsid w:val="0054213D"/>
    <w:rsid w:val="005427D1"/>
    <w:rsid w:val="00542C8C"/>
    <w:rsid w:val="00545300"/>
    <w:rsid w:val="00547466"/>
    <w:rsid w:val="00550BC9"/>
    <w:rsid w:val="00551F49"/>
    <w:rsid w:val="00552D62"/>
    <w:rsid w:val="0055363F"/>
    <w:rsid w:val="00561736"/>
    <w:rsid w:val="005618DB"/>
    <w:rsid w:val="00563EBF"/>
    <w:rsid w:val="005644F4"/>
    <w:rsid w:val="00564842"/>
    <w:rsid w:val="00567399"/>
    <w:rsid w:val="005722F6"/>
    <w:rsid w:val="00573E6F"/>
    <w:rsid w:val="00573F09"/>
    <w:rsid w:val="00574357"/>
    <w:rsid w:val="0057487B"/>
    <w:rsid w:val="005759E4"/>
    <w:rsid w:val="005806B8"/>
    <w:rsid w:val="005840AD"/>
    <w:rsid w:val="005863D9"/>
    <w:rsid w:val="00587F93"/>
    <w:rsid w:val="00590F16"/>
    <w:rsid w:val="0059105B"/>
    <w:rsid w:val="00596FD9"/>
    <w:rsid w:val="00597F25"/>
    <w:rsid w:val="005A0372"/>
    <w:rsid w:val="005A2E77"/>
    <w:rsid w:val="005A4096"/>
    <w:rsid w:val="005A6B21"/>
    <w:rsid w:val="005B25A5"/>
    <w:rsid w:val="005B26A6"/>
    <w:rsid w:val="005B2A99"/>
    <w:rsid w:val="005B4E7D"/>
    <w:rsid w:val="005B6865"/>
    <w:rsid w:val="005B6C77"/>
    <w:rsid w:val="005B7C9B"/>
    <w:rsid w:val="005B7EAB"/>
    <w:rsid w:val="005C33AC"/>
    <w:rsid w:val="005C447F"/>
    <w:rsid w:val="005C65A0"/>
    <w:rsid w:val="005D0030"/>
    <w:rsid w:val="005D1A6F"/>
    <w:rsid w:val="005D40F0"/>
    <w:rsid w:val="005D5131"/>
    <w:rsid w:val="005E4FAB"/>
    <w:rsid w:val="005E524F"/>
    <w:rsid w:val="005F01D1"/>
    <w:rsid w:val="005F0643"/>
    <w:rsid w:val="005F1F29"/>
    <w:rsid w:val="005F2158"/>
    <w:rsid w:val="005F32FE"/>
    <w:rsid w:val="005F52D6"/>
    <w:rsid w:val="005F5718"/>
    <w:rsid w:val="005F5D9D"/>
    <w:rsid w:val="005F6CE4"/>
    <w:rsid w:val="005F7680"/>
    <w:rsid w:val="0060235E"/>
    <w:rsid w:val="00602DB7"/>
    <w:rsid w:val="00604E70"/>
    <w:rsid w:val="00606B60"/>
    <w:rsid w:val="006103FD"/>
    <w:rsid w:val="006124BE"/>
    <w:rsid w:val="0061747D"/>
    <w:rsid w:val="00621ABA"/>
    <w:rsid w:val="00621BFB"/>
    <w:rsid w:val="00621DD8"/>
    <w:rsid w:val="006267C4"/>
    <w:rsid w:val="00627835"/>
    <w:rsid w:val="00631E4A"/>
    <w:rsid w:val="0063276A"/>
    <w:rsid w:val="006337D5"/>
    <w:rsid w:val="00633F16"/>
    <w:rsid w:val="0063533B"/>
    <w:rsid w:val="0063591F"/>
    <w:rsid w:val="006365A1"/>
    <w:rsid w:val="00642BEA"/>
    <w:rsid w:val="00643A40"/>
    <w:rsid w:val="00647836"/>
    <w:rsid w:val="0065143A"/>
    <w:rsid w:val="00652C8F"/>
    <w:rsid w:val="00654142"/>
    <w:rsid w:val="006553F2"/>
    <w:rsid w:val="00660035"/>
    <w:rsid w:val="0066160C"/>
    <w:rsid w:val="00662BE1"/>
    <w:rsid w:val="00665583"/>
    <w:rsid w:val="00665784"/>
    <w:rsid w:val="0066599D"/>
    <w:rsid w:val="00670574"/>
    <w:rsid w:val="00673824"/>
    <w:rsid w:val="00680AF7"/>
    <w:rsid w:val="00683042"/>
    <w:rsid w:val="0068452F"/>
    <w:rsid w:val="006849EE"/>
    <w:rsid w:val="00686CB0"/>
    <w:rsid w:val="00687046"/>
    <w:rsid w:val="0069077D"/>
    <w:rsid w:val="00690AEC"/>
    <w:rsid w:val="00692614"/>
    <w:rsid w:val="006936FD"/>
    <w:rsid w:val="00695045"/>
    <w:rsid w:val="00695A43"/>
    <w:rsid w:val="006A28A7"/>
    <w:rsid w:val="006A31E3"/>
    <w:rsid w:val="006A482C"/>
    <w:rsid w:val="006A5348"/>
    <w:rsid w:val="006A7438"/>
    <w:rsid w:val="006B36CB"/>
    <w:rsid w:val="006B5035"/>
    <w:rsid w:val="006B71EB"/>
    <w:rsid w:val="006C62B8"/>
    <w:rsid w:val="006C712F"/>
    <w:rsid w:val="006C7361"/>
    <w:rsid w:val="006D044F"/>
    <w:rsid w:val="006D0CD5"/>
    <w:rsid w:val="006E02C2"/>
    <w:rsid w:val="006E2929"/>
    <w:rsid w:val="006E405D"/>
    <w:rsid w:val="006E5F00"/>
    <w:rsid w:val="006E74B6"/>
    <w:rsid w:val="006E7869"/>
    <w:rsid w:val="006E7AEE"/>
    <w:rsid w:val="006F0801"/>
    <w:rsid w:val="006F0FF1"/>
    <w:rsid w:val="006F1A7F"/>
    <w:rsid w:val="006F2008"/>
    <w:rsid w:val="006F2649"/>
    <w:rsid w:val="006F532A"/>
    <w:rsid w:val="007037FC"/>
    <w:rsid w:val="00704BB0"/>
    <w:rsid w:val="00705AA4"/>
    <w:rsid w:val="00706001"/>
    <w:rsid w:val="007146EA"/>
    <w:rsid w:val="00715E96"/>
    <w:rsid w:val="0071663B"/>
    <w:rsid w:val="00716B36"/>
    <w:rsid w:val="00721623"/>
    <w:rsid w:val="00722DDC"/>
    <w:rsid w:val="00723689"/>
    <w:rsid w:val="0072499F"/>
    <w:rsid w:val="007260C4"/>
    <w:rsid w:val="00726F70"/>
    <w:rsid w:val="00727672"/>
    <w:rsid w:val="00732391"/>
    <w:rsid w:val="00745114"/>
    <w:rsid w:val="007461C1"/>
    <w:rsid w:val="007462DA"/>
    <w:rsid w:val="00746ACB"/>
    <w:rsid w:val="00746C6A"/>
    <w:rsid w:val="0075152D"/>
    <w:rsid w:val="00751E1E"/>
    <w:rsid w:val="007522FF"/>
    <w:rsid w:val="0075235D"/>
    <w:rsid w:val="0075380C"/>
    <w:rsid w:val="00753B8A"/>
    <w:rsid w:val="00753BFE"/>
    <w:rsid w:val="007549E0"/>
    <w:rsid w:val="007575C7"/>
    <w:rsid w:val="007602CA"/>
    <w:rsid w:val="007622B2"/>
    <w:rsid w:val="00764207"/>
    <w:rsid w:val="0076463A"/>
    <w:rsid w:val="00766360"/>
    <w:rsid w:val="0076665E"/>
    <w:rsid w:val="00773B55"/>
    <w:rsid w:val="00774530"/>
    <w:rsid w:val="00777EBC"/>
    <w:rsid w:val="0078023A"/>
    <w:rsid w:val="00784437"/>
    <w:rsid w:val="0078616E"/>
    <w:rsid w:val="00787287"/>
    <w:rsid w:val="00787509"/>
    <w:rsid w:val="00791E99"/>
    <w:rsid w:val="0079404F"/>
    <w:rsid w:val="007942AD"/>
    <w:rsid w:val="00794383"/>
    <w:rsid w:val="0079521D"/>
    <w:rsid w:val="00795ABC"/>
    <w:rsid w:val="00795D1B"/>
    <w:rsid w:val="007A00CC"/>
    <w:rsid w:val="007A2389"/>
    <w:rsid w:val="007A30B7"/>
    <w:rsid w:val="007A5478"/>
    <w:rsid w:val="007A6AB8"/>
    <w:rsid w:val="007B1055"/>
    <w:rsid w:val="007B52A3"/>
    <w:rsid w:val="007B584A"/>
    <w:rsid w:val="007B74DB"/>
    <w:rsid w:val="007C3205"/>
    <w:rsid w:val="007C3CE1"/>
    <w:rsid w:val="007C47CC"/>
    <w:rsid w:val="007D062B"/>
    <w:rsid w:val="007D56D7"/>
    <w:rsid w:val="007E28BB"/>
    <w:rsid w:val="007E38F3"/>
    <w:rsid w:val="007E4127"/>
    <w:rsid w:val="007E62B3"/>
    <w:rsid w:val="007E6AD4"/>
    <w:rsid w:val="007E6E8D"/>
    <w:rsid w:val="007F1F46"/>
    <w:rsid w:val="007F29D4"/>
    <w:rsid w:val="007F6640"/>
    <w:rsid w:val="007F7703"/>
    <w:rsid w:val="007F7E94"/>
    <w:rsid w:val="0080007A"/>
    <w:rsid w:val="008029BE"/>
    <w:rsid w:val="00802A91"/>
    <w:rsid w:val="00802E77"/>
    <w:rsid w:val="00804732"/>
    <w:rsid w:val="00810D3F"/>
    <w:rsid w:val="00811F00"/>
    <w:rsid w:val="008120C4"/>
    <w:rsid w:val="00813721"/>
    <w:rsid w:val="008137A4"/>
    <w:rsid w:val="00813949"/>
    <w:rsid w:val="00814622"/>
    <w:rsid w:val="00814AA6"/>
    <w:rsid w:val="00814FEC"/>
    <w:rsid w:val="00815441"/>
    <w:rsid w:val="00815541"/>
    <w:rsid w:val="00815FFD"/>
    <w:rsid w:val="0081662D"/>
    <w:rsid w:val="00816E58"/>
    <w:rsid w:val="00816F0D"/>
    <w:rsid w:val="00817DBB"/>
    <w:rsid w:val="008206A7"/>
    <w:rsid w:val="00821226"/>
    <w:rsid w:val="00822F9D"/>
    <w:rsid w:val="00823217"/>
    <w:rsid w:val="00831905"/>
    <w:rsid w:val="008328FB"/>
    <w:rsid w:val="00833032"/>
    <w:rsid w:val="00833D6A"/>
    <w:rsid w:val="00834931"/>
    <w:rsid w:val="00835463"/>
    <w:rsid w:val="00836124"/>
    <w:rsid w:val="00842711"/>
    <w:rsid w:val="008502A9"/>
    <w:rsid w:val="008539B0"/>
    <w:rsid w:val="00853C08"/>
    <w:rsid w:val="008545CE"/>
    <w:rsid w:val="0085601E"/>
    <w:rsid w:val="00860621"/>
    <w:rsid w:val="00860836"/>
    <w:rsid w:val="0086083F"/>
    <w:rsid w:val="008609F1"/>
    <w:rsid w:val="00861560"/>
    <w:rsid w:val="008630FC"/>
    <w:rsid w:val="00865EC5"/>
    <w:rsid w:val="0086655D"/>
    <w:rsid w:val="00867F40"/>
    <w:rsid w:val="00870489"/>
    <w:rsid w:val="00870727"/>
    <w:rsid w:val="00874851"/>
    <w:rsid w:val="008771B3"/>
    <w:rsid w:val="00882304"/>
    <w:rsid w:val="008832C3"/>
    <w:rsid w:val="00885BA0"/>
    <w:rsid w:val="00886807"/>
    <w:rsid w:val="008871B9"/>
    <w:rsid w:val="00891BC5"/>
    <w:rsid w:val="00897D78"/>
    <w:rsid w:val="008A12AE"/>
    <w:rsid w:val="008A1AF8"/>
    <w:rsid w:val="008A201B"/>
    <w:rsid w:val="008A44B5"/>
    <w:rsid w:val="008A5EED"/>
    <w:rsid w:val="008A70F5"/>
    <w:rsid w:val="008B0757"/>
    <w:rsid w:val="008B07AF"/>
    <w:rsid w:val="008B21DA"/>
    <w:rsid w:val="008C0A80"/>
    <w:rsid w:val="008C109F"/>
    <w:rsid w:val="008C1ADD"/>
    <w:rsid w:val="008C28C1"/>
    <w:rsid w:val="008C4DCC"/>
    <w:rsid w:val="008C51F2"/>
    <w:rsid w:val="008C5401"/>
    <w:rsid w:val="008C60C5"/>
    <w:rsid w:val="008D1B23"/>
    <w:rsid w:val="008D1CBA"/>
    <w:rsid w:val="008D3778"/>
    <w:rsid w:val="008D3EBB"/>
    <w:rsid w:val="008D4BC8"/>
    <w:rsid w:val="008D515E"/>
    <w:rsid w:val="008E08C9"/>
    <w:rsid w:val="008E2DFE"/>
    <w:rsid w:val="008E3B33"/>
    <w:rsid w:val="008E5F98"/>
    <w:rsid w:val="008F17FA"/>
    <w:rsid w:val="008F1E46"/>
    <w:rsid w:val="008F1E47"/>
    <w:rsid w:val="008F5BF6"/>
    <w:rsid w:val="008F65BB"/>
    <w:rsid w:val="008F6F57"/>
    <w:rsid w:val="008F77B9"/>
    <w:rsid w:val="008F7C0B"/>
    <w:rsid w:val="0090019F"/>
    <w:rsid w:val="009002A3"/>
    <w:rsid w:val="0090213D"/>
    <w:rsid w:val="009037A0"/>
    <w:rsid w:val="00903A00"/>
    <w:rsid w:val="00903EE0"/>
    <w:rsid w:val="009041D9"/>
    <w:rsid w:val="00905A78"/>
    <w:rsid w:val="0090679F"/>
    <w:rsid w:val="00910CAA"/>
    <w:rsid w:val="009141C4"/>
    <w:rsid w:val="00914716"/>
    <w:rsid w:val="00915723"/>
    <w:rsid w:val="0091610E"/>
    <w:rsid w:val="00917F70"/>
    <w:rsid w:val="00921780"/>
    <w:rsid w:val="00924091"/>
    <w:rsid w:val="00924A0C"/>
    <w:rsid w:val="00924AA3"/>
    <w:rsid w:val="00924DDA"/>
    <w:rsid w:val="009264C7"/>
    <w:rsid w:val="00930B18"/>
    <w:rsid w:val="0093266D"/>
    <w:rsid w:val="00933A64"/>
    <w:rsid w:val="009340C4"/>
    <w:rsid w:val="009342A0"/>
    <w:rsid w:val="00935521"/>
    <w:rsid w:val="00937F26"/>
    <w:rsid w:val="009409B3"/>
    <w:rsid w:val="00941157"/>
    <w:rsid w:val="00943CEB"/>
    <w:rsid w:val="00946182"/>
    <w:rsid w:val="0095120B"/>
    <w:rsid w:val="009518B2"/>
    <w:rsid w:val="00951A81"/>
    <w:rsid w:val="00952B89"/>
    <w:rsid w:val="00953BAB"/>
    <w:rsid w:val="00954F1A"/>
    <w:rsid w:val="009568A6"/>
    <w:rsid w:val="00960627"/>
    <w:rsid w:val="00960DAF"/>
    <w:rsid w:val="009652D1"/>
    <w:rsid w:val="00966694"/>
    <w:rsid w:val="00966E7F"/>
    <w:rsid w:val="00973D7C"/>
    <w:rsid w:val="0097686C"/>
    <w:rsid w:val="0097741B"/>
    <w:rsid w:val="00977A89"/>
    <w:rsid w:val="00977D87"/>
    <w:rsid w:val="0098039A"/>
    <w:rsid w:val="009825E9"/>
    <w:rsid w:val="00983F98"/>
    <w:rsid w:val="009858D5"/>
    <w:rsid w:val="00986F15"/>
    <w:rsid w:val="00987C27"/>
    <w:rsid w:val="009900FE"/>
    <w:rsid w:val="009908D9"/>
    <w:rsid w:val="009951E5"/>
    <w:rsid w:val="00996D66"/>
    <w:rsid w:val="009A2C66"/>
    <w:rsid w:val="009A4386"/>
    <w:rsid w:val="009A44FC"/>
    <w:rsid w:val="009A659B"/>
    <w:rsid w:val="009B03FB"/>
    <w:rsid w:val="009B041B"/>
    <w:rsid w:val="009B2AE4"/>
    <w:rsid w:val="009B312D"/>
    <w:rsid w:val="009B44FD"/>
    <w:rsid w:val="009B4DE8"/>
    <w:rsid w:val="009B7D63"/>
    <w:rsid w:val="009C216B"/>
    <w:rsid w:val="009C4C58"/>
    <w:rsid w:val="009C5759"/>
    <w:rsid w:val="009C6E77"/>
    <w:rsid w:val="009D02DA"/>
    <w:rsid w:val="009D2AC7"/>
    <w:rsid w:val="009D2FCA"/>
    <w:rsid w:val="009D3BDA"/>
    <w:rsid w:val="009D4462"/>
    <w:rsid w:val="009D73D9"/>
    <w:rsid w:val="009E1042"/>
    <w:rsid w:val="009E1D5B"/>
    <w:rsid w:val="009E28AD"/>
    <w:rsid w:val="009E31DD"/>
    <w:rsid w:val="009E3474"/>
    <w:rsid w:val="009E3799"/>
    <w:rsid w:val="009E56CE"/>
    <w:rsid w:val="009E6018"/>
    <w:rsid w:val="009F1DD9"/>
    <w:rsid w:val="009F2704"/>
    <w:rsid w:val="009F45E0"/>
    <w:rsid w:val="009F4752"/>
    <w:rsid w:val="009F4DC0"/>
    <w:rsid w:val="00A02D80"/>
    <w:rsid w:val="00A05438"/>
    <w:rsid w:val="00A061D2"/>
    <w:rsid w:val="00A068B8"/>
    <w:rsid w:val="00A10D4B"/>
    <w:rsid w:val="00A124AA"/>
    <w:rsid w:val="00A13AC2"/>
    <w:rsid w:val="00A14BE7"/>
    <w:rsid w:val="00A154B8"/>
    <w:rsid w:val="00A179C4"/>
    <w:rsid w:val="00A20B5F"/>
    <w:rsid w:val="00A21AFB"/>
    <w:rsid w:val="00A21D9E"/>
    <w:rsid w:val="00A317D5"/>
    <w:rsid w:val="00A323C6"/>
    <w:rsid w:val="00A35794"/>
    <w:rsid w:val="00A40497"/>
    <w:rsid w:val="00A40602"/>
    <w:rsid w:val="00A40EA3"/>
    <w:rsid w:val="00A41974"/>
    <w:rsid w:val="00A438CD"/>
    <w:rsid w:val="00A43BEA"/>
    <w:rsid w:val="00A443DE"/>
    <w:rsid w:val="00A46F4D"/>
    <w:rsid w:val="00A5077B"/>
    <w:rsid w:val="00A51F69"/>
    <w:rsid w:val="00A5678F"/>
    <w:rsid w:val="00A57023"/>
    <w:rsid w:val="00A572FA"/>
    <w:rsid w:val="00A57E0A"/>
    <w:rsid w:val="00A60D8C"/>
    <w:rsid w:val="00A60EAA"/>
    <w:rsid w:val="00A61678"/>
    <w:rsid w:val="00A61C75"/>
    <w:rsid w:val="00A641F6"/>
    <w:rsid w:val="00A75975"/>
    <w:rsid w:val="00A768EF"/>
    <w:rsid w:val="00A77B9F"/>
    <w:rsid w:val="00A800F7"/>
    <w:rsid w:val="00A808CE"/>
    <w:rsid w:val="00A83D2E"/>
    <w:rsid w:val="00A84E91"/>
    <w:rsid w:val="00A85733"/>
    <w:rsid w:val="00A863C9"/>
    <w:rsid w:val="00A8663A"/>
    <w:rsid w:val="00A938A7"/>
    <w:rsid w:val="00A95FF4"/>
    <w:rsid w:val="00A96B25"/>
    <w:rsid w:val="00AA2C33"/>
    <w:rsid w:val="00AA2DDB"/>
    <w:rsid w:val="00AA5377"/>
    <w:rsid w:val="00AA5A95"/>
    <w:rsid w:val="00AB03BB"/>
    <w:rsid w:val="00AB12DD"/>
    <w:rsid w:val="00AB467C"/>
    <w:rsid w:val="00AB5B65"/>
    <w:rsid w:val="00AC136A"/>
    <w:rsid w:val="00AC2376"/>
    <w:rsid w:val="00AC2C7A"/>
    <w:rsid w:val="00AC407B"/>
    <w:rsid w:val="00AC4874"/>
    <w:rsid w:val="00AC6CB3"/>
    <w:rsid w:val="00AC7A1F"/>
    <w:rsid w:val="00AD1A0A"/>
    <w:rsid w:val="00AD2111"/>
    <w:rsid w:val="00AD32CA"/>
    <w:rsid w:val="00AD33D3"/>
    <w:rsid w:val="00AD4981"/>
    <w:rsid w:val="00AD67A2"/>
    <w:rsid w:val="00AD6FD0"/>
    <w:rsid w:val="00AD7356"/>
    <w:rsid w:val="00AE0844"/>
    <w:rsid w:val="00AE1BB4"/>
    <w:rsid w:val="00AE3AF1"/>
    <w:rsid w:val="00AE7B18"/>
    <w:rsid w:val="00AF0B11"/>
    <w:rsid w:val="00AF20E9"/>
    <w:rsid w:val="00AF24D0"/>
    <w:rsid w:val="00B06222"/>
    <w:rsid w:val="00B06B3B"/>
    <w:rsid w:val="00B110DC"/>
    <w:rsid w:val="00B123E2"/>
    <w:rsid w:val="00B1308C"/>
    <w:rsid w:val="00B13248"/>
    <w:rsid w:val="00B20458"/>
    <w:rsid w:val="00B217AD"/>
    <w:rsid w:val="00B21846"/>
    <w:rsid w:val="00B223ED"/>
    <w:rsid w:val="00B2297E"/>
    <w:rsid w:val="00B23640"/>
    <w:rsid w:val="00B263C0"/>
    <w:rsid w:val="00B301A2"/>
    <w:rsid w:val="00B31925"/>
    <w:rsid w:val="00B33498"/>
    <w:rsid w:val="00B33CC4"/>
    <w:rsid w:val="00B343F9"/>
    <w:rsid w:val="00B36B46"/>
    <w:rsid w:val="00B370EA"/>
    <w:rsid w:val="00B37F8D"/>
    <w:rsid w:val="00B433A4"/>
    <w:rsid w:val="00B43FB3"/>
    <w:rsid w:val="00B440BA"/>
    <w:rsid w:val="00B45A8F"/>
    <w:rsid w:val="00B45F49"/>
    <w:rsid w:val="00B46667"/>
    <w:rsid w:val="00B50023"/>
    <w:rsid w:val="00B52746"/>
    <w:rsid w:val="00B540A9"/>
    <w:rsid w:val="00B54CA5"/>
    <w:rsid w:val="00B56AC3"/>
    <w:rsid w:val="00B62448"/>
    <w:rsid w:val="00B64198"/>
    <w:rsid w:val="00B6671D"/>
    <w:rsid w:val="00B7264F"/>
    <w:rsid w:val="00B76729"/>
    <w:rsid w:val="00B81B63"/>
    <w:rsid w:val="00B81FB6"/>
    <w:rsid w:val="00B83D1D"/>
    <w:rsid w:val="00B8505E"/>
    <w:rsid w:val="00B86C06"/>
    <w:rsid w:val="00B9182E"/>
    <w:rsid w:val="00B9222C"/>
    <w:rsid w:val="00B92246"/>
    <w:rsid w:val="00B95FAC"/>
    <w:rsid w:val="00BA1F73"/>
    <w:rsid w:val="00BA2043"/>
    <w:rsid w:val="00BA7CE5"/>
    <w:rsid w:val="00BB1837"/>
    <w:rsid w:val="00BB2050"/>
    <w:rsid w:val="00BB283F"/>
    <w:rsid w:val="00BB2AF8"/>
    <w:rsid w:val="00BB6548"/>
    <w:rsid w:val="00BB673C"/>
    <w:rsid w:val="00BC1431"/>
    <w:rsid w:val="00BC1B53"/>
    <w:rsid w:val="00BC3438"/>
    <w:rsid w:val="00BC34E4"/>
    <w:rsid w:val="00BC417B"/>
    <w:rsid w:val="00BC4F09"/>
    <w:rsid w:val="00BD024D"/>
    <w:rsid w:val="00BD377B"/>
    <w:rsid w:val="00BD43C1"/>
    <w:rsid w:val="00BD4BB3"/>
    <w:rsid w:val="00BD5736"/>
    <w:rsid w:val="00BD5759"/>
    <w:rsid w:val="00BD5B67"/>
    <w:rsid w:val="00BD7A9E"/>
    <w:rsid w:val="00BD7BAF"/>
    <w:rsid w:val="00BE09AD"/>
    <w:rsid w:val="00BE296A"/>
    <w:rsid w:val="00BE2A3C"/>
    <w:rsid w:val="00BE3872"/>
    <w:rsid w:val="00BE39E9"/>
    <w:rsid w:val="00BE79F9"/>
    <w:rsid w:val="00BE7E38"/>
    <w:rsid w:val="00BF2E58"/>
    <w:rsid w:val="00BF2E78"/>
    <w:rsid w:val="00BF3F56"/>
    <w:rsid w:val="00C00E7C"/>
    <w:rsid w:val="00C05E01"/>
    <w:rsid w:val="00C1044F"/>
    <w:rsid w:val="00C13F5F"/>
    <w:rsid w:val="00C1600E"/>
    <w:rsid w:val="00C253F6"/>
    <w:rsid w:val="00C255EF"/>
    <w:rsid w:val="00C2743E"/>
    <w:rsid w:val="00C33976"/>
    <w:rsid w:val="00C360B1"/>
    <w:rsid w:val="00C41150"/>
    <w:rsid w:val="00C43480"/>
    <w:rsid w:val="00C457F5"/>
    <w:rsid w:val="00C473B9"/>
    <w:rsid w:val="00C52327"/>
    <w:rsid w:val="00C53CA7"/>
    <w:rsid w:val="00C53F8D"/>
    <w:rsid w:val="00C544D2"/>
    <w:rsid w:val="00C60355"/>
    <w:rsid w:val="00C63E05"/>
    <w:rsid w:val="00C66CB0"/>
    <w:rsid w:val="00C67A44"/>
    <w:rsid w:val="00C70420"/>
    <w:rsid w:val="00C70806"/>
    <w:rsid w:val="00C73266"/>
    <w:rsid w:val="00C73602"/>
    <w:rsid w:val="00C750B4"/>
    <w:rsid w:val="00C75517"/>
    <w:rsid w:val="00C75F22"/>
    <w:rsid w:val="00C77A45"/>
    <w:rsid w:val="00C80587"/>
    <w:rsid w:val="00C80D2F"/>
    <w:rsid w:val="00C865C6"/>
    <w:rsid w:val="00C90B2A"/>
    <w:rsid w:val="00C94D7A"/>
    <w:rsid w:val="00CA03A7"/>
    <w:rsid w:val="00CA0E9C"/>
    <w:rsid w:val="00CA1F49"/>
    <w:rsid w:val="00CA2C33"/>
    <w:rsid w:val="00CA2DAB"/>
    <w:rsid w:val="00CA3A2C"/>
    <w:rsid w:val="00CA5156"/>
    <w:rsid w:val="00CA5235"/>
    <w:rsid w:val="00CA7594"/>
    <w:rsid w:val="00CB06A6"/>
    <w:rsid w:val="00CB1FE8"/>
    <w:rsid w:val="00CB29CF"/>
    <w:rsid w:val="00CB44A5"/>
    <w:rsid w:val="00CB4C4F"/>
    <w:rsid w:val="00CB5387"/>
    <w:rsid w:val="00CB6510"/>
    <w:rsid w:val="00CB7367"/>
    <w:rsid w:val="00CC0ECC"/>
    <w:rsid w:val="00CC1965"/>
    <w:rsid w:val="00CC2C4F"/>
    <w:rsid w:val="00CC2C51"/>
    <w:rsid w:val="00CC6988"/>
    <w:rsid w:val="00CC7B3C"/>
    <w:rsid w:val="00CD0F4D"/>
    <w:rsid w:val="00CD314B"/>
    <w:rsid w:val="00CD55FA"/>
    <w:rsid w:val="00CE1A98"/>
    <w:rsid w:val="00CE32D3"/>
    <w:rsid w:val="00CE3F05"/>
    <w:rsid w:val="00CE6A82"/>
    <w:rsid w:val="00CE6D17"/>
    <w:rsid w:val="00CF095F"/>
    <w:rsid w:val="00CF327C"/>
    <w:rsid w:val="00CF6A8D"/>
    <w:rsid w:val="00CF717F"/>
    <w:rsid w:val="00D02BB8"/>
    <w:rsid w:val="00D03FD5"/>
    <w:rsid w:val="00D0407D"/>
    <w:rsid w:val="00D04321"/>
    <w:rsid w:val="00D0465E"/>
    <w:rsid w:val="00D05442"/>
    <w:rsid w:val="00D077FB"/>
    <w:rsid w:val="00D07F58"/>
    <w:rsid w:val="00D10410"/>
    <w:rsid w:val="00D117CE"/>
    <w:rsid w:val="00D14490"/>
    <w:rsid w:val="00D21FA0"/>
    <w:rsid w:val="00D23B46"/>
    <w:rsid w:val="00D23BE5"/>
    <w:rsid w:val="00D301E5"/>
    <w:rsid w:val="00D32709"/>
    <w:rsid w:val="00D411BA"/>
    <w:rsid w:val="00D420C7"/>
    <w:rsid w:val="00D42EB8"/>
    <w:rsid w:val="00D43F6E"/>
    <w:rsid w:val="00D44D10"/>
    <w:rsid w:val="00D457CE"/>
    <w:rsid w:val="00D50013"/>
    <w:rsid w:val="00D50DA0"/>
    <w:rsid w:val="00D5118D"/>
    <w:rsid w:val="00D51A2F"/>
    <w:rsid w:val="00D532A4"/>
    <w:rsid w:val="00D53E4C"/>
    <w:rsid w:val="00D57939"/>
    <w:rsid w:val="00D57A7A"/>
    <w:rsid w:val="00D60004"/>
    <w:rsid w:val="00D613CB"/>
    <w:rsid w:val="00D630C9"/>
    <w:rsid w:val="00D666C9"/>
    <w:rsid w:val="00D66DCC"/>
    <w:rsid w:val="00D741FB"/>
    <w:rsid w:val="00D773F6"/>
    <w:rsid w:val="00D80140"/>
    <w:rsid w:val="00D80D54"/>
    <w:rsid w:val="00D81E19"/>
    <w:rsid w:val="00D8228E"/>
    <w:rsid w:val="00D8298C"/>
    <w:rsid w:val="00D85BB4"/>
    <w:rsid w:val="00D86EB2"/>
    <w:rsid w:val="00D90C77"/>
    <w:rsid w:val="00D91141"/>
    <w:rsid w:val="00D91EC4"/>
    <w:rsid w:val="00D92E73"/>
    <w:rsid w:val="00D95475"/>
    <w:rsid w:val="00D96E4B"/>
    <w:rsid w:val="00D971CA"/>
    <w:rsid w:val="00DA272A"/>
    <w:rsid w:val="00DA5715"/>
    <w:rsid w:val="00DA6734"/>
    <w:rsid w:val="00DB015A"/>
    <w:rsid w:val="00DB140C"/>
    <w:rsid w:val="00DB373E"/>
    <w:rsid w:val="00DC0D9B"/>
    <w:rsid w:val="00DC77C2"/>
    <w:rsid w:val="00DD1154"/>
    <w:rsid w:val="00DD31D6"/>
    <w:rsid w:val="00DD5282"/>
    <w:rsid w:val="00DD53D8"/>
    <w:rsid w:val="00DE0F06"/>
    <w:rsid w:val="00DE3D30"/>
    <w:rsid w:val="00DE437A"/>
    <w:rsid w:val="00DE4E42"/>
    <w:rsid w:val="00DE598C"/>
    <w:rsid w:val="00DF113C"/>
    <w:rsid w:val="00DF20AC"/>
    <w:rsid w:val="00DF41A0"/>
    <w:rsid w:val="00DF520A"/>
    <w:rsid w:val="00DF527A"/>
    <w:rsid w:val="00E015DC"/>
    <w:rsid w:val="00E04BA5"/>
    <w:rsid w:val="00E076E0"/>
    <w:rsid w:val="00E07C79"/>
    <w:rsid w:val="00E126CF"/>
    <w:rsid w:val="00E13DF1"/>
    <w:rsid w:val="00E14F16"/>
    <w:rsid w:val="00E15C2C"/>
    <w:rsid w:val="00E1647D"/>
    <w:rsid w:val="00E23025"/>
    <w:rsid w:val="00E23781"/>
    <w:rsid w:val="00E24F47"/>
    <w:rsid w:val="00E2613E"/>
    <w:rsid w:val="00E26458"/>
    <w:rsid w:val="00E26959"/>
    <w:rsid w:val="00E27145"/>
    <w:rsid w:val="00E27A70"/>
    <w:rsid w:val="00E27A8A"/>
    <w:rsid w:val="00E34139"/>
    <w:rsid w:val="00E3489D"/>
    <w:rsid w:val="00E34F56"/>
    <w:rsid w:val="00E35BAB"/>
    <w:rsid w:val="00E42F13"/>
    <w:rsid w:val="00E43F1A"/>
    <w:rsid w:val="00E47CE0"/>
    <w:rsid w:val="00E504F5"/>
    <w:rsid w:val="00E54342"/>
    <w:rsid w:val="00E566D5"/>
    <w:rsid w:val="00E62351"/>
    <w:rsid w:val="00E64E58"/>
    <w:rsid w:val="00E65AA5"/>
    <w:rsid w:val="00E65AA7"/>
    <w:rsid w:val="00E677C9"/>
    <w:rsid w:val="00E74F06"/>
    <w:rsid w:val="00E77AA2"/>
    <w:rsid w:val="00E80FE3"/>
    <w:rsid w:val="00E8228C"/>
    <w:rsid w:val="00E83836"/>
    <w:rsid w:val="00E84D4C"/>
    <w:rsid w:val="00E87EC7"/>
    <w:rsid w:val="00E90290"/>
    <w:rsid w:val="00E914E1"/>
    <w:rsid w:val="00E9165F"/>
    <w:rsid w:val="00E9537E"/>
    <w:rsid w:val="00EA2B7D"/>
    <w:rsid w:val="00EA55A5"/>
    <w:rsid w:val="00EA6924"/>
    <w:rsid w:val="00EA7108"/>
    <w:rsid w:val="00EB0969"/>
    <w:rsid w:val="00EB1AB8"/>
    <w:rsid w:val="00EB2CBA"/>
    <w:rsid w:val="00EB34E9"/>
    <w:rsid w:val="00EB78C5"/>
    <w:rsid w:val="00EC0744"/>
    <w:rsid w:val="00EC0F3A"/>
    <w:rsid w:val="00EC3B2C"/>
    <w:rsid w:val="00EC50AA"/>
    <w:rsid w:val="00EC5D84"/>
    <w:rsid w:val="00EC7178"/>
    <w:rsid w:val="00ED15BE"/>
    <w:rsid w:val="00ED2A58"/>
    <w:rsid w:val="00ED3255"/>
    <w:rsid w:val="00ED6975"/>
    <w:rsid w:val="00ED6DB6"/>
    <w:rsid w:val="00EE0630"/>
    <w:rsid w:val="00EE1488"/>
    <w:rsid w:val="00EE1806"/>
    <w:rsid w:val="00EE1A79"/>
    <w:rsid w:val="00EE250B"/>
    <w:rsid w:val="00EE3CBE"/>
    <w:rsid w:val="00EE44ED"/>
    <w:rsid w:val="00EE4DAA"/>
    <w:rsid w:val="00EE5CA8"/>
    <w:rsid w:val="00EE694A"/>
    <w:rsid w:val="00EF29B8"/>
    <w:rsid w:val="00EF3614"/>
    <w:rsid w:val="00EF56E6"/>
    <w:rsid w:val="00EF6141"/>
    <w:rsid w:val="00F1141C"/>
    <w:rsid w:val="00F11535"/>
    <w:rsid w:val="00F13E69"/>
    <w:rsid w:val="00F14EED"/>
    <w:rsid w:val="00F2073A"/>
    <w:rsid w:val="00F26160"/>
    <w:rsid w:val="00F3014D"/>
    <w:rsid w:val="00F31E0E"/>
    <w:rsid w:val="00F32146"/>
    <w:rsid w:val="00F32F9C"/>
    <w:rsid w:val="00F35ABC"/>
    <w:rsid w:val="00F3674E"/>
    <w:rsid w:val="00F3678A"/>
    <w:rsid w:val="00F434D3"/>
    <w:rsid w:val="00F455B8"/>
    <w:rsid w:val="00F4692C"/>
    <w:rsid w:val="00F46E17"/>
    <w:rsid w:val="00F50B63"/>
    <w:rsid w:val="00F5217A"/>
    <w:rsid w:val="00F55048"/>
    <w:rsid w:val="00F557BC"/>
    <w:rsid w:val="00F5688E"/>
    <w:rsid w:val="00F603CB"/>
    <w:rsid w:val="00F61671"/>
    <w:rsid w:val="00F74CEF"/>
    <w:rsid w:val="00F8001A"/>
    <w:rsid w:val="00F8151F"/>
    <w:rsid w:val="00F820B8"/>
    <w:rsid w:val="00F8235F"/>
    <w:rsid w:val="00F82BDA"/>
    <w:rsid w:val="00F87451"/>
    <w:rsid w:val="00F93303"/>
    <w:rsid w:val="00F9475B"/>
    <w:rsid w:val="00F94809"/>
    <w:rsid w:val="00F96280"/>
    <w:rsid w:val="00F96EA4"/>
    <w:rsid w:val="00F97636"/>
    <w:rsid w:val="00FA10AB"/>
    <w:rsid w:val="00FA2407"/>
    <w:rsid w:val="00FA2D8E"/>
    <w:rsid w:val="00FA54B7"/>
    <w:rsid w:val="00FA6B88"/>
    <w:rsid w:val="00FB0933"/>
    <w:rsid w:val="00FB0DA1"/>
    <w:rsid w:val="00FB22EF"/>
    <w:rsid w:val="00FC65FC"/>
    <w:rsid w:val="00FD0BD2"/>
    <w:rsid w:val="00FD1E65"/>
    <w:rsid w:val="00FD2C93"/>
    <w:rsid w:val="00FD4896"/>
    <w:rsid w:val="00FD6CFE"/>
    <w:rsid w:val="00FE11CC"/>
    <w:rsid w:val="00FE4E25"/>
    <w:rsid w:val="00FE642C"/>
    <w:rsid w:val="00FF11F5"/>
    <w:rsid w:val="00FF1B1F"/>
    <w:rsid w:val="00FF43DF"/>
    <w:rsid w:val="00FF48DA"/>
    <w:rsid w:val="00FF5285"/>
    <w:rsid w:val="00FF5796"/>
    <w:rsid w:val="00FF5998"/>
    <w:rsid w:val="00FF7CAE"/>
    <w:rsid w:val="00FF7D7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369"/>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4B5297"/>
    <w:pPr>
      <w:spacing w:after="120" w:line="276" w:lineRule="auto"/>
      <w:jc w:val="both"/>
    </w:pPr>
    <w:rPr>
      <w:sz w:val="24"/>
      <w:lang w:val="fr-BE" w:eastAsia="en-US"/>
    </w:rPr>
  </w:style>
  <w:style w:type="paragraph" w:styleId="Titre1">
    <w:name w:val="heading 1"/>
    <w:basedOn w:val="Normal"/>
    <w:next w:val="Normal"/>
    <w:link w:val="Titre1Car"/>
    <w:uiPriority w:val="99"/>
    <w:qFormat/>
    <w:rsid w:val="004B5297"/>
    <w:pPr>
      <w:keepNext/>
      <w:keepLines/>
      <w:spacing w:before="480" w:after="240"/>
      <w:outlineLvl w:val="0"/>
    </w:pPr>
    <w:rPr>
      <w:rFonts w:ascii="Cambria" w:eastAsia="Times New Roman" w:hAnsi="Cambria"/>
      <w:b/>
      <w:bCs/>
      <w:color w:val="365F91"/>
      <w:sz w:val="28"/>
      <w:szCs w:val="28"/>
    </w:rPr>
  </w:style>
  <w:style w:type="paragraph" w:styleId="Titre2">
    <w:name w:val="heading 2"/>
    <w:basedOn w:val="Normal"/>
    <w:next w:val="Normal"/>
    <w:link w:val="Titre2Car"/>
    <w:uiPriority w:val="99"/>
    <w:qFormat/>
    <w:rsid w:val="005806B8"/>
    <w:pPr>
      <w:keepNext/>
      <w:keepLines/>
      <w:spacing w:before="200" w:after="240"/>
      <w:outlineLvl w:val="1"/>
    </w:pPr>
    <w:rPr>
      <w:rFonts w:ascii="Cambria" w:eastAsia="Times New Roman" w:hAnsi="Cambria"/>
      <w:b/>
      <w:bCs/>
      <w:color w:val="4F81BD"/>
      <w:sz w:val="26"/>
      <w:szCs w:val="26"/>
    </w:rPr>
  </w:style>
  <w:style w:type="paragraph" w:styleId="Titre3">
    <w:name w:val="heading 3"/>
    <w:basedOn w:val="Normal"/>
    <w:next w:val="Normal"/>
    <w:link w:val="Titre3Car"/>
    <w:uiPriority w:val="99"/>
    <w:qFormat/>
    <w:rsid w:val="00842711"/>
    <w:pPr>
      <w:keepNext/>
      <w:keepLines/>
      <w:spacing w:before="200" w:after="240"/>
      <w:outlineLvl w:val="2"/>
    </w:pPr>
    <w:rPr>
      <w:rFonts w:ascii="Cambria" w:eastAsia="Times New Roman" w:hAnsi="Cambria"/>
      <w:b/>
      <w:bCs/>
      <w:color w:val="4F81BD"/>
    </w:rPr>
  </w:style>
  <w:style w:type="paragraph" w:styleId="Titre4">
    <w:name w:val="heading 4"/>
    <w:basedOn w:val="Normal"/>
    <w:next w:val="Normal"/>
    <w:link w:val="Titre4Car"/>
    <w:uiPriority w:val="99"/>
    <w:qFormat/>
    <w:rsid w:val="00A41974"/>
    <w:pPr>
      <w:keepNext/>
      <w:keepLines/>
      <w:spacing w:before="200" w:after="240"/>
      <w:outlineLvl w:val="3"/>
    </w:pPr>
    <w:rPr>
      <w:rFonts w:ascii="Cambria" w:eastAsia="Times New Roman" w:hAnsi="Cambria"/>
      <w:b/>
      <w:bCs/>
      <w:i/>
      <w:iCs/>
      <w:color w:val="4F81BD"/>
    </w:rPr>
  </w:style>
  <w:style w:type="paragraph" w:styleId="Titre5">
    <w:name w:val="heading 5"/>
    <w:basedOn w:val="Normal"/>
    <w:next w:val="Normal"/>
    <w:link w:val="Titre5Car"/>
    <w:uiPriority w:val="99"/>
    <w:qFormat/>
    <w:rsid w:val="00A77B9F"/>
    <w:pPr>
      <w:keepNext/>
      <w:keepLines/>
      <w:spacing w:before="200" w:after="0" w:line="360" w:lineRule="auto"/>
      <w:jc w:val="left"/>
      <w:outlineLvl w:val="4"/>
    </w:pPr>
    <w:rPr>
      <w:rFonts w:ascii="Cambria" w:eastAsia="Times New Roman" w:hAnsi="Cambria"/>
      <w:color w:val="243F60"/>
      <w:lang w:val="en-GB"/>
    </w:rPr>
  </w:style>
  <w:style w:type="paragraph" w:styleId="Titre6">
    <w:name w:val="heading 6"/>
    <w:basedOn w:val="Normal"/>
    <w:next w:val="Normal"/>
    <w:link w:val="Titre6Car"/>
    <w:uiPriority w:val="99"/>
    <w:qFormat/>
    <w:rsid w:val="00394D71"/>
    <w:pPr>
      <w:keepNext/>
      <w:keepLines/>
      <w:spacing w:before="200" w:after="0" w:line="360" w:lineRule="auto"/>
      <w:outlineLvl w:val="5"/>
    </w:pPr>
    <w:rPr>
      <w:rFonts w:ascii="Cambria" w:eastAsia="Times New Roman" w:hAnsi="Cambria"/>
      <w:i/>
      <w:iCs/>
      <w:color w:val="243F60"/>
      <w:sz w:val="22"/>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4B5297"/>
    <w:rPr>
      <w:rFonts w:ascii="Cambria" w:hAnsi="Cambria" w:cs="Times New Roman"/>
      <w:b/>
      <w:bCs/>
      <w:color w:val="365F91"/>
      <w:sz w:val="28"/>
      <w:szCs w:val="28"/>
    </w:rPr>
  </w:style>
  <w:style w:type="character" w:customStyle="1" w:styleId="Titre2Car">
    <w:name w:val="Titre 2 Car"/>
    <w:basedOn w:val="Policepardfaut"/>
    <w:link w:val="Titre2"/>
    <w:uiPriority w:val="99"/>
    <w:locked/>
    <w:rsid w:val="005806B8"/>
    <w:rPr>
      <w:rFonts w:ascii="Cambria" w:hAnsi="Cambria" w:cs="Times New Roman"/>
      <w:b/>
      <w:bCs/>
      <w:color w:val="4F81BD"/>
      <w:sz w:val="26"/>
      <w:szCs w:val="26"/>
    </w:rPr>
  </w:style>
  <w:style w:type="character" w:customStyle="1" w:styleId="Titre3Car">
    <w:name w:val="Titre 3 Car"/>
    <w:basedOn w:val="Policepardfaut"/>
    <w:link w:val="Titre3"/>
    <w:uiPriority w:val="99"/>
    <w:locked/>
    <w:rsid w:val="00842711"/>
    <w:rPr>
      <w:rFonts w:ascii="Cambria" w:hAnsi="Cambria" w:cs="Times New Roman"/>
      <w:b/>
      <w:bCs/>
      <w:color w:val="4F81BD"/>
      <w:sz w:val="24"/>
    </w:rPr>
  </w:style>
  <w:style w:type="character" w:customStyle="1" w:styleId="Titre4Car">
    <w:name w:val="Titre 4 Car"/>
    <w:basedOn w:val="Policepardfaut"/>
    <w:link w:val="Titre4"/>
    <w:uiPriority w:val="99"/>
    <w:locked/>
    <w:rsid w:val="00A41974"/>
    <w:rPr>
      <w:rFonts w:ascii="Cambria" w:hAnsi="Cambria" w:cs="Times New Roman"/>
      <w:b/>
      <w:bCs/>
      <w:i/>
      <w:iCs/>
      <w:color w:val="4F81BD"/>
      <w:sz w:val="24"/>
    </w:rPr>
  </w:style>
  <w:style w:type="character" w:customStyle="1" w:styleId="Titre5Car">
    <w:name w:val="Titre 5 Car"/>
    <w:basedOn w:val="Policepardfaut"/>
    <w:link w:val="Titre5"/>
    <w:uiPriority w:val="99"/>
    <w:locked/>
    <w:rsid w:val="00A77B9F"/>
    <w:rPr>
      <w:rFonts w:ascii="Cambria" w:hAnsi="Cambria" w:cs="Times New Roman"/>
      <w:color w:val="243F60"/>
      <w:sz w:val="24"/>
      <w:lang w:val="en-GB"/>
    </w:rPr>
  </w:style>
  <w:style w:type="character" w:customStyle="1" w:styleId="Titre6Car">
    <w:name w:val="Titre 6 Car"/>
    <w:basedOn w:val="Policepardfaut"/>
    <w:link w:val="Titre6"/>
    <w:uiPriority w:val="99"/>
    <w:locked/>
    <w:rsid w:val="00394D71"/>
    <w:rPr>
      <w:rFonts w:ascii="Cambria" w:hAnsi="Cambria" w:cs="Times New Roman"/>
      <w:i/>
      <w:iCs/>
      <w:color w:val="243F60"/>
      <w:lang w:val="en-GB"/>
    </w:rPr>
  </w:style>
  <w:style w:type="paragraph" w:styleId="Paragraphedeliste">
    <w:name w:val="List Paragraph"/>
    <w:aliases w:val="Lettre d'introduction,Paragraphe de liste3,Bulleted Lijst,Bullet List Paragraph,List Paragraph1,Numbered paragraph 1,Paragrafo elenco,1st level - Bullet List Paragraph,cS List Paragraph,Questions,Liste couleur - Accent 11,puce"/>
    <w:basedOn w:val="Normal"/>
    <w:link w:val="ParagraphedelisteCar"/>
    <w:uiPriority w:val="99"/>
    <w:qFormat/>
    <w:rsid w:val="002C4532"/>
    <w:pPr>
      <w:ind w:left="720"/>
      <w:contextualSpacing/>
    </w:pPr>
  </w:style>
  <w:style w:type="character" w:customStyle="1" w:styleId="ParagraphedelisteCar">
    <w:name w:val="Paragraphe de liste Car"/>
    <w:aliases w:val="Lettre d'introduction Car,Paragraphe de liste3 Car,Bulleted Lijst Car,Bullet List Paragraph Car,List Paragraph1 Car,Numbered paragraph 1 Car,Paragrafo elenco Car,1st level - Bullet List Paragraph Car,cS List Paragraph Car"/>
    <w:basedOn w:val="Policepardfaut"/>
    <w:link w:val="Paragraphedeliste"/>
    <w:uiPriority w:val="99"/>
    <w:locked/>
    <w:rsid w:val="00842711"/>
    <w:rPr>
      <w:rFonts w:cs="Times New Roman"/>
      <w:sz w:val="24"/>
    </w:rPr>
  </w:style>
  <w:style w:type="paragraph" w:styleId="En-ttedetabledesmatires">
    <w:name w:val="TOC Heading"/>
    <w:basedOn w:val="Titre1"/>
    <w:next w:val="Normal"/>
    <w:uiPriority w:val="99"/>
    <w:qFormat/>
    <w:rsid w:val="00D630C9"/>
    <w:pPr>
      <w:outlineLvl w:val="9"/>
    </w:pPr>
    <w:rPr>
      <w:lang w:val="fr-FR"/>
    </w:rPr>
  </w:style>
  <w:style w:type="paragraph" w:styleId="TM2">
    <w:name w:val="toc 2"/>
    <w:basedOn w:val="Normal"/>
    <w:next w:val="Normal"/>
    <w:autoRedefine/>
    <w:uiPriority w:val="99"/>
    <w:rsid w:val="00E84D4C"/>
    <w:pPr>
      <w:spacing w:after="0"/>
      <w:ind w:left="240"/>
      <w:jc w:val="left"/>
    </w:pPr>
    <w:rPr>
      <w:rFonts w:cs="Calibri"/>
      <w:smallCaps/>
      <w:sz w:val="20"/>
      <w:szCs w:val="20"/>
    </w:rPr>
  </w:style>
  <w:style w:type="paragraph" w:styleId="TM1">
    <w:name w:val="toc 1"/>
    <w:basedOn w:val="Normal"/>
    <w:next w:val="Normal"/>
    <w:autoRedefine/>
    <w:uiPriority w:val="99"/>
    <w:rsid w:val="00686CB0"/>
    <w:pPr>
      <w:spacing w:before="120"/>
      <w:jc w:val="left"/>
    </w:pPr>
    <w:rPr>
      <w:rFonts w:cs="Calibri"/>
      <w:b/>
      <w:bCs/>
      <w:caps/>
      <w:sz w:val="20"/>
      <w:szCs w:val="20"/>
    </w:rPr>
  </w:style>
  <w:style w:type="paragraph" w:styleId="TM3">
    <w:name w:val="toc 3"/>
    <w:basedOn w:val="Normal"/>
    <w:next w:val="Normal"/>
    <w:autoRedefine/>
    <w:uiPriority w:val="99"/>
    <w:rsid w:val="00686CB0"/>
    <w:pPr>
      <w:spacing w:after="0"/>
      <w:ind w:left="480"/>
      <w:jc w:val="left"/>
    </w:pPr>
    <w:rPr>
      <w:rFonts w:cs="Calibri"/>
      <w:i/>
      <w:iCs/>
      <w:sz w:val="20"/>
      <w:szCs w:val="20"/>
    </w:rPr>
  </w:style>
  <w:style w:type="paragraph" w:styleId="Textedebulles">
    <w:name w:val="Balloon Text"/>
    <w:basedOn w:val="Normal"/>
    <w:link w:val="TextedebullesCar"/>
    <w:uiPriority w:val="99"/>
    <w:semiHidden/>
    <w:rsid w:val="00D630C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D630C9"/>
    <w:rPr>
      <w:rFonts w:ascii="Tahoma" w:hAnsi="Tahoma" w:cs="Tahoma"/>
      <w:sz w:val="16"/>
      <w:szCs w:val="16"/>
    </w:rPr>
  </w:style>
  <w:style w:type="character" w:styleId="Lienhypertexte">
    <w:name w:val="Hyperlink"/>
    <w:basedOn w:val="Policepardfaut"/>
    <w:uiPriority w:val="99"/>
    <w:rsid w:val="00D630C9"/>
    <w:rPr>
      <w:rFonts w:cs="Times New Roman"/>
      <w:color w:val="0000FF"/>
      <w:u w:val="single"/>
    </w:rPr>
  </w:style>
  <w:style w:type="paragraph" w:styleId="En-tte">
    <w:name w:val="header"/>
    <w:basedOn w:val="Normal"/>
    <w:link w:val="En-tteCar"/>
    <w:uiPriority w:val="99"/>
    <w:rsid w:val="008D4BC8"/>
    <w:pPr>
      <w:tabs>
        <w:tab w:val="center" w:pos="4536"/>
        <w:tab w:val="right" w:pos="9072"/>
      </w:tabs>
      <w:spacing w:after="0" w:line="240" w:lineRule="auto"/>
    </w:pPr>
  </w:style>
  <w:style w:type="character" w:customStyle="1" w:styleId="En-tteCar">
    <w:name w:val="En-tête Car"/>
    <w:basedOn w:val="Policepardfaut"/>
    <w:link w:val="En-tte"/>
    <w:uiPriority w:val="99"/>
    <w:locked/>
    <w:rsid w:val="008D4BC8"/>
    <w:rPr>
      <w:rFonts w:cs="Times New Roman"/>
    </w:rPr>
  </w:style>
  <w:style w:type="paragraph" w:styleId="Pieddepage">
    <w:name w:val="footer"/>
    <w:basedOn w:val="Normal"/>
    <w:link w:val="PieddepageCar"/>
    <w:uiPriority w:val="99"/>
    <w:rsid w:val="008D4BC8"/>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8D4BC8"/>
    <w:rPr>
      <w:rFonts w:cs="Times New Roman"/>
    </w:rPr>
  </w:style>
  <w:style w:type="paragraph" w:styleId="Notedebasdepage">
    <w:name w:val="footnote text"/>
    <w:aliases w:val="3E Footnote Text,ALTS FOOTNOTE,fn,Footnotes,Footnote ak,-E Fußnotentext,Fußnotentext Ursprung,-E Fußnotentext1,-E Fußnotentext2,-E Fußnotentext3,single space,Geneva 9,Font: Geneva 9,Boston 10,f,ft,Fotnotstext Char,ft Char,FOOTNOTES"/>
    <w:basedOn w:val="Normal"/>
    <w:link w:val="NotedebasdepageCar"/>
    <w:uiPriority w:val="99"/>
    <w:rsid w:val="00DF41A0"/>
    <w:pPr>
      <w:spacing w:after="0" w:line="240" w:lineRule="auto"/>
      <w:ind w:left="720" w:hanging="720"/>
      <w:jc w:val="left"/>
    </w:pPr>
    <w:rPr>
      <w:rFonts w:ascii="Times New Roman" w:hAnsi="Times New Roman"/>
      <w:szCs w:val="20"/>
      <w:lang w:val="en-GB"/>
    </w:rPr>
  </w:style>
  <w:style w:type="character" w:customStyle="1" w:styleId="NotedebasdepageCar">
    <w:name w:val="Note de bas de page Car"/>
    <w:aliases w:val="3E Footnote Text Car,ALTS FOOTNOTE Car,fn Car,Footnotes Car,Footnote ak Car,-E Fußnotentext Car,Fußnotentext Ursprung Car,-E Fußnotentext1 Car,-E Fußnotentext2 Car,-E Fußnotentext3 Car,single space Car,Geneva 9 Car,Boston 10 Car"/>
    <w:basedOn w:val="Policepardfaut"/>
    <w:link w:val="Notedebasdepage"/>
    <w:uiPriority w:val="99"/>
    <w:locked/>
    <w:rsid w:val="00DF41A0"/>
    <w:rPr>
      <w:rFonts w:ascii="Times New Roman" w:eastAsia="Times New Roman" w:hAnsi="Times New Roman" w:cs="Times New Roman"/>
      <w:sz w:val="20"/>
      <w:szCs w:val="20"/>
      <w:lang w:val="en-GB"/>
    </w:rPr>
  </w:style>
  <w:style w:type="character" w:styleId="Appelnotedebasdep">
    <w:name w:val="footnote reference"/>
    <w:aliases w:val="Titre 1 Car1,Footnote Reference_LVL6,number,Footnote text,Footnote reference number,Footnote symbol,note TESI,-E Fußnotenzeichen,SUPERS,stylish,ftref,BVI fnr,4_G,E FNZ,Footnote#,16 Point,Superscript 6 Point,Ref,de nota al pie"/>
    <w:basedOn w:val="Policepardfaut"/>
    <w:uiPriority w:val="99"/>
    <w:rsid w:val="00DF41A0"/>
    <w:rPr>
      <w:rFonts w:cs="Times New Roman"/>
      <w:b/>
      <w:shd w:val="clear" w:color="auto" w:fill="auto"/>
      <w:vertAlign w:val="superscript"/>
    </w:rPr>
  </w:style>
  <w:style w:type="paragraph" w:styleId="Lgende">
    <w:name w:val="caption"/>
    <w:aliases w:val="3E Caption,Auré Légende,I7_Légende"/>
    <w:basedOn w:val="Normal"/>
    <w:next w:val="Normal"/>
    <w:link w:val="LgendeCar"/>
    <w:uiPriority w:val="99"/>
    <w:qFormat/>
    <w:rsid w:val="00DF41A0"/>
    <w:pPr>
      <w:spacing w:after="200" w:line="240" w:lineRule="auto"/>
      <w:jc w:val="left"/>
    </w:pPr>
    <w:rPr>
      <w:i/>
      <w:iCs/>
      <w:color w:val="1F497D"/>
      <w:sz w:val="18"/>
      <w:szCs w:val="18"/>
      <w:lang w:val="fr-FR" w:eastAsia="fr-FR"/>
    </w:rPr>
  </w:style>
  <w:style w:type="character" w:customStyle="1" w:styleId="LgendeCar">
    <w:name w:val="Légende Car"/>
    <w:aliases w:val="3E Caption Car,Auré Légende Car,I7_Légende Car"/>
    <w:link w:val="Lgende"/>
    <w:uiPriority w:val="99"/>
    <w:locked/>
    <w:rsid w:val="00DF41A0"/>
    <w:rPr>
      <w:i/>
      <w:color w:val="1F497D"/>
      <w:sz w:val="18"/>
    </w:rPr>
  </w:style>
  <w:style w:type="table" w:styleId="Grillemoyenne3-Accent5">
    <w:name w:val="Medium Grid 3 Accent 5"/>
    <w:basedOn w:val="TableauNormal"/>
    <w:uiPriority w:val="99"/>
    <w:rsid w:val="000C2A14"/>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Grilledutableau">
    <w:name w:val="Table Grid"/>
    <w:basedOn w:val="TableauNormal"/>
    <w:uiPriority w:val="99"/>
    <w:rsid w:val="00B43FB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99"/>
    <w:qFormat/>
    <w:rsid w:val="00AD67A2"/>
    <w:rPr>
      <w:rFonts w:cs="Times New Roman"/>
      <w:b/>
      <w:bCs/>
    </w:rPr>
  </w:style>
  <w:style w:type="character" w:styleId="Marquedecommentaire">
    <w:name w:val="annotation reference"/>
    <w:basedOn w:val="Policepardfaut"/>
    <w:uiPriority w:val="99"/>
    <w:rsid w:val="002B5AF1"/>
    <w:rPr>
      <w:rFonts w:cs="Times New Roman"/>
      <w:sz w:val="16"/>
      <w:szCs w:val="16"/>
    </w:rPr>
  </w:style>
  <w:style w:type="paragraph" w:styleId="Commentaire">
    <w:name w:val="annotation text"/>
    <w:basedOn w:val="Normal"/>
    <w:link w:val="CommentaireCar"/>
    <w:uiPriority w:val="99"/>
    <w:rsid w:val="002B5AF1"/>
    <w:pPr>
      <w:spacing w:after="200" w:line="360" w:lineRule="auto"/>
      <w:jc w:val="left"/>
    </w:pPr>
    <w:rPr>
      <w:sz w:val="20"/>
      <w:szCs w:val="20"/>
      <w:lang w:val="en-GB"/>
    </w:rPr>
  </w:style>
  <w:style w:type="character" w:customStyle="1" w:styleId="CommentaireCar">
    <w:name w:val="Commentaire Car"/>
    <w:basedOn w:val="Policepardfaut"/>
    <w:link w:val="Commentaire"/>
    <w:uiPriority w:val="99"/>
    <w:locked/>
    <w:rsid w:val="002B5AF1"/>
    <w:rPr>
      <w:rFonts w:eastAsia="Times New Roman" w:cs="Times New Roman"/>
      <w:sz w:val="20"/>
      <w:szCs w:val="20"/>
      <w:lang w:val="en-GB"/>
    </w:rPr>
  </w:style>
  <w:style w:type="paragraph" w:customStyle="1" w:styleId="Default">
    <w:name w:val="Default"/>
    <w:uiPriority w:val="99"/>
    <w:rsid w:val="002B5AF1"/>
    <w:pPr>
      <w:autoSpaceDE w:val="0"/>
      <w:autoSpaceDN w:val="0"/>
      <w:adjustRightInd w:val="0"/>
    </w:pPr>
    <w:rPr>
      <w:rFonts w:cs="Calibri"/>
      <w:color w:val="000000"/>
      <w:sz w:val="24"/>
      <w:szCs w:val="24"/>
      <w:lang w:val="fr-BE" w:eastAsia="en-US"/>
    </w:rPr>
  </w:style>
  <w:style w:type="paragraph" w:styleId="Sansinterligne">
    <w:name w:val="No Spacing"/>
    <w:aliases w:val="Auré pied page"/>
    <w:basedOn w:val="Normal"/>
    <w:link w:val="SansinterligneCar"/>
    <w:uiPriority w:val="99"/>
    <w:qFormat/>
    <w:rsid w:val="00123B9C"/>
    <w:pPr>
      <w:spacing w:after="0" w:line="240" w:lineRule="auto"/>
    </w:pPr>
    <w:rPr>
      <w:rFonts w:ascii="Trebuchet MS" w:hAnsi="Trebuchet MS"/>
      <w:sz w:val="22"/>
    </w:rPr>
  </w:style>
  <w:style w:type="character" w:customStyle="1" w:styleId="SansinterligneCar">
    <w:name w:val="Sans interligne Car"/>
    <w:aliases w:val="Auré pied page Car"/>
    <w:basedOn w:val="Policepardfaut"/>
    <w:link w:val="Sansinterligne"/>
    <w:uiPriority w:val="99"/>
    <w:locked/>
    <w:rsid w:val="00123B9C"/>
    <w:rPr>
      <w:rFonts w:ascii="Trebuchet MS" w:hAnsi="Trebuchet MS" w:cs="Times New Roman"/>
    </w:rPr>
  </w:style>
  <w:style w:type="paragraph" w:styleId="Objetducommentaire">
    <w:name w:val="annotation subject"/>
    <w:basedOn w:val="Commentaire"/>
    <w:next w:val="Commentaire"/>
    <w:link w:val="ObjetducommentaireCar"/>
    <w:uiPriority w:val="99"/>
    <w:semiHidden/>
    <w:rsid w:val="00795ABC"/>
    <w:pPr>
      <w:spacing w:after="120" w:line="240" w:lineRule="auto"/>
      <w:jc w:val="both"/>
    </w:pPr>
    <w:rPr>
      <w:b/>
      <w:bCs/>
      <w:lang w:val="fr-BE"/>
    </w:rPr>
  </w:style>
  <w:style w:type="character" w:customStyle="1" w:styleId="ObjetducommentaireCar">
    <w:name w:val="Objet du commentaire Car"/>
    <w:basedOn w:val="CommentaireCar"/>
    <w:link w:val="Objetducommentaire"/>
    <w:uiPriority w:val="99"/>
    <w:semiHidden/>
    <w:locked/>
    <w:rsid w:val="00795ABC"/>
    <w:rPr>
      <w:b/>
      <w:bCs/>
    </w:rPr>
  </w:style>
  <w:style w:type="paragraph" w:customStyle="1" w:styleId="Corps">
    <w:name w:val="Corps"/>
    <w:uiPriority w:val="99"/>
    <w:rsid w:val="00EE0630"/>
    <w:pPr>
      <w:pBdr>
        <w:top w:val="none" w:sz="96" w:space="31" w:color="FFFFFF" w:frame="1"/>
        <w:left w:val="none" w:sz="96" w:space="31" w:color="FFFFFF" w:frame="1"/>
        <w:bottom w:val="none" w:sz="96" w:space="31" w:color="FFFFFF" w:frame="1"/>
        <w:right w:val="none" w:sz="96" w:space="31" w:color="FFFFFF" w:frame="1"/>
        <w:bar w:val="none" w:sz="0" w:color="000000"/>
      </w:pBdr>
      <w:spacing w:before="200" w:after="200" w:line="276" w:lineRule="auto"/>
    </w:pPr>
    <w:rPr>
      <w:rFonts w:cs="Calibri"/>
      <w:color w:val="000000"/>
      <w:sz w:val="20"/>
      <w:szCs w:val="20"/>
      <w:u w:color="000000"/>
      <w:lang w:eastAsia="fr-BE"/>
    </w:rPr>
  </w:style>
  <w:style w:type="paragraph" w:customStyle="1" w:styleId="JUSTIFIE">
    <w:name w:val="JUSTIFIE"/>
    <w:basedOn w:val="Normal"/>
    <w:link w:val="JUSTIFIEChar"/>
    <w:uiPriority w:val="99"/>
    <w:rsid w:val="00EE0630"/>
    <w:pPr>
      <w:spacing w:after="360" w:line="240" w:lineRule="auto"/>
    </w:pPr>
    <w:rPr>
      <w:rFonts w:ascii="Arial" w:eastAsia="Times New Roman" w:hAnsi="Arial"/>
      <w:sz w:val="20"/>
      <w:szCs w:val="20"/>
      <w:lang w:val="fr-FR" w:eastAsia="fr-FR"/>
    </w:rPr>
  </w:style>
  <w:style w:type="character" w:customStyle="1" w:styleId="JUSTIFIEChar">
    <w:name w:val="JUSTIFIE Char"/>
    <w:link w:val="JUSTIFIE"/>
    <w:uiPriority w:val="99"/>
    <w:locked/>
    <w:rsid w:val="00EE0630"/>
    <w:rPr>
      <w:rFonts w:ascii="Arial" w:hAnsi="Arial"/>
      <w:sz w:val="20"/>
      <w:lang w:val="fr-FR" w:eastAsia="fr-FR"/>
    </w:rPr>
  </w:style>
  <w:style w:type="paragraph" w:customStyle="1" w:styleId="FIGURE">
    <w:name w:val="FIGURE"/>
    <w:basedOn w:val="Normal"/>
    <w:next w:val="JUSTIFIE"/>
    <w:uiPriority w:val="99"/>
    <w:rsid w:val="00EE0630"/>
    <w:pPr>
      <w:spacing w:before="360" w:after="0" w:line="240" w:lineRule="auto"/>
      <w:jc w:val="center"/>
    </w:pPr>
    <w:rPr>
      <w:rFonts w:ascii="Arial" w:eastAsia="Times New Roman" w:hAnsi="Arial"/>
      <w:sz w:val="16"/>
      <w:szCs w:val="20"/>
      <w:lang w:val="fr-FR" w:eastAsia="fr-FR"/>
    </w:rPr>
  </w:style>
  <w:style w:type="character" w:styleId="Accentuation">
    <w:name w:val="Emphasis"/>
    <w:basedOn w:val="Policepardfaut"/>
    <w:uiPriority w:val="99"/>
    <w:qFormat/>
    <w:rsid w:val="00B540A9"/>
    <w:rPr>
      <w:rFonts w:cs="Times New Roman"/>
      <w:i/>
      <w:iCs/>
    </w:rPr>
  </w:style>
  <w:style w:type="character" w:styleId="Emphaseple">
    <w:name w:val="Subtle Emphasis"/>
    <w:basedOn w:val="Policepardfaut"/>
    <w:uiPriority w:val="99"/>
    <w:qFormat/>
    <w:rsid w:val="00B540A9"/>
    <w:rPr>
      <w:i/>
      <w:color w:val="1F497D"/>
      <w:lang w:val="fr-BE"/>
    </w:rPr>
  </w:style>
  <w:style w:type="character" w:styleId="Emphaseintense">
    <w:name w:val="Intense Emphasis"/>
    <w:basedOn w:val="Policepardfaut"/>
    <w:uiPriority w:val="99"/>
    <w:qFormat/>
    <w:rsid w:val="00B540A9"/>
    <w:rPr>
      <w:rFonts w:cs="Times New Roman"/>
      <w:b/>
      <w:bCs/>
      <w:i/>
      <w:iCs/>
      <w:color w:val="4F81BD"/>
    </w:rPr>
  </w:style>
  <w:style w:type="paragraph" w:styleId="Sous-titre">
    <w:name w:val="Subtitle"/>
    <w:aliases w:val="propositions"/>
    <w:basedOn w:val="Normal"/>
    <w:next w:val="Normal"/>
    <w:link w:val="Sous-titreCar"/>
    <w:uiPriority w:val="99"/>
    <w:qFormat/>
    <w:rsid w:val="00CE1A98"/>
    <w:pPr>
      <w:numPr>
        <w:numId w:val="34"/>
      </w:numPr>
      <w:spacing w:before="120" w:line="240" w:lineRule="auto"/>
    </w:pPr>
    <w:rPr>
      <w:i/>
      <w:spacing w:val="10"/>
      <w:sz w:val="22"/>
      <w:szCs w:val="24"/>
    </w:rPr>
  </w:style>
  <w:style w:type="character" w:customStyle="1" w:styleId="Sous-titreCar">
    <w:name w:val="Sous-titre Car"/>
    <w:aliases w:val="propositions Car"/>
    <w:basedOn w:val="Policepardfaut"/>
    <w:link w:val="Sous-titre"/>
    <w:uiPriority w:val="99"/>
    <w:locked/>
    <w:rsid w:val="00CE1A98"/>
    <w:rPr>
      <w:rFonts w:cs="Times New Roman"/>
      <w:i/>
      <w:spacing w:val="10"/>
      <w:sz w:val="24"/>
      <w:szCs w:val="24"/>
    </w:rPr>
  </w:style>
  <w:style w:type="table" w:customStyle="1" w:styleId="Trameclaire-Accent12">
    <w:name w:val="Trame claire - Accent 12"/>
    <w:uiPriority w:val="99"/>
    <w:rsid w:val="000304E4"/>
    <w:rPr>
      <w:color w:val="365F91"/>
      <w:sz w:val="20"/>
      <w:szCs w:val="20"/>
      <w:lang w:val="fr-BE" w:eastAsia="fr-BE"/>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Corpsdetexte">
    <w:name w:val="Body Text"/>
    <w:basedOn w:val="Normal"/>
    <w:link w:val="CorpsdetexteCar"/>
    <w:uiPriority w:val="99"/>
    <w:rsid w:val="000304E4"/>
    <w:pPr>
      <w:spacing w:before="120" w:line="280" w:lineRule="exact"/>
    </w:pPr>
    <w:rPr>
      <w:rFonts w:ascii="Cambria" w:eastAsia="MS Mincho" w:hAnsi="Cambria"/>
      <w:sz w:val="20"/>
      <w:szCs w:val="20"/>
      <w:lang w:val="en-US" w:eastAsia="ja-JP"/>
    </w:rPr>
  </w:style>
  <w:style w:type="character" w:customStyle="1" w:styleId="CorpsdetexteCar">
    <w:name w:val="Corps de texte Car"/>
    <w:basedOn w:val="Policepardfaut"/>
    <w:link w:val="Corpsdetexte"/>
    <w:uiPriority w:val="99"/>
    <w:locked/>
    <w:rsid w:val="000304E4"/>
    <w:rPr>
      <w:rFonts w:ascii="Cambria" w:eastAsia="MS Mincho" w:hAnsi="Cambria" w:cs="Times New Roman"/>
      <w:sz w:val="20"/>
      <w:szCs w:val="20"/>
      <w:lang w:val="en-US" w:eastAsia="ja-JP"/>
    </w:rPr>
  </w:style>
  <w:style w:type="paragraph" w:styleId="TM4">
    <w:name w:val="toc 4"/>
    <w:basedOn w:val="Normal"/>
    <w:next w:val="Normal"/>
    <w:autoRedefine/>
    <w:uiPriority w:val="99"/>
    <w:rsid w:val="00E07C79"/>
    <w:pPr>
      <w:spacing w:after="0"/>
      <w:ind w:left="720"/>
      <w:jc w:val="left"/>
    </w:pPr>
    <w:rPr>
      <w:rFonts w:cs="Calibri"/>
      <w:sz w:val="18"/>
      <w:szCs w:val="18"/>
    </w:rPr>
  </w:style>
  <w:style w:type="paragraph" w:styleId="TM5">
    <w:name w:val="toc 5"/>
    <w:basedOn w:val="Normal"/>
    <w:next w:val="Normal"/>
    <w:autoRedefine/>
    <w:uiPriority w:val="99"/>
    <w:rsid w:val="00E07C79"/>
    <w:pPr>
      <w:spacing w:after="0"/>
      <w:ind w:left="960"/>
      <w:jc w:val="left"/>
    </w:pPr>
    <w:rPr>
      <w:rFonts w:cs="Calibri"/>
      <w:sz w:val="18"/>
      <w:szCs w:val="18"/>
    </w:rPr>
  </w:style>
  <w:style w:type="paragraph" w:styleId="TM6">
    <w:name w:val="toc 6"/>
    <w:basedOn w:val="Normal"/>
    <w:next w:val="Normal"/>
    <w:autoRedefine/>
    <w:uiPriority w:val="99"/>
    <w:rsid w:val="00E07C79"/>
    <w:pPr>
      <w:spacing w:after="0"/>
      <w:ind w:left="1200"/>
      <w:jc w:val="left"/>
    </w:pPr>
    <w:rPr>
      <w:rFonts w:cs="Calibri"/>
      <w:sz w:val="18"/>
      <w:szCs w:val="18"/>
    </w:rPr>
  </w:style>
  <w:style w:type="paragraph" w:styleId="TM7">
    <w:name w:val="toc 7"/>
    <w:basedOn w:val="Normal"/>
    <w:next w:val="Normal"/>
    <w:autoRedefine/>
    <w:uiPriority w:val="99"/>
    <w:rsid w:val="00E07C79"/>
    <w:pPr>
      <w:spacing w:after="0"/>
      <w:ind w:left="1440"/>
      <w:jc w:val="left"/>
    </w:pPr>
    <w:rPr>
      <w:rFonts w:cs="Calibri"/>
      <w:sz w:val="18"/>
      <w:szCs w:val="18"/>
    </w:rPr>
  </w:style>
  <w:style w:type="paragraph" w:styleId="TM8">
    <w:name w:val="toc 8"/>
    <w:basedOn w:val="Normal"/>
    <w:next w:val="Normal"/>
    <w:autoRedefine/>
    <w:uiPriority w:val="99"/>
    <w:rsid w:val="00E07C79"/>
    <w:pPr>
      <w:spacing w:after="0"/>
      <w:ind w:left="1680"/>
      <w:jc w:val="left"/>
    </w:pPr>
    <w:rPr>
      <w:rFonts w:cs="Calibri"/>
      <w:sz w:val="18"/>
      <w:szCs w:val="18"/>
    </w:rPr>
  </w:style>
  <w:style w:type="paragraph" w:styleId="TM9">
    <w:name w:val="toc 9"/>
    <w:basedOn w:val="Normal"/>
    <w:next w:val="Normal"/>
    <w:autoRedefine/>
    <w:uiPriority w:val="99"/>
    <w:rsid w:val="00E07C79"/>
    <w:pPr>
      <w:spacing w:after="0"/>
      <w:ind w:left="1920"/>
      <w:jc w:val="left"/>
    </w:pPr>
    <w:rPr>
      <w:rFonts w:cs="Calibri"/>
      <w:sz w:val="18"/>
      <w:szCs w:val="18"/>
    </w:rPr>
  </w:style>
  <w:style w:type="paragraph" w:styleId="Rvision">
    <w:name w:val="Revision"/>
    <w:hidden/>
    <w:uiPriority w:val="99"/>
    <w:semiHidden/>
    <w:rsid w:val="003C0529"/>
    <w:rPr>
      <w:sz w:val="24"/>
      <w:lang w:val="fr-BE" w:eastAsia="en-US"/>
    </w:rPr>
  </w:style>
  <w:style w:type="table" w:customStyle="1" w:styleId="Trameclaire-Accent11">
    <w:name w:val="Trame claire - Accent 11"/>
    <w:uiPriority w:val="99"/>
    <w:rsid w:val="00101342"/>
    <w:rPr>
      <w:rFonts w:eastAsia="Times New Roman"/>
      <w:color w:val="365F91"/>
      <w:sz w:val="20"/>
      <w:szCs w:val="20"/>
      <w:lang w:val="fr-BE" w:eastAsia="fr-BE"/>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TEXTEI7">
    <w:name w:val="TEXTE_I7"/>
    <w:basedOn w:val="Normal"/>
    <w:uiPriority w:val="99"/>
    <w:rsid w:val="00101342"/>
    <w:pPr>
      <w:spacing w:after="80" w:line="240" w:lineRule="auto"/>
    </w:pPr>
    <w:rPr>
      <w:rFonts w:ascii="Calibri Light" w:hAnsi="Calibri Light"/>
      <w:color w:val="191919"/>
      <w:sz w:val="22"/>
    </w:rPr>
  </w:style>
  <w:style w:type="paragraph" w:customStyle="1" w:styleId="TITRE1I7">
    <w:name w:val="TITRE 1_I7"/>
    <w:basedOn w:val="Normal"/>
    <w:next w:val="TEXTEI7"/>
    <w:uiPriority w:val="99"/>
    <w:rsid w:val="00101342"/>
    <w:pPr>
      <w:numPr>
        <w:numId w:val="55"/>
      </w:numPr>
      <w:pBdr>
        <w:top w:val="single" w:sz="4" w:space="1" w:color="01ADA4"/>
        <w:left w:val="single" w:sz="4" w:space="4" w:color="01ADA4"/>
        <w:bottom w:val="single" w:sz="4" w:space="1" w:color="01ADA4"/>
        <w:right w:val="single" w:sz="4" w:space="4" w:color="01ADA4"/>
      </w:pBdr>
      <w:spacing w:after="320" w:line="240" w:lineRule="auto"/>
      <w:outlineLvl w:val="1"/>
    </w:pPr>
    <w:rPr>
      <w:rFonts w:cs="Calibri"/>
      <w:b/>
      <w:color w:val="01ADA4"/>
      <w:sz w:val="32"/>
      <w:szCs w:val="32"/>
    </w:rPr>
  </w:style>
  <w:style w:type="paragraph" w:customStyle="1" w:styleId="TITRE2I7">
    <w:name w:val="TITRE 2_I7"/>
    <w:basedOn w:val="Normal"/>
    <w:next w:val="TEXTEI7"/>
    <w:uiPriority w:val="99"/>
    <w:rsid w:val="00101342"/>
    <w:pPr>
      <w:numPr>
        <w:ilvl w:val="1"/>
        <w:numId w:val="55"/>
      </w:numPr>
      <w:spacing w:after="240" w:line="240" w:lineRule="auto"/>
      <w:outlineLvl w:val="2"/>
    </w:pPr>
    <w:rPr>
      <w:rFonts w:ascii="Calibri Light" w:hAnsi="Calibri Light"/>
      <w:b/>
      <w:color w:val="191919"/>
      <w:sz w:val="26"/>
      <w:szCs w:val="26"/>
    </w:rPr>
  </w:style>
  <w:style w:type="paragraph" w:customStyle="1" w:styleId="TITRE3I7">
    <w:name w:val="TITRE 3_I7"/>
    <w:basedOn w:val="Normal"/>
    <w:next w:val="TEXTEI7"/>
    <w:uiPriority w:val="99"/>
    <w:rsid w:val="00101342"/>
    <w:pPr>
      <w:numPr>
        <w:ilvl w:val="2"/>
        <w:numId w:val="55"/>
      </w:numPr>
      <w:spacing w:after="240" w:line="240" w:lineRule="auto"/>
      <w:outlineLvl w:val="3"/>
    </w:pPr>
    <w:rPr>
      <w:rFonts w:cs="Calibri"/>
      <w:color w:val="191919"/>
      <w:sz w:val="22"/>
    </w:rPr>
  </w:style>
  <w:style w:type="paragraph" w:customStyle="1" w:styleId="TITRE4I7">
    <w:name w:val="TITRE 4_I7"/>
    <w:basedOn w:val="Normal"/>
    <w:next w:val="TEXTEI7"/>
    <w:uiPriority w:val="99"/>
    <w:rsid w:val="00101342"/>
    <w:pPr>
      <w:numPr>
        <w:ilvl w:val="3"/>
        <w:numId w:val="55"/>
      </w:numPr>
      <w:spacing w:after="160" w:line="240" w:lineRule="auto"/>
      <w:outlineLvl w:val="4"/>
    </w:pPr>
    <w:rPr>
      <w:rFonts w:ascii="Cambria" w:hAnsi="Cambria" w:cs="Cambria"/>
      <w:b/>
      <w:color w:val="01ADA4"/>
      <w:sz w:val="22"/>
    </w:rPr>
  </w:style>
  <w:style w:type="paragraph" w:customStyle="1" w:styleId="TITRE5I7">
    <w:name w:val="TITRE 5_I7"/>
    <w:basedOn w:val="TITRE4I7"/>
    <w:next w:val="TEXTEI7"/>
    <w:uiPriority w:val="99"/>
    <w:rsid w:val="00101342"/>
    <w:pPr>
      <w:numPr>
        <w:ilvl w:val="4"/>
      </w:numPr>
      <w:pBdr>
        <w:bottom w:val="single" w:sz="4" w:space="3" w:color="262626"/>
      </w:pBdr>
    </w:pPr>
    <w:rPr>
      <w:b w:val="0"/>
      <w:color w:val="191919"/>
    </w:rPr>
  </w:style>
  <w:style w:type="table" w:customStyle="1" w:styleId="Tableausimple31">
    <w:name w:val="Tableau simple 31"/>
    <w:uiPriority w:val="99"/>
    <w:rsid w:val="00101342"/>
    <w:rPr>
      <w:sz w:val="20"/>
      <w:szCs w:val="20"/>
      <w:lang w:val="fr-BE" w:eastAsia="fr-BE"/>
    </w:rPr>
    <w:tblPr>
      <w:tblStyleRowBandSize w:val="1"/>
      <w:tblStyleColBandSize w:val="1"/>
      <w:tblInd w:w="0" w:type="dxa"/>
      <w:tblCellMar>
        <w:top w:w="0" w:type="dxa"/>
        <w:left w:w="108" w:type="dxa"/>
        <w:bottom w:w="0" w:type="dxa"/>
        <w:right w:w="108" w:type="dxa"/>
      </w:tblCellMar>
    </w:tblPr>
    <w:tblStylePr w:type="firstRow">
      <w:rPr>
        <w:rFonts w:cs="Times New Roman"/>
        <w:b/>
        <w:bCs/>
        <w:caps/>
      </w:rPr>
      <w:tblPr/>
      <w:tcPr>
        <w:tcBorders>
          <w:bottom w:val="single" w:sz="4" w:space="0" w:color="7F7F7F"/>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character" w:customStyle="1" w:styleId="Mentionnonrsolue1">
    <w:name w:val="Mention non résolue1"/>
    <w:basedOn w:val="Policepardfaut"/>
    <w:uiPriority w:val="99"/>
    <w:semiHidden/>
    <w:rsid w:val="00AE1BB4"/>
    <w:rPr>
      <w:rFonts w:cs="Times New Roman"/>
      <w:color w:val="605E5C"/>
      <w:shd w:val="clear" w:color="auto" w:fill="E1DFDD"/>
    </w:rPr>
  </w:style>
  <w:style w:type="character" w:customStyle="1" w:styleId="Onopgelostemelding1">
    <w:name w:val="Onopgeloste melding1"/>
    <w:basedOn w:val="Policepardfaut"/>
    <w:uiPriority w:val="99"/>
    <w:semiHidden/>
    <w:rsid w:val="00E84D4C"/>
    <w:rPr>
      <w:rFonts w:cs="Times New Roman"/>
      <w:color w:val="605E5C"/>
      <w:shd w:val="clear" w:color="auto" w:fill="E1DFDD"/>
    </w:rPr>
  </w:style>
  <w:style w:type="character" w:customStyle="1" w:styleId="findandreplacesimplecurrentword">
    <w:name w:val="findandreplacesimplecurrentword"/>
    <w:basedOn w:val="Policepardfaut"/>
    <w:uiPriority w:val="99"/>
    <w:rsid w:val="00CB1FE8"/>
    <w:rPr>
      <w:rFonts w:cs="Times New Roman"/>
    </w:rPr>
  </w:style>
</w:styles>
</file>

<file path=word/webSettings.xml><?xml version="1.0" encoding="utf-8"?>
<w:webSettings xmlns:r="http://schemas.openxmlformats.org/officeDocument/2006/relationships" xmlns:w="http://schemas.openxmlformats.org/wordprocessingml/2006/main">
  <w:divs>
    <w:div w:id="1628774374">
      <w:marLeft w:val="0"/>
      <w:marRight w:val="0"/>
      <w:marTop w:val="0"/>
      <w:marBottom w:val="0"/>
      <w:divBdr>
        <w:top w:val="none" w:sz="0" w:space="0" w:color="auto"/>
        <w:left w:val="none" w:sz="0" w:space="0" w:color="auto"/>
        <w:bottom w:val="none" w:sz="0" w:space="0" w:color="auto"/>
        <w:right w:val="none" w:sz="0" w:space="0" w:color="auto"/>
      </w:divBdr>
    </w:div>
    <w:div w:id="1628774379">
      <w:marLeft w:val="0"/>
      <w:marRight w:val="0"/>
      <w:marTop w:val="0"/>
      <w:marBottom w:val="0"/>
      <w:divBdr>
        <w:top w:val="none" w:sz="0" w:space="0" w:color="auto"/>
        <w:left w:val="none" w:sz="0" w:space="0" w:color="auto"/>
        <w:bottom w:val="none" w:sz="0" w:space="0" w:color="auto"/>
        <w:right w:val="none" w:sz="0" w:space="0" w:color="auto"/>
      </w:divBdr>
      <w:divsChild>
        <w:div w:id="1628774383">
          <w:marLeft w:val="1267"/>
          <w:marRight w:val="0"/>
          <w:marTop w:val="0"/>
          <w:marBottom w:val="0"/>
          <w:divBdr>
            <w:top w:val="none" w:sz="0" w:space="0" w:color="auto"/>
            <w:left w:val="none" w:sz="0" w:space="0" w:color="auto"/>
            <w:bottom w:val="none" w:sz="0" w:space="0" w:color="auto"/>
            <w:right w:val="none" w:sz="0" w:space="0" w:color="auto"/>
          </w:divBdr>
        </w:div>
        <w:div w:id="1628774392">
          <w:marLeft w:val="1267"/>
          <w:marRight w:val="0"/>
          <w:marTop w:val="0"/>
          <w:marBottom w:val="0"/>
          <w:divBdr>
            <w:top w:val="none" w:sz="0" w:space="0" w:color="auto"/>
            <w:left w:val="none" w:sz="0" w:space="0" w:color="auto"/>
            <w:bottom w:val="none" w:sz="0" w:space="0" w:color="auto"/>
            <w:right w:val="none" w:sz="0" w:space="0" w:color="auto"/>
          </w:divBdr>
        </w:div>
        <w:div w:id="1628774409">
          <w:marLeft w:val="1267"/>
          <w:marRight w:val="0"/>
          <w:marTop w:val="0"/>
          <w:marBottom w:val="0"/>
          <w:divBdr>
            <w:top w:val="none" w:sz="0" w:space="0" w:color="auto"/>
            <w:left w:val="none" w:sz="0" w:space="0" w:color="auto"/>
            <w:bottom w:val="none" w:sz="0" w:space="0" w:color="auto"/>
            <w:right w:val="none" w:sz="0" w:space="0" w:color="auto"/>
          </w:divBdr>
        </w:div>
        <w:div w:id="1628774410">
          <w:marLeft w:val="1267"/>
          <w:marRight w:val="0"/>
          <w:marTop w:val="0"/>
          <w:marBottom w:val="0"/>
          <w:divBdr>
            <w:top w:val="none" w:sz="0" w:space="0" w:color="auto"/>
            <w:left w:val="none" w:sz="0" w:space="0" w:color="auto"/>
            <w:bottom w:val="none" w:sz="0" w:space="0" w:color="auto"/>
            <w:right w:val="none" w:sz="0" w:space="0" w:color="auto"/>
          </w:divBdr>
        </w:div>
        <w:div w:id="1628774421">
          <w:marLeft w:val="1267"/>
          <w:marRight w:val="0"/>
          <w:marTop w:val="0"/>
          <w:marBottom w:val="0"/>
          <w:divBdr>
            <w:top w:val="none" w:sz="0" w:space="0" w:color="auto"/>
            <w:left w:val="none" w:sz="0" w:space="0" w:color="auto"/>
            <w:bottom w:val="none" w:sz="0" w:space="0" w:color="auto"/>
            <w:right w:val="none" w:sz="0" w:space="0" w:color="auto"/>
          </w:divBdr>
        </w:div>
        <w:div w:id="1628774424">
          <w:marLeft w:val="1267"/>
          <w:marRight w:val="0"/>
          <w:marTop w:val="0"/>
          <w:marBottom w:val="0"/>
          <w:divBdr>
            <w:top w:val="none" w:sz="0" w:space="0" w:color="auto"/>
            <w:left w:val="none" w:sz="0" w:space="0" w:color="auto"/>
            <w:bottom w:val="none" w:sz="0" w:space="0" w:color="auto"/>
            <w:right w:val="none" w:sz="0" w:space="0" w:color="auto"/>
          </w:divBdr>
        </w:div>
        <w:div w:id="1628774429">
          <w:marLeft w:val="1267"/>
          <w:marRight w:val="0"/>
          <w:marTop w:val="0"/>
          <w:marBottom w:val="0"/>
          <w:divBdr>
            <w:top w:val="none" w:sz="0" w:space="0" w:color="auto"/>
            <w:left w:val="none" w:sz="0" w:space="0" w:color="auto"/>
            <w:bottom w:val="none" w:sz="0" w:space="0" w:color="auto"/>
            <w:right w:val="none" w:sz="0" w:space="0" w:color="auto"/>
          </w:divBdr>
        </w:div>
      </w:divsChild>
    </w:div>
    <w:div w:id="1628774385">
      <w:marLeft w:val="0"/>
      <w:marRight w:val="0"/>
      <w:marTop w:val="0"/>
      <w:marBottom w:val="0"/>
      <w:divBdr>
        <w:top w:val="none" w:sz="0" w:space="0" w:color="auto"/>
        <w:left w:val="none" w:sz="0" w:space="0" w:color="auto"/>
        <w:bottom w:val="none" w:sz="0" w:space="0" w:color="auto"/>
        <w:right w:val="none" w:sz="0" w:space="0" w:color="auto"/>
      </w:divBdr>
    </w:div>
    <w:div w:id="1628774387">
      <w:marLeft w:val="0"/>
      <w:marRight w:val="0"/>
      <w:marTop w:val="0"/>
      <w:marBottom w:val="0"/>
      <w:divBdr>
        <w:top w:val="none" w:sz="0" w:space="0" w:color="auto"/>
        <w:left w:val="none" w:sz="0" w:space="0" w:color="auto"/>
        <w:bottom w:val="none" w:sz="0" w:space="0" w:color="auto"/>
        <w:right w:val="none" w:sz="0" w:space="0" w:color="auto"/>
      </w:divBdr>
    </w:div>
    <w:div w:id="1628774393">
      <w:marLeft w:val="0"/>
      <w:marRight w:val="0"/>
      <w:marTop w:val="0"/>
      <w:marBottom w:val="0"/>
      <w:divBdr>
        <w:top w:val="none" w:sz="0" w:space="0" w:color="auto"/>
        <w:left w:val="none" w:sz="0" w:space="0" w:color="auto"/>
        <w:bottom w:val="none" w:sz="0" w:space="0" w:color="auto"/>
        <w:right w:val="none" w:sz="0" w:space="0" w:color="auto"/>
      </w:divBdr>
    </w:div>
    <w:div w:id="1628774397">
      <w:marLeft w:val="0"/>
      <w:marRight w:val="0"/>
      <w:marTop w:val="0"/>
      <w:marBottom w:val="0"/>
      <w:divBdr>
        <w:top w:val="none" w:sz="0" w:space="0" w:color="auto"/>
        <w:left w:val="none" w:sz="0" w:space="0" w:color="auto"/>
        <w:bottom w:val="none" w:sz="0" w:space="0" w:color="auto"/>
        <w:right w:val="none" w:sz="0" w:space="0" w:color="auto"/>
      </w:divBdr>
    </w:div>
    <w:div w:id="1628774401">
      <w:marLeft w:val="0"/>
      <w:marRight w:val="0"/>
      <w:marTop w:val="0"/>
      <w:marBottom w:val="0"/>
      <w:divBdr>
        <w:top w:val="none" w:sz="0" w:space="0" w:color="auto"/>
        <w:left w:val="none" w:sz="0" w:space="0" w:color="auto"/>
        <w:bottom w:val="none" w:sz="0" w:space="0" w:color="auto"/>
        <w:right w:val="none" w:sz="0" w:space="0" w:color="auto"/>
      </w:divBdr>
      <w:divsChild>
        <w:div w:id="1628774400">
          <w:marLeft w:val="1267"/>
          <w:marRight w:val="0"/>
          <w:marTop w:val="0"/>
          <w:marBottom w:val="0"/>
          <w:divBdr>
            <w:top w:val="none" w:sz="0" w:space="0" w:color="auto"/>
            <w:left w:val="none" w:sz="0" w:space="0" w:color="auto"/>
            <w:bottom w:val="none" w:sz="0" w:space="0" w:color="auto"/>
            <w:right w:val="none" w:sz="0" w:space="0" w:color="auto"/>
          </w:divBdr>
        </w:div>
        <w:div w:id="1628774402">
          <w:marLeft w:val="1267"/>
          <w:marRight w:val="0"/>
          <w:marTop w:val="0"/>
          <w:marBottom w:val="0"/>
          <w:divBdr>
            <w:top w:val="none" w:sz="0" w:space="0" w:color="auto"/>
            <w:left w:val="none" w:sz="0" w:space="0" w:color="auto"/>
            <w:bottom w:val="none" w:sz="0" w:space="0" w:color="auto"/>
            <w:right w:val="none" w:sz="0" w:space="0" w:color="auto"/>
          </w:divBdr>
        </w:div>
        <w:div w:id="1628774418">
          <w:marLeft w:val="1267"/>
          <w:marRight w:val="0"/>
          <w:marTop w:val="0"/>
          <w:marBottom w:val="0"/>
          <w:divBdr>
            <w:top w:val="none" w:sz="0" w:space="0" w:color="auto"/>
            <w:left w:val="none" w:sz="0" w:space="0" w:color="auto"/>
            <w:bottom w:val="none" w:sz="0" w:space="0" w:color="auto"/>
            <w:right w:val="none" w:sz="0" w:space="0" w:color="auto"/>
          </w:divBdr>
        </w:div>
      </w:divsChild>
    </w:div>
    <w:div w:id="1628774403">
      <w:marLeft w:val="0"/>
      <w:marRight w:val="0"/>
      <w:marTop w:val="0"/>
      <w:marBottom w:val="0"/>
      <w:divBdr>
        <w:top w:val="none" w:sz="0" w:space="0" w:color="auto"/>
        <w:left w:val="none" w:sz="0" w:space="0" w:color="auto"/>
        <w:bottom w:val="none" w:sz="0" w:space="0" w:color="auto"/>
        <w:right w:val="none" w:sz="0" w:space="0" w:color="auto"/>
      </w:divBdr>
    </w:div>
    <w:div w:id="1628774404">
      <w:marLeft w:val="0"/>
      <w:marRight w:val="0"/>
      <w:marTop w:val="0"/>
      <w:marBottom w:val="0"/>
      <w:divBdr>
        <w:top w:val="none" w:sz="0" w:space="0" w:color="auto"/>
        <w:left w:val="none" w:sz="0" w:space="0" w:color="auto"/>
        <w:bottom w:val="none" w:sz="0" w:space="0" w:color="auto"/>
        <w:right w:val="none" w:sz="0" w:space="0" w:color="auto"/>
      </w:divBdr>
      <w:divsChild>
        <w:div w:id="1628774381">
          <w:marLeft w:val="1267"/>
          <w:marRight w:val="0"/>
          <w:marTop w:val="0"/>
          <w:marBottom w:val="0"/>
          <w:divBdr>
            <w:top w:val="none" w:sz="0" w:space="0" w:color="auto"/>
            <w:left w:val="none" w:sz="0" w:space="0" w:color="auto"/>
            <w:bottom w:val="none" w:sz="0" w:space="0" w:color="auto"/>
            <w:right w:val="none" w:sz="0" w:space="0" w:color="auto"/>
          </w:divBdr>
        </w:div>
        <w:div w:id="1628774386">
          <w:marLeft w:val="1267"/>
          <w:marRight w:val="0"/>
          <w:marTop w:val="0"/>
          <w:marBottom w:val="0"/>
          <w:divBdr>
            <w:top w:val="none" w:sz="0" w:space="0" w:color="auto"/>
            <w:left w:val="none" w:sz="0" w:space="0" w:color="auto"/>
            <w:bottom w:val="none" w:sz="0" w:space="0" w:color="auto"/>
            <w:right w:val="none" w:sz="0" w:space="0" w:color="auto"/>
          </w:divBdr>
        </w:div>
        <w:div w:id="1628774389">
          <w:marLeft w:val="1987"/>
          <w:marRight w:val="0"/>
          <w:marTop w:val="0"/>
          <w:marBottom w:val="0"/>
          <w:divBdr>
            <w:top w:val="none" w:sz="0" w:space="0" w:color="auto"/>
            <w:left w:val="none" w:sz="0" w:space="0" w:color="auto"/>
            <w:bottom w:val="none" w:sz="0" w:space="0" w:color="auto"/>
            <w:right w:val="none" w:sz="0" w:space="0" w:color="auto"/>
          </w:divBdr>
        </w:div>
        <w:div w:id="1628774413">
          <w:marLeft w:val="1987"/>
          <w:marRight w:val="0"/>
          <w:marTop w:val="0"/>
          <w:marBottom w:val="0"/>
          <w:divBdr>
            <w:top w:val="none" w:sz="0" w:space="0" w:color="auto"/>
            <w:left w:val="none" w:sz="0" w:space="0" w:color="auto"/>
            <w:bottom w:val="none" w:sz="0" w:space="0" w:color="auto"/>
            <w:right w:val="none" w:sz="0" w:space="0" w:color="auto"/>
          </w:divBdr>
        </w:div>
        <w:div w:id="1628774414">
          <w:marLeft w:val="1267"/>
          <w:marRight w:val="0"/>
          <w:marTop w:val="0"/>
          <w:marBottom w:val="0"/>
          <w:divBdr>
            <w:top w:val="none" w:sz="0" w:space="0" w:color="auto"/>
            <w:left w:val="none" w:sz="0" w:space="0" w:color="auto"/>
            <w:bottom w:val="none" w:sz="0" w:space="0" w:color="auto"/>
            <w:right w:val="none" w:sz="0" w:space="0" w:color="auto"/>
          </w:divBdr>
        </w:div>
        <w:div w:id="1628774415">
          <w:marLeft w:val="1267"/>
          <w:marRight w:val="0"/>
          <w:marTop w:val="0"/>
          <w:marBottom w:val="0"/>
          <w:divBdr>
            <w:top w:val="none" w:sz="0" w:space="0" w:color="auto"/>
            <w:left w:val="none" w:sz="0" w:space="0" w:color="auto"/>
            <w:bottom w:val="none" w:sz="0" w:space="0" w:color="auto"/>
            <w:right w:val="none" w:sz="0" w:space="0" w:color="auto"/>
          </w:divBdr>
        </w:div>
        <w:div w:id="1628774430">
          <w:marLeft w:val="1267"/>
          <w:marRight w:val="0"/>
          <w:marTop w:val="0"/>
          <w:marBottom w:val="0"/>
          <w:divBdr>
            <w:top w:val="none" w:sz="0" w:space="0" w:color="auto"/>
            <w:left w:val="none" w:sz="0" w:space="0" w:color="auto"/>
            <w:bottom w:val="none" w:sz="0" w:space="0" w:color="auto"/>
            <w:right w:val="none" w:sz="0" w:space="0" w:color="auto"/>
          </w:divBdr>
        </w:div>
      </w:divsChild>
    </w:div>
    <w:div w:id="1628774405">
      <w:marLeft w:val="0"/>
      <w:marRight w:val="0"/>
      <w:marTop w:val="0"/>
      <w:marBottom w:val="0"/>
      <w:divBdr>
        <w:top w:val="none" w:sz="0" w:space="0" w:color="auto"/>
        <w:left w:val="none" w:sz="0" w:space="0" w:color="auto"/>
        <w:bottom w:val="none" w:sz="0" w:space="0" w:color="auto"/>
        <w:right w:val="none" w:sz="0" w:space="0" w:color="auto"/>
      </w:divBdr>
      <w:divsChild>
        <w:div w:id="1628774376">
          <w:marLeft w:val="1267"/>
          <w:marRight w:val="0"/>
          <w:marTop w:val="0"/>
          <w:marBottom w:val="0"/>
          <w:divBdr>
            <w:top w:val="none" w:sz="0" w:space="0" w:color="auto"/>
            <w:left w:val="none" w:sz="0" w:space="0" w:color="auto"/>
            <w:bottom w:val="none" w:sz="0" w:space="0" w:color="auto"/>
            <w:right w:val="none" w:sz="0" w:space="0" w:color="auto"/>
          </w:divBdr>
        </w:div>
        <w:div w:id="1628774420">
          <w:marLeft w:val="1267"/>
          <w:marRight w:val="0"/>
          <w:marTop w:val="0"/>
          <w:marBottom w:val="0"/>
          <w:divBdr>
            <w:top w:val="none" w:sz="0" w:space="0" w:color="auto"/>
            <w:left w:val="none" w:sz="0" w:space="0" w:color="auto"/>
            <w:bottom w:val="none" w:sz="0" w:space="0" w:color="auto"/>
            <w:right w:val="none" w:sz="0" w:space="0" w:color="auto"/>
          </w:divBdr>
        </w:div>
      </w:divsChild>
    </w:div>
    <w:div w:id="1628774406">
      <w:marLeft w:val="0"/>
      <w:marRight w:val="0"/>
      <w:marTop w:val="0"/>
      <w:marBottom w:val="0"/>
      <w:divBdr>
        <w:top w:val="none" w:sz="0" w:space="0" w:color="auto"/>
        <w:left w:val="none" w:sz="0" w:space="0" w:color="auto"/>
        <w:bottom w:val="none" w:sz="0" w:space="0" w:color="auto"/>
        <w:right w:val="none" w:sz="0" w:space="0" w:color="auto"/>
      </w:divBdr>
    </w:div>
    <w:div w:id="1628774407">
      <w:marLeft w:val="0"/>
      <w:marRight w:val="0"/>
      <w:marTop w:val="0"/>
      <w:marBottom w:val="0"/>
      <w:divBdr>
        <w:top w:val="none" w:sz="0" w:space="0" w:color="auto"/>
        <w:left w:val="none" w:sz="0" w:space="0" w:color="auto"/>
        <w:bottom w:val="none" w:sz="0" w:space="0" w:color="auto"/>
        <w:right w:val="none" w:sz="0" w:space="0" w:color="auto"/>
      </w:divBdr>
    </w:div>
    <w:div w:id="1628774411">
      <w:marLeft w:val="0"/>
      <w:marRight w:val="0"/>
      <w:marTop w:val="0"/>
      <w:marBottom w:val="0"/>
      <w:divBdr>
        <w:top w:val="none" w:sz="0" w:space="0" w:color="auto"/>
        <w:left w:val="none" w:sz="0" w:space="0" w:color="auto"/>
        <w:bottom w:val="none" w:sz="0" w:space="0" w:color="auto"/>
        <w:right w:val="none" w:sz="0" w:space="0" w:color="auto"/>
      </w:divBdr>
    </w:div>
    <w:div w:id="1628774417">
      <w:marLeft w:val="0"/>
      <w:marRight w:val="0"/>
      <w:marTop w:val="0"/>
      <w:marBottom w:val="0"/>
      <w:divBdr>
        <w:top w:val="none" w:sz="0" w:space="0" w:color="auto"/>
        <w:left w:val="none" w:sz="0" w:space="0" w:color="auto"/>
        <w:bottom w:val="none" w:sz="0" w:space="0" w:color="auto"/>
        <w:right w:val="none" w:sz="0" w:space="0" w:color="auto"/>
      </w:divBdr>
    </w:div>
    <w:div w:id="1628774422">
      <w:marLeft w:val="0"/>
      <w:marRight w:val="0"/>
      <w:marTop w:val="0"/>
      <w:marBottom w:val="0"/>
      <w:divBdr>
        <w:top w:val="none" w:sz="0" w:space="0" w:color="auto"/>
        <w:left w:val="none" w:sz="0" w:space="0" w:color="auto"/>
        <w:bottom w:val="none" w:sz="0" w:space="0" w:color="auto"/>
        <w:right w:val="none" w:sz="0" w:space="0" w:color="auto"/>
      </w:divBdr>
    </w:div>
    <w:div w:id="1628774423">
      <w:marLeft w:val="0"/>
      <w:marRight w:val="0"/>
      <w:marTop w:val="0"/>
      <w:marBottom w:val="0"/>
      <w:divBdr>
        <w:top w:val="none" w:sz="0" w:space="0" w:color="auto"/>
        <w:left w:val="none" w:sz="0" w:space="0" w:color="auto"/>
        <w:bottom w:val="none" w:sz="0" w:space="0" w:color="auto"/>
        <w:right w:val="none" w:sz="0" w:space="0" w:color="auto"/>
      </w:divBdr>
      <w:divsChild>
        <w:div w:id="1628774373">
          <w:marLeft w:val="1267"/>
          <w:marRight w:val="0"/>
          <w:marTop w:val="0"/>
          <w:marBottom w:val="0"/>
          <w:divBdr>
            <w:top w:val="none" w:sz="0" w:space="0" w:color="auto"/>
            <w:left w:val="none" w:sz="0" w:space="0" w:color="auto"/>
            <w:bottom w:val="none" w:sz="0" w:space="0" w:color="auto"/>
            <w:right w:val="none" w:sz="0" w:space="0" w:color="auto"/>
          </w:divBdr>
        </w:div>
        <w:div w:id="1628774377">
          <w:marLeft w:val="1267"/>
          <w:marRight w:val="0"/>
          <w:marTop w:val="0"/>
          <w:marBottom w:val="0"/>
          <w:divBdr>
            <w:top w:val="none" w:sz="0" w:space="0" w:color="auto"/>
            <w:left w:val="none" w:sz="0" w:space="0" w:color="auto"/>
            <w:bottom w:val="none" w:sz="0" w:space="0" w:color="auto"/>
            <w:right w:val="none" w:sz="0" w:space="0" w:color="auto"/>
          </w:divBdr>
        </w:div>
        <w:div w:id="1628774378">
          <w:marLeft w:val="1267"/>
          <w:marRight w:val="0"/>
          <w:marTop w:val="0"/>
          <w:marBottom w:val="0"/>
          <w:divBdr>
            <w:top w:val="none" w:sz="0" w:space="0" w:color="auto"/>
            <w:left w:val="none" w:sz="0" w:space="0" w:color="auto"/>
            <w:bottom w:val="none" w:sz="0" w:space="0" w:color="auto"/>
            <w:right w:val="none" w:sz="0" w:space="0" w:color="auto"/>
          </w:divBdr>
        </w:div>
        <w:div w:id="1628774396">
          <w:marLeft w:val="1267"/>
          <w:marRight w:val="0"/>
          <w:marTop w:val="0"/>
          <w:marBottom w:val="0"/>
          <w:divBdr>
            <w:top w:val="none" w:sz="0" w:space="0" w:color="auto"/>
            <w:left w:val="none" w:sz="0" w:space="0" w:color="auto"/>
            <w:bottom w:val="none" w:sz="0" w:space="0" w:color="auto"/>
            <w:right w:val="none" w:sz="0" w:space="0" w:color="auto"/>
          </w:divBdr>
        </w:div>
        <w:div w:id="1628774419">
          <w:marLeft w:val="1267"/>
          <w:marRight w:val="0"/>
          <w:marTop w:val="0"/>
          <w:marBottom w:val="0"/>
          <w:divBdr>
            <w:top w:val="none" w:sz="0" w:space="0" w:color="auto"/>
            <w:left w:val="none" w:sz="0" w:space="0" w:color="auto"/>
            <w:bottom w:val="none" w:sz="0" w:space="0" w:color="auto"/>
            <w:right w:val="none" w:sz="0" w:space="0" w:color="auto"/>
          </w:divBdr>
        </w:div>
        <w:div w:id="1628774431">
          <w:marLeft w:val="1267"/>
          <w:marRight w:val="0"/>
          <w:marTop w:val="0"/>
          <w:marBottom w:val="0"/>
          <w:divBdr>
            <w:top w:val="none" w:sz="0" w:space="0" w:color="auto"/>
            <w:left w:val="none" w:sz="0" w:space="0" w:color="auto"/>
            <w:bottom w:val="none" w:sz="0" w:space="0" w:color="auto"/>
            <w:right w:val="none" w:sz="0" w:space="0" w:color="auto"/>
          </w:divBdr>
        </w:div>
      </w:divsChild>
    </w:div>
    <w:div w:id="1628774425">
      <w:marLeft w:val="0"/>
      <w:marRight w:val="0"/>
      <w:marTop w:val="0"/>
      <w:marBottom w:val="0"/>
      <w:divBdr>
        <w:top w:val="none" w:sz="0" w:space="0" w:color="auto"/>
        <w:left w:val="none" w:sz="0" w:space="0" w:color="auto"/>
        <w:bottom w:val="none" w:sz="0" w:space="0" w:color="auto"/>
        <w:right w:val="none" w:sz="0" w:space="0" w:color="auto"/>
      </w:divBdr>
    </w:div>
    <w:div w:id="1628774426">
      <w:marLeft w:val="0"/>
      <w:marRight w:val="0"/>
      <w:marTop w:val="0"/>
      <w:marBottom w:val="0"/>
      <w:divBdr>
        <w:top w:val="none" w:sz="0" w:space="0" w:color="auto"/>
        <w:left w:val="none" w:sz="0" w:space="0" w:color="auto"/>
        <w:bottom w:val="none" w:sz="0" w:space="0" w:color="auto"/>
        <w:right w:val="none" w:sz="0" w:space="0" w:color="auto"/>
      </w:divBdr>
    </w:div>
    <w:div w:id="1628774427">
      <w:marLeft w:val="0"/>
      <w:marRight w:val="0"/>
      <w:marTop w:val="0"/>
      <w:marBottom w:val="0"/>
      <w:divBdr>
        <w:top w:val="none" w:sz="0" w:space="0" w:color="auto"/>
        <w:left w:val="none" w:sz="0" w:space="0" w:color="auto"/>
        <w:bottom w:val="none" w:sz="0" w:space="0" w:color="auto"/>
        <w:right w:val="none" w:sz="0" w:space="0" w:color="auto"/>
      </w:divBdr>
      <w:divsChild>
        <w:div w:id="1628774375">
          <w:marLeft w:val="1267"/>
          <w:marRight w:val="0"/>
          <w:marTop w:val="0"/>
          <w:marBottom w:val="0"/>
          <w:divBdr>
            <w:top w:val="none" w:sz="0" w:space="0" w:color="auto"/>
            <w:left w:val="none" w:sz="0" w:space="0" w:color="auto"/>
            <w:bottom w:val="none" w:sz="0" w:space="0" w:color="auto"/>
            <w:right w:val="none" w:sz="0" w:space="0" w:color="auto"/>
          </w:divBdr>
        </w:div>
        <w:div w:id="1628774380">
          <w:marLeft w:val="1987"/>
          <w:marRight w:val="0"/>
          <w:marTop w:val="0"/>
          <w:marBottom w:val="0"/>
          <w:divBdr>
            <w:top w:val="none" w:sz="0" w:space="0" w:color="auto"/>
            <w:left w:val="none" w:sz="0" w:space="0" w:color="auto"/>
            <w:bottom w:val="none" w:sz="0" w:space="0" w:color="auto"/>
            <w:right w:val="none" w:sz="0" w:space="0" w:color="auto"/>
          </w:divBdr>
        </w:div>
        <w:div w:id="1628774382">
          <w:marLeft w:val="1267"/>
          <w:marRight w:val="0"/>
          <w:marTop w:val="0"/>
          <w:marBottom w:val="0"/>
          <w:divBdr>
            <w:top w:val="none" w:sz="0" w:space="0" w:color="auto"/>
            <w:left w:val="none" w:sz="0" w:space="0" w:color="auto"/>
            <w:bottom w:val="none" w:sz="0" w:space="0" w:color="auto"/>
            <w:right w:val="none" w:sz="0" w:space="0" w:color="auto"/>
          </w:divBdr>
        </w:div>
        <w:div w:id="1628774388">
          <w:marLeft w:val="1267"/>
          <w:marRight w:val="0"/>
          <w:marTop w:val="0"/>
          <w:marBottom w:val="0"/>
          <w:divBdr>
            <w:top w:val="none" w:sz="0" w:space="0" w:color="auto"/>
            <w:left w:val="none" w:sz="0" w:space="0" w:color="auto"/>
            <w:bottom w:val="none" w:sz="0" w:space="0" w:color="auto"/>
            <w:right w:val="none" w:sz="0" w:space="0" w:color="auto"/>
          </w:divBdr>
        </w:div>
        <w:div w:id="1628774390">
          <w:marLeft w:val="1987"/>
          <w:marRight w:val="0"/>
          <w:marTop w:val="0"/>
          <w:marBottom w:val="0"/>
          <w:divBdr>
            <w:top w:val="none" w:sz="0" w:space="0" w:color="auto"/>
            <w:left w:val="none" w:sz="0" w:space="0" w:color="auto"/>
            <w:bottom w:val="none" w:sz="0" w:space="0" w:color="auto"/>
            <w:right w:val="none" w:sz="0" w:space="0" w:color="auto"/>
          </w:divBdr>
        </w:div>
        <w:div w:id="1628774394">
          <w:marLeft w:val="1267"/>
          <w:marRight w:val="0"/>
          <w:marTop w:val="0"/>
          <w:marBottom w:val="0"/>
          <w:divBdr>
            <w:top w:val="none" w:sz="0" w:space="0" w:color="auto"/>
            <w:left w:val="none" w:sz="0" w:space="0" w:color="auto"/>
            <w:bottom w:val="none" w:sz="0" w:space="0" w:color="auto"/>
            <w:right w:val="none" w:sz="0" w:space="0" w:color="auto"/>
          </w:divBdr>
        </w:div>
        <w:div w:id="1628774408">
          <w:marLeft w:val="1267"/>
          <w:marRight w:val="0"/>
          <w:marTop w:val="0"/>
          <w:marBottom w:val="0"/>
          <w:divBdr>
            <w:top w:val="none" w:sz="0" w:space="0" w:color="auto"/>
            <w:left w:val="none" w:sz="0" w:space="0" w:color="auto"/>
            <w:bottom w:val="none" w:sz="0" w:space="0" w:color="auto"/>
            <w:right w:val="none" w:sz="0" w:space="0" w:color="auto"/>
          </w:divBdr>
        </w:div>
      </w:divsChild>
    </w:div>
    <w:div w:id="1628774428">
      <w:marLeft w:val="0"/>
      <w:marRight w:val="0"/>
      <w:marTop w:val="0"/>
      <w:marBottom w:val="0"/>
      <w:divBdr>
        <w:top w:val="none" w:sz="0" w:space="0" w:color="auto"/>
        <w:left w:val="none" w:sz="0" w:space="0" w:color="auto"/>
        <w:bottom w:val="none" w:sz="0" w:space="0" w:color="auto"/>
        <w:right w:val="none" w:sz="0" w:space="0" w:color="auto"/>
      </w:divBdr>
    </w:div>
    <w:div w:id="1628774432">
      <w:marLeft w:val="0"/>
      <w:marRight w:val="0"/>
      <w:marTop w:val="0"/>
      <w:marBottom w:val="0"/>
      <w:divBdr>
        <w:top w:val="none" w:sz="0" w:space="0" w:color="auto"/>
        <w:left w:val="none" w:sz="0" w:space="0" w:color="auto"/>
        <w:bottom w:val="none" w:sz="0" w:space="0" w:color="auto"/>
        <w:right w:val="none" w:sz="0" w:space="0" w:color="auto"/>
      </w:divBdr>
      <w:divsChild>
        <w:div w:id="1628774384">
          <w:marLeft w:val="1267"/>
          <w:marRight w:val="0"/>
          <w:marTop w:val="0"/>
          <w:marBottom w:val="0"/>
          <w:divBdr>
            <w:top w:val="none" w:sz="0" w:space="0" w:color="auto"/>
            <w:left w:val="none" w:sz="0" w:space="0" w:color="auto"/>
            <w:bottom w:val="none" w:sz="0" w:space="0" w:color="auto"/>
            <w:right w:val="none" w:sz="0" w:space="0" w:color="auto"/>
          </w:divBdr>
        </w:div>
        <w:div w:id="1628774391">
          <w:marLeft w:val="1267"/>
          <w:marRight w:val="0"/>
          <w:marTop w:val="0"/>
          <w:marBottom w:val="0"/>
          <w:divBdr>
            <w:top w:val="none" w:sz="0" w:space="0" w:color="auto"/>
            <w:left w:val="none" w:sz="0" w:space="0" w:color="auto"/>
            <w:bottom w:val="none" w:sz="0" w:space="0" w:color="auto"/>
            <w:right w:val="none" w:sz="0" w:space="0" w:color="auto"/>
          </w:divBdr>
        </w:div>
        <w:div w:id="1628774395">
          <w:marLeft w:val="1267"/>
          <w:marRight w:val="0"/>
          <w:marTop w:val="0"/>
          <w:marBottom w:val="0"/>
          <w:divBdr>
            <w:top w:val="none" w:sz="0" w:space="0" w:color="auto"/>
            <w:left w:val="none" w:sz="0" w:space="0" w:color="auto"/>
            <w:bottom w:val="none" w:sz="0" w:space="0" w:color="auto"/>
            <w:right w:val="none" w:sz="0" w:space="0" w:color="auto"/>
          </w:divBdr>
        </w:div>
        <w:div w:id="1628774398">
          <w:marLeft w:val="1267"/>
          <w:marRight w:val="0"/>
          <w:marTop w:val="0"/>
          <w:marBottom w:val="0"/>
          <w:divBdr>
            <w:top w:val="none" w:sz="0" w:space="0" w:color="auto"/>
            <w:left w:val="none" w:sz="0" w:space="0" w:color="auto"/>
            <w:bottom w:val="none" w:sz="0" w:space="0" w:color="auto"/>
            <w:right w:val="none" w:sz="0" w:space="0" w:color="auto"/>
          </w:divBdr>
        </w:div>
        <w:div w:id="1628774399">
          <w:marLeft w:val="1267"/>
          <w:marRight w:val="0"/>
          <w:marTop w:val="0"/>
          <w:marBottom w:val="0"/>
          <w:divBdr>
            <w:top w:val="none" w:sz="0" w:space="0" w:color="auto"/>
            <w:left w:val="none" w:sz="0" w:space="0" w:color="auto"/>
            <w:bottom w:val="none" w:sz="0" w:space="0" w:color="auto"/>
            <w:right w:val="none" w:sz="0" w:space="0" w:color="auto"/>
          </w:divBdr>
        </w:div>
        <w:div w:id="1628774412">
          <w:marLeft w:val="1267"/>
          <w:marRight w:val="0"/>
          <w:marTop w:val="0"/>
          <w:marBottom w:val="0"/>
          <w:divBdr>
            <w:top w:val="none" w:sz="0" w:space="0" w:color="auto"/>
            <w:left w:val="none" w:sz="0" w:space="0" w:color="auto"/>
            <w:bottom w:val="none" w:sz="0" w:space="0" w:color="auto"/>
            <w:right w:val="none" w:sz="0" w:space="0" w:color="auto"/>
          </w:divBdr>
        </w:div>
        <w:div w:id="1628774416">
          <w:marLeft w:val="1267"/>
          <w:marRight w:val="0"/>
          <w:marTop w:val="0"/>
          <w:marBottom w:val="0"/>
          <w:divBdr>
            <w:top w:val="none" w:sz="0" w:space="0" w:color="auto"/>
            <w:left w:val="none" w:sz="0" w:space="0" w:color="auto"/>
            <w:bottom w:val="none" w:sz="0" w:space="0" w:color="auto"/>
            <w:right w:val="none" w:sz="0" w:space="0" w:color="auto"/>
          </w:divBdr>
        </w:div>
      </w:divsChild>
    </w:div>
    <w:div w:id="16287744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awac.be/index.php/qualite-de-l-air" TargetMode="External"/><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s://www.walloniebassesemissions.be"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hyperlink" Target="http://awac.be/index.php/l-agence/news/item/197-decret-climat-avis-comite-d-experts" TargetMode="Externa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energieinfowallonie.be/fr/mesures-sociales/le-client-protege" TargetMode="External"/><Relationship Id="rId2" Type="http://schemas.openxmlformats.org/officeDocument/2006/relationships/hyperlink" Target="https://www.energieinfowallonie.be/upload/documents/tableau-de-synthese-clients-proteges.pdf" TargetMode="External"/><Relationship Id="rId1" Type="http://schemas.openxmlformats.org/officeDocument/2006/relationships/hyperlink" Target="http://www.q-zen.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141</Pages>
  <Words>42420</Words>
  <Characters>233312</Characters>
  <Application>Microsoft Office Word</Application>
  <DocSecurity>0</DocSecurity>
  <Lines>1944</Lines>
  <Paragraphs>550</Paragraphs>
  <ScaleCrop>false</ScaleCrop>
  <Company>Home_Computing</Company>
  <LinksUpToDate>false</LinksUpToDate>
  <CharactersWithSpaces>275182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 Perrin</dc:creator>
  <cp:lastModifiedBy>CUVELIER</cp:lastModifiedBy>
  <cp:revision>2</cp:revision>
  <cp:lastPrinted>2019-03-21T11:19:00Z</cp:lastPrinted>
  <dcterms:created xsi:type="dcterms:W3CDTF">2019-05-07T13:51:00Z</dcterms:created>
  <dcterms:modified xsi:type="dcterms:W3CDTF">2019-05-07T13:51:00Z</dcterms:modified>
</cp:coreProperties>
</file>