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DFFAE5" w14:textId="75C36D9F" w:rsidR="00961ED4" w:rsidRDefault="00961ED4" w:rsidP="00961ED4"/>
    <w:p w14:paraId="6551597B" w14:textId="0284B76D" w:rsidR="00350DDA" w:rsidRDefault="00491FAD" w:rsidP="00961ED4">
      <w:r>
        <w:tab/>
      </w:r>
    </w:p>
    <w:p w14:paraId="1FFDCA1C" w14:textId="77777777" w:rsidR="00350DDA" w:rsidRDefault="00350DDA" w:rsidP="00961ED4"/>
    <w:p w14:paraId="71A920B2" w14:textId="77777777" w:rsidR="00961ED4" w:rsidRDefault="00961ED4" w:rsidP="00961ED4"/>
    <w:p w14:paraId="00583019" w14:textId="77777777" w:rsidR="00961ED4" w:rsidRDefault="00961ED4" w:rsidP="00961ED4"/>
    <w:p w14:paraId="5239E40E" w14:textId="77777777" w:rsidR="00961ED4" w:rsidRDefault="00961ED4" w:rsidP="00961ED4"/>
    <w:p w14:paraId="11EED70A" w14:textId="77777777" w:rsidR="00961ED4" w:rsidRDefault="00961ED4" w:rsidP="00961ED4"/>
    <w:p w14:paraId="12BC565B" w14:textId="77777777" w:rsidR="00961ED4" w:rsidRDefault="00961ED4" w:rsidP="00961ED4">
      <w:pPr>
        <w:jc w:val="center"/>
        <w:rPr>
          <w:sz w:val="36"/>
          <w:szCs w:val="36"/>
        </w:rPr>
      </w:pPr>
      <w:r>
        <w:rPr>
          <w:noProof/>
        </w:rPr>
        <w:drawing>
          <wp:inline distT="0" distB="0" distL="0" distR="0" wp14:anchorId="7CD41369" wp14:editId="6EF9A225">
            <wp:extent cx="1076400" cy="1483200"/>
            <wp:effectExtent l="0" t="0" r="0" b="0"/>
            <wp:docPr id="2" name="Image 2" descr="Une image contenant texte,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texte, clipart&#10;&#10;Description générée automatiquement"/>
                    <pic:cNvPicPr/>
                  </pic:nvPicPr>
                  <pic:blipFill>
                    <a:blip r:embed="rId8">
                      <a:extLst>
                        <a:ext uri="{28A0092B-C50C-407E-A947-70E740481C1C}">
                          <a14:useLocalDpi xmlns:a14="http://schemas.microsoft.com/office/drawing/2010/main" val="0"/>
                        </a:ext>
                      </a:extLst>
                    </a:blip>
                    <a:stretch>
                      <a:fillRect/>
                    </a:stretch>
                  </pic:blipFill>
                  <pic:spPr>
                    <a:xfrm>
                      <a:off x="0" y="0"/>
                      <a:ext cx="1076400" cy="1483200"/>
                    </a:xfrm>
                    <a:prstGeom prst="rect">
                      <a:avLst/>
                    </a:prstGeom>
                  </pic:spPr>
                </pic:pic>
              </a:graphicData>
            </a:graphic>
          </wp:inline>
        </w:drawing>
      </w:r>
    </w:p>
    <w:p w14:paraId="5E498B9E" w14:textId="77777777" w:rsidR="00961ED4" w:rsidRDefault="00961ED4" w:rsidP="00961ED4"/>
    <w:p w14:paraId="467E0CD5" w14:textId="77777777" w:rsidR="00961ED4" w:rsidRDefault="00961ED4" w:rsidP="00961ED4"/>
    <w:p w14:paraId="6CBF1873" w14:textId="5E9E035A" w:rsidR="00961ED4" w:rsidRDefault="00961ED4" w:rsidP="00961ED4"/>
    <w:p w14:paraId="6EF37420" w14:textId="77777777" w:rsidR="00961ED4" w:rsidRDefault="00961ED4" w:rsidP="00961ED4"/>
    <w:p w14:paraId="6B1221B9" w14:textId="77777777" w:rsidR="00961ED4" w:rsidRDefault="00961ED4" w:rsidP="00961ED4">
      <w:pPr>
        <w:jc w:val="center"/>
        <w:rPr>
          <w:b/>
          <w:bCs/>
          <w:sz w:val="36"/>
          <w:szCs w:val="36"/>
        </w:rPr>
      </w:pPr>
    </w:p>
    <w:p w14:paraId="1724A9D3" w14:textId="77777777" w:rsidR="00961ED4" w:rsidRDefault="00961ED4" w:rsidP="00961ED4">
      <w:pPr>
        <w:jc w:val="center"/>
        <w:rPr>
          <w:b/>
          <w:bCs/>
          <w:sz w:val="36"/>
          <w:szCs w:val="36"/>
        </w:rPr>
      </w:pPr>
    </w:p>
    <w:p w14:paraId="4E0594B6" w14:textId="31A4B79C" w:rsidR="00961ED4" w:rsidRDefault="00961ED4" w:rsidP="00961ED4">
      <w:pPr>
        <w:jc w:val="center"/>
        <w:rPr>
          <w:b/>
          <w:bCs/>
          <w:sz w:val="36"/>
          <w:szCs w:val="36"/>
        </w:rPr>
      </w:pPr>
      <w:r>
        <w:rPr>
          <w:b/>
          <w:bCs/>
          <w:sz w:val="36"/>
          <w:szCs w:val="36"/>
        </w:rPr>
        <w:t>Plan de relance de la Wallonie</w:t>
      </w:r>
    </w:p>
    <w:p w14:paraId="793F18F7" w14:textId="77777777" w:rsidR="00961ED4" w:rsidRDefault="00961ED4" w:rsidP="00961ED4">
      <w:pPr>
        <w:jc w:val="center"/>
        <w:rPr>
          <w:b/>
          <w:bCs/>
          <w:sz w:val="36"/>
          <w:szCs w:val="36"/>
        </w:rPr>
      </w:pPr>
    </w:p>
    <w:p w14:paraId="647D40C9" w14:textId="77777777" w:rsidR="00961ED4" w:rsidRDefault="00961ED4" w:rsidP="00961ED4">
      <w:pPr>
        <w:jc w:val="center"/>
        <w:rPr>
          <w:b/>
          <w:bCs/>
          <w:sz w:val="36"/>
          <w:szCs w:val="36"/>
        </w:rPr>
      </w:pPr>
    </w:p>
    <w:p w14:paraId="7FA369E1" w14:textId="7FED6116" w:rsidR="00961ED4" w:rsidRDefault="00961ED4" w:rsidP="00961ED4">
      <w:pPr>
        <w:jc w:val="center"/>
        <w:rPr>
          <w:b/>
          <w:bCs/>
          <w:sz w:val="36"/>
          <w:szCs w:val="36"/>
        </w:rPr>
      </w:pPr>
      <w:r w:rsidRPr="00B144F3">
        <w:rPr>
          <w:b/>
          <w:bCs/>
          <w:sz w:val="36"/>
          <w:szCs w:val="36"/>
        </w:rPr>
        <w:t xml:space="preserve">Appel </w:t>
      </w:r>
      <w:bookmarkStart w:id="0" w:name="_Hlk75784312"/>
      <w:r>
        <w:rPr>
          <w:b/>
          <w:bCs/>
          <w:sz w:val="36"/>
          <w:szCs w:val="36"/>
        </w:rPr>
        <w:t>à projets</w:t>
      </w:r>
      <w:bookmarkEnd w:id="0"/>
      <w:r>
        <w:rPr>
          <w:b/>
          <w:bCs/>
          <w:sz w:val="36"/>
          <w:szCs w:val="36"/>
        </w:rPr>
        <w:t xml:space="preserve"> « </w:t>
      </w:r>
      <w:r w:rsidRPr="00961ED4">
        <w:rPr>
          <w:b/>
          <w:bCs/>
          <w:sz w:val="36"/>
          <w:szCs w:val="36"/>
        </w:rPr>
        <w:t>0Carbon4Wal</w:t>
      </w:r>
      <w:r>
        <w:rPr>
          <w:b/>
          <w:bCs/>
          <w:sz w:val="36"/>
          <w:szCs w:val="36"/>
        </w:rPr>
        <w:t> »</w:t>
      </w:r>
    </w:p>
    <w:p w14:paraId="1799B6F3" w14:textId="7F0C58BF" w:rsidR="00961ED4" w:rsidRDefault="00961ED4" w:rsidP="00961ED4">
      <w:pPr>
        <w:jc w:val="center"/>
        <w:rPr>
          <w:b/>
          <w:bCs/>
          <w:sz w:val="36"/>
          <w:szCs w:val="36"/>
        </w:rPr>
      </w:pPr>
    </w:p>
    <w:p w14:paraId="403CA5B7" w14:textId="715EF00E" w:rsidR="00350DDA" w:rsidRDefault="00961ED4" w:rsidP="00961ED4">
      <w:pPr>
        <w:jc w:val="center"/>
        <w:rPr>
          <w:b/>
          <w:bCs/>
          <w:sz w:val="36"/>
          <w:szCs w:val="36"/>
          <w:vertAlign w:val="subscript"/>
        </w:rPr>
      </w:pPr>
      <w:r>
        <w:rPr>
          <w:b/>
          <w:bCs/>
          <w:sz w:val="36"/>
          <w:szCs w:val="36"/>
        </w:rPr>
        <w:t xml:space="preserve">Capture, Stockage, </w:t>
      </w:r>
      <w:r w:rsidR="00D83B00">
        <w:rPr>
          <w:b/>
          <w:bCs/>
          <w:sz w:val="36"/>
          <w:szCs w:val="36"/>
        </w:rPr>
        <w:t>U</w:t>
      </w:r>
      <w:r>
        <w:rPr>
          <w:b/>
          <w:bCs/>
          <w:sz w:val="36"/>
          <w:szCs w:val="36"/>
        </w:rPr>
        <w:t>tilisation et Transport du CO</w:t>
      </w:r>
      <w:r w:rsidRPr="00961ED4">
        <w:rPr>
          <w:b/>
          <w:bCs/>
          <w:sz w:val="36"/>
          <w:szCs w:val="36"/>
          <w:vertAlign w:val="subscript"/>
        </w:rPr>
        <w:t>2</w:t>
      </w:r>
    </w:p>
    <w:p w14:paraId="17B59ABD" w14:textId="0C3DF715" w:rsidR="00961ED4" w:rsidRDefault="00961ED4" w:rsidP="00961ED4">
      <w:pPr>
        <w:jc w:val="center"/>
        <w:rPr>
          <w:b/>
          <w:bCs/>
          <w:sz w:val="36"/>
          <w:szCs w:val="36"/>
        </w:rPr>
      </w:pPr>
      <w:r>
        <w:rPr>
          <w:b/>
          <w:bCs/>
          <w:sz w:val="36"/>
          <w:szCs w:val="36"/>
          <w:vertAlign w:val="subscript"/>
        </w:rPr>
        <w:t>Développement Expérimental</w:t>
      </w:r>
    </w:p>
    <w:p w14:paraId="30F4099A" w14:textId="6DC928A6" w:rsidR="00961ED4" w:rsidRDefault="00961ED4" w:rsidP="00961ED4">
      <w:pPr>
        <w:jc w:val="center"/>
        <w:rPr>
          <w:b/>
          <w:bCs/>
          <w:sz w:val="28"/>
          <w:szCs w:val="28"/>
          <w:u w:val="single"/>
        </w:rPr>
      </w:pPr>
    </w:p>
    <w:p w14:paraId="75446EBA" w14:textId="5D58D6AC" w:rsidR="00961ED4" w:rsidRDefault="00961ED4" w:rsidP="00961ED4">
      <w:pPr>
        <w:jc w:val="center"/>
        <w:rPr>
          <w:b/>
          <w:bCs/>
          <w:sz w:val="28"/>
          <w:szCs w:val="28"/>
          <w:u w:val="single"/>
        </w:rPr>
      </w:pPr>
    </w:p>
    <w:p w14:paraId="34305D20" w14:textId="77777777" w:rsidR="00961ED4" w:rsidRPr="00961ED4" w:rsidRDefault="00961ED4" w:rsidP="00961ED4">
      <w:pPr>
        <w:jc w:val="center"/>
        <w:rPr>
          <w:b/>
          <w:bCs/>
          <w:sz w:val="36"/>
          <w:szCs w:val="36"/>
        </w:rPr>
      </w:pPr>
    </w:p>
    <w:p w14:paraId="5E763B90" w14:textId="3B21D2D3" w:rsidR="00961ED4" w:rsidRDefault="00961ED4" w:rsidP="00961ED4"/>
    <w:p w14:paraId="78D7FE0B" w14:textId="77777777" w:rsidR="00961ED4" w:rsidRDefault="00961ED4" w:rsidP="00961ED4"/>
    <w:p w14:paraId="7A33D5F3" w14:textId="77777777" w:rsidR="00961ED4" w:rsidRDefault="00961ED4">
      <w:pPr>
        <w:rPr>
          <w:b/>
          <w:bCs/>
          <w:sz w:val="24"/>
          <w:szCs w:val="24"/>
          <w:u w:val="single"/>
        </w:rPr>
      </w:pPr>
      <w:r>
        <w:rPr>
          <w:b/>
          <w:bCs/>
          <w:sz w:val="24"/>
          <w:szCs w:val="24"/>
          <w:u w:val="single"/>
        </w:rPr>
        <w:br w:type="page"/>
      </w:r>
    </w:p>
    <w:p w14:paraId="1139DA12" w14:textId="342B3F9A" w:rsidR="00961ED4" w:rsidRPr="00DC307A" w:rsidRDefault="00961ED4" w:rsidP="00961ED4">
      <w:pPr>
        <w:rPr>
          <w:b/>
          <w:bCs/>
          <w:sz w:val="24"/>
          <w:szCs w:val="24"/>
          <w:u w:val="single"/>
        </w:rPr>
      </w:pPr>
      <w:r w:rsidRPr="00DC307A">
        <w:rPr>
          <w:b/>
          <w:bCs/>
          <w:sz w:val="24"/>
          <w:szCs w:val="24"/>
          <w:u w:val="single"/>
        </w:rPr>
        <w:lastRenderedPageBreak/>
        <w:t>Contact</w:t>
      </w:r>
    </w:p>
    <w:p w14:paraId="736F9191" w14:textId="77777777" w:rsidR="00961ED4" w:rsidRDefault="00961ED4" w:rsidP="00961ED4">
      <w:pPr>
        <w:rPr>
          <w:noProof/>
          <w:lang w:val="de-DE" w:eastAsia="fr-BE"/>
        </w:rPr>
      </w:pPr>
    </w:p>
    <w:p w14:paraId="1A306E40" w14:textId="77777777" w:rsidR="00961ED4" w:rsidRPr="00FF14AA" w:rsidRDefault="00961ED4" w:rsidP="00961ED4">
      <w:pPr>
        <w:rPr>
          <w:noProof/>
          <w:lang w:val="de-DE" w:eastAsia="fr-BE"/>
        </w:rPr>
      </w:pPr>
    </w:p>
    <w:p w14:paraId="25C7623E" w14:textId="54B106D6" w:rsidR="00961ED4" w:rsidRPr="00FF14AA" w:rsidRDefault="00961ED4" w:rsidP="00961ED4">
      <w:pPr>
        <w:rPr>
          <w:noProof/>
          <w:lang w:val="de-DE" w:eastAsia="fr-BE"/>
        </w:rPr>
      </w:pPr>
      <w:r>
        <w:rPr>
          <w:b/>
          <w:bCs/>
          <w:noProof/>
          <w:lang w:val="de-DE" w:eastAsia="fr-BE"/>
        </w:rPr>
        <w:t>Agence Wallonne de l’Air et du Climat</w:t>
      </w:r>
    </w:p>
    <w:p w14:paraId="6D10AC3A" w14:textId="77777777" w:rsidR="00961ED4" w:rsidRDefault="00961ED4" w:rsidP="00961ED4">
      <w:pPr>
        <w:rPr>
          <w:noProof/>
          <w:lang w:val="de-DE" w:eastAsia="fr-BE"/>
        </w:rPr>
      </w:pPr>
    </w:p>
    <w:p w14:paraId="33AC26C1" w14:textId="5E384054" w:rsidR="00961ED4" w:rsidRPr="00FF14AA" w:rsidRDefault="00961ED4" w:rsidP="00961ED4">
      <w:pPr>
        <w:rPr>
          <w:noProof/>
          <w:lang w:val="de-DE" w:eastAsia="fr-BE"/>
        </w:rPr>
      </w:pPr>
      <w:r>
        <w:rPr>
          <w:noProof/>
          <w:lang w:val="de-DE" w:eastAsia="fr-BE"/>
        </w:rPr>
        <w:t>Avenue Prince de Liège, 7</w:t>
      </w:r>
    </w:p>
    <w:p w14:paraId="6E57935A" w14:textId="77777777" w:rsidR="00961ED4" w:rsidRPr="00FF14AA" w:rsidRDefault="00961ED4" w:rsidP="00961ED4">
      <w:pPr>
        <w:rPr>
          <w:noProof/>
          <w:lang w:val="de-DE" w:eastAsia="fr-BE"/>
        </w:rPr>
      </w:pPr>
      <w:r w:rsidRPr="00FF14AA">
        <w:rPr>
          <w:noProof/>
          <w:lang w:val="de-DE" w:eastAsia="fr-BE"/>
        </w:rPr>
        <w:t>B-5100 JAMBES</w:t>
      </w:r>
    </w:p>
    <w:p w14:paraId="30BCCA59" w14:textId="77777777" w:rsidR="00961ED4" w:rsidRDefault="00961ED4" w:rsidP="00961ED4">
      <w:pPr>
        <w:rPr>
          <w:noProof/>
          <w:lang w:val="de-DE" w:eastAsia="fr-BE"/>
        </w:rPr>
      </w:pPr>
    </w:p>
    <w:p w14:paraId="55AB8C7A" w14:textId="4964088A" w:rsidR="00961ED4" w:rsidRPr="00563107" w:rsidRDefault="00961ED4" w:rsidP="00961ED4">
      <w:pPr>
        <w:rPr>
          <w:noProof/>
          <w:color w:val="0563C1" w:themeColor="hyperlink"/>
          <w:u w:val="single"/>
          <w:lang w:val="de-DE" w:eastAsia="fr-BE"/>
        </w:rPr>
      </w:pPr>
      <w:r w:rsidRPr="00FF14AA">
        <w:rPr>
          <w:noProof/>
          <w:lang w:val="de-DE" w:eastAsia="fr-BE"/>
        </w:rPr>
        <w:t>Email</w:t>
      </w:r>
      <w:r>
        <w:rPr>
          <w:noProof/>
          <w:lang w:val="de-DE" w:eastAsia="fr-BE"/>
        </w:rPr>
        <w:t xml:space="preserve"> : </w:t>
      </w:r>
      <w:hyperlink r:id="rId9" w:history="1">
        <w:r w:rsidRPr="00B017F8">
          <w:rPr>
            <w:rStyle w:val="Lienhypertexte"/>
            <w:noProof/>
            <w:lang w:val="de-DE" w:eastAsia="fr-BE"/>
          </w:rPr>
          <w:t>francoise.marchal@spw.wallonie.be</w:t>
        </w:r>
      </w:hyperlink>
    </w:p>
    <w:p w14:paraId="3138FD7C" w14:textId="77777777" w:rsidR="00961ED4" w:rsidRPr="006E605B" w:rsidRDefault="00961ED4" w:rsidP="00961ED4">
      <w:pPr>
        <w:rPr>
          <w:noProof/>
          <w:color w:val="FF0000"/>
          <w:lang w:val="de-DE" w:eastAsia="fr-BE"/>
        </w:rPr>
      </w:pPr>
    </w:p>
    <w:p w14:paraId="72615DBA" w14:textId="79EB2BE7" w:rsidR="00961ED4" w:rsidRPr="00200ECD" w:rsidRDefault="00961ED4" w:rsidP="00961ED4">
      <w:pPr>
        <w:rPr>
          <w:noProof/>
          <w:lang w:val="en-US" w:eastAsia="fr-BE"/>
        </w:rPr>
      </w:pPr>
      <w:r>
        <w:rPr>
          <w:noProof/>
          <w:lang w:val="de-DE" w:eastAsia="fr-BE"/>
        </w:rPr>
        <w:t xml:space="preserve">Site web : </w:t>
      </w:r>
      <w:hyperlink r:id="rId10" w:history="1">
        <w:r w:rsidRPr="00200ECD">
          <w:rPr>
            <w:rStyle w:val="Lienhypertexte"/>
            <w:lang w:val="en-US"/>
          </w:rPr>
          <w:t>https://awac.be/</w:t>
        </w:r>
      </w:hyperlink>
      <w:r w:rsidRPr="00200ECD">
        <w:rPr>
          <w:lang w:val="en-US"/>
        </w:rPr>
        <w:t xml:space="preserve"> </w:t>
      </w:r>
    </w:p>
    <w:p w14:paraId="1C55A70D" w14:textId="77777777" w:rsidR="00961ED4" w:rsidRPr="00FF14AA" w:rsidRDefault="00961ED4" w:rsidP="00961ED4">
      <w:pPr>
        <w:rPr>
          <w:noProof/>
          <w:lang w:val="de-DE" w:eastAsia="fr-BE"/>
        </w:rPr>
      </w:pPr>
    </w:p>
    <w:p w14:paraId="1CF66894" w14:textId="77777777" w:rsidR="00961ED4" w:rsidRPr="00FF14AA" w:rsidRDefault="00961ED4" w:rsidP="00961ED4">
      <w:pPr>
        <w:rPr>
          <w:noProof/>
          <w:lang w:val="de-DE" w:eastAsia="fr-BE"/>
        </w:rPr>
      </w:pPr>
    </w:p>
    <w:p w14:paraId="3416BADA" w14:textId="77777777" w:rsidR="00961ED4" w:rsidRPr="00200ECD" w:rsidRDefault="00961ED4" w:rsidP="00961ED4">
      <w:pPr>
        <w:rPr>
          <w:lang w:val="en-US"/>
        </w:rPr>
      </w:pPr>
    </w:p>
    <w:p w14:paraId="670B02CD" w14:textId="77777777" w:rsidR="00961ED4" w:rsidRPr="00200ECD" w:rsidRDefault="00961ED4" w:rsidP="00961ED4">
      <w:pPr>
        <w:rPr>
          <w:lang w:val="en-US"/>
        </w:rPr>
      </w:pPr>
    </w:p>
    <w:p w14:paraId="2C7768DC" w14:textId="77777777" w:rsidR="00961ED4" w:rsidRPr="00200ECD" w:rsidRDefault="00961ED4" w:rsidP="00961ED4">
      <w:pPr>
        <w:rPr>
          <w:lang w:val="en-US"/>
        </w:rPr>
      </w:pPr>
    </w:p>
    <w:p w14:paraId="7BFE9975" w14:textId="77777777" w:rsidR="00961ED4" w:rsidRPr="00200ECD" w:rsidRDefault="00961ED4" w:rsidP="00961ED4">
      <w:pPr>
        <w:rPr>
          <w:lang w:val="en-US"/>
        </w:rPr>
      </w:pPr>
    </w:p>
    <w:p w14:paraId="71522007" w14:textId="77777777" w:rsidR="00961ED4" w:rsidRPr="00200ECD" w:rsidRDefault="00961ED4" w:rsidP="00961ED4">
      <w:pPr>
        <w:rPr>
          <w:lang w:val="en-US"/>
        </w:rPr>
      </w:pPr>
    </w:p>
    <w:p w14:paraId="76A39690" w14:textId="77777777" w:rsidR="00961ED4" w:rsidRPr="00200ECD" w:rsidRDefault="00961ED4" w:rsidP="00961ED4">
      <w:pPr>
        <w:rPr>
          <w:lang w:val="en-US"/>
        </w:rPr>
      </w:pPr>
      <w:r w:rsidRPr="00200ECD">
        <w:rPr>
          <w:lang w:val="en-US"/>
        </w:rPr>
        <w:br w:type="page"/>
      </w:r>
    </w:p>
    <w:p w14:paraId="1FF844CB" w14:textId="4ADEAA0F" w:rsidR="00961ED4" w:rsidRPr="00961ED4" w:rsidRDefault="00961ED4" w:rsidP="00E46AA4">
      <w:pPr>
        <w:pStyle w:val="Paragraphedeliste"/>
        <w:numPr>
          <w:ilvl w:val="0"/>
          <w:numId w:val="14"/>
        </w:numPr>
        <w:ind w:left="284" w:hanging="284"/>
        <w:rPr>
          <w:b/>
          <w:bCs/>
          <w:u w:val="single"/>
        </w:rPr>
      </w:pPr>
      <w:r w:rsidRPr="00961ED4">
        <w:rPr>
          <w:b/>
          <w:bCs/>
          <w:u w:val="single"/>
        </w:rPr>
        <w:lastRenderedPageBreak/>
        <w:t>Cadre général</w:t>
      </w:r>
    </w:p>
    <w:p w14:paraId="5B2ED67E" w14:textId="77777777" w:rsidR="00961ED4" w:rsidRPr="00961ED4" w:rsidRDefault="00961ED4" w:rsidP="00961ED4">
      <w:pPr>
        <w:pStyle w:val="Paragraphedeliste"/>
        <w:ind w:left="284" w:hanging="284"/>
        <w:rPr>
          <w:b/>
          <w:bCs/>
          <w:u w:val="single"/>
        </w:rPr>
      </w:pPr>
    </w:p>
    <w:p w14:paraId="19EDBCAD" w14:textId="5FDEE89A" w:rsidR="008D1B5D" w:rsidRPr="00B141C5" w:rsidRDefault="00C36668" w:rsidP="008D1B5D">
      <w:pPr>
        <w:jc w:val="both"/>
        <w:rPr>
          <w:i/>
          <w:iCs/>
        </w:rPr>
      </w:pPr>
      <w:bookmarkStart w:id="1" w:name="enbref"/>
      <w:bookmarkEnd w:id="1"/>
      <w:r>
        <w:t xml:space="preserve">La Belgique est signataire de l’accord de Paris qui </w:t>
      </w:r>
      <w:r w:rsidR="008D1B5D">
        <w:t xml:space="preserve">précise en son article 2 : </w:t>
      </w:r>
      <w:r w:rsidR="008D1B5D" w:rsidRPr="00B141C5">
        <w:rPr>
          <w:i/>
          <w:iCs/>
        </w:rPr>
        <w:t>« Le présent Accord […] vise à renforcer la riposte mondiale à la menace des changements climatiques […], notamment en :</w:t>
      </w:r>
    </w:p>
    <w:p w14:paraId="027A3BD2" w14:textId="357BDE25" w:rsidR="008D1B5D" w:rsidRDefault="008D1B5D" w:rsidP="003F1617">
      <w:pPr>
        <w:jc w:val="both"/>
        <w:rPr>
          <w:i/>
          <w:iCs/>
        </w:rPr>
      </w:pPr>
      <w:r w:rsidRPr="00B141C5">
        <w:rPr>
          <w:i/>
          <w:iCs/>
        </w:rPr>
        <w:t>a) Contenant l'élévation de la température moyenne de la planète nettement en dessous de 2 °C par rapport aux niveaux préindustriels et en poursuivant l'action menée pour limiter l'élévation de la température à 1,5 °C par rapport aux niveaux préindustriels, étant entendu que cela réduirait sensiblement les risques et les effets des changements climatiques </w:t>
      </w:r>
      <w:r w:rsidR="00B141C5" w:rsidRPr="00B141C5">
        <w:rPr>
          <w:i/>
          <w:iCs/>
        </w:rPr>
        <w:t xml:space="preserve">[..] </w:t>
      </w:r>
      <w:r w:rsidRPr="00B141C5">
        <w:rPr>
          <w:i/>
          <w:iCs/>
        </w:rPr>
        <w:t>»</w:t>
      </w:r>
    </w:p>
    <w:p w14:paraId="6C0610AC" w14:textId="77777777" w:rsidR="00B141C5" w:rsidRPr="00B141C5" w:rsidRDefault="00B141C5" w:rsidP="003F1617">
      <w:pPr>
        <w:jc w:val="both"/>
        <w:rPr>
          <w:i/>
          <w:iCs/>
        </w:rPr>
      </w:pPr>
    </w:p>
    <w:p w14:paraId="65DC5757" w14:textId="23755A04" w:rsidR="00C36668" w:rsidRDefault="00C36668" w:rsidP="005778BF">
      <w:pPr>
        <w:jc w:val="both"/>
      </w:pPr>
      <w:r>
        <w:t xml:space="preserve">L’objectif </w:t>
      </w:r>
      <w:r w:rsidR="00E4406C">
        <w:t xml:space="preserve">de la Wallonie </w:t>
      </w:r>
      <w:r>
        <w:t>est de diminuer de 55% ses émissions de GES d’ici 2030</w:t>
      </w:r>
      <w:r w:rsidR="003D632C">
        <w:t>, par rapport aux émissions de 1990</w:t>
      </w:r>
      <w:r>
        <w:t>.</w:t>
      </w:r>
    </w:p>
    <w:p w14:paraId="680B1CE6" w14:textId="77777777" w:rsidR="00995499" w:rsidRDefault="00995499" w:rsidP="005778BF">
      <w:pPr>
        <w:jc w:val="both"/>
      </w:pPr>
    </w:p>
    <w:p w14:paraId="60D98714" w14:textId="06A0EB88" w:rsidR="00C36668" w:rsidRDefault="00C36668" w:rsidP="005778BF">
      <w:pPr>
        <w:jc w:val="both"/>
      </w:pPr>
      <w:r>
        <w:t xml:space="preserve">Sachant que les efforts encore à </w:t>
      </w:r>
      <w:r w:rsidR="00F53982">
        <w:t>réaliser</w:t>
      </w:r>
      <w:r>
        <w:t xml:space="preserve"> </w:t>
      </w:r>
      <w:r w:rsidR="00995499">
        <w:t>pour atteindre cet objectif</w:t>
      </w:r>
      <w:r>
        <w:t xml:space="preserve"> sont </w:t>
      </w:r>
      <w:r w:rsidR="00995499">
        <w:t>colossau</w:t>
      </w:r>
      <w:r>
        <w:t xml:space="preserve">x, </w:t>
      </w:r>
      <w:r w:rsidR="00AE2538">
        <w:t xml:space="preserve">la Wallonie </w:t>
      </w:r>
      <w:r w:rsidR="003D632C">
        <w:t>souhaite</w:t>
      </w:r>
      <w:r w:rsidR="00AE2538">
        <w:t xml:space="preserve"> se doter de technologies permettant la </w:t>
      </w:r>
      <w:r w:rsidR="00D83B00">
        <w:t>capture</w:t>
      </w:r>
      <w:r w:rsidR="00995499">
        <w:t>,</w:t>
      </w:r>
      <w:r w:rsidR="00B141C5">
        <w:t xml:space="preserve"> </w:t>
      </w:r>
      <w:r w:rsidR="00AE2538">
        <w:t>le stockage</w:t>
      </w:r>
      <w:r w:rsidR="00B141C5">
        <w:t>, le transport et l</w:t>
      </w:r>
      <w:r w:rsidR="00D83B00">
        <w:t>’</w:t>
      </w:r>
      <w:r w:rsidR="00B141C5">
        <w:t>utilisation</w:t>
      </w:r>
      <w:r w:rsidR="00AE2538">
        <w:t xml:space="preserve"> </w:t>
      </w:r>
      <w:r w:rsidR="00D83B00">
        <w:t xml:space="preserve">(CCUST) </w:t>
      </w:r>
      <w:r w:rsidR="00AE2538">
        <w:t>du CO</w:t>
      </w:r>
      <w:r w:rsidR="00AE2538" w:rsidRPr="00995499">
        <w:rPr>
          <w:rFonts w:ascii="Cambria Math" w:hAnsi="Cambria Math" w:cs="Cambria Math"/>
        </w:rPr>
        <w:t>₂</w:t>
      </w:r>
      <w:r w:rsidR="00B141C5">
        <w:t xml:space="preserve">. </w:t>
      </w:r>
    </w:p>
    <w:p w14:paraId="496493CA" w14:textId="77777777" w:rsidR="00AE2538" w:rsidRDefault="00AE2538" w:rsidP="005778BF">
      <w:pPr>
        <w:jc w:val="both"/>
      </w:pPr>
    </w:p>
    <w:p w14:paraId="0DAB6C14" w14:textId="32A48891" w:rsidR="00995499" w:rsidRPr="00995499" w:rsidRDefault="00B141C5" w:rsidP="00995499">
      <w:pPr>
        <w:jc w:val="both"/>
      </w:pPr>
      <w:r>
        <w:t>En effet, l</w:t>
      </w:r>
      <w:r w:rsidR="00351987" w:rsidRPr="005778BF">
        <w:t xml:space="preserve">a sobriété énergétique et l’efficience des procédés </w:t>
      </w:r>
      <w:r w:rsidR="00641317">
        <w:t>industriels</w:t>
      </w:r>
      <w:r w:rsidR="00995499">
        <w:t xml:space="preserve"> </w:t>
      </w:r>
      <w:r w:rsidR="00351987" w:rsidRPr="005778BF">
        <w:t xml:space="preserve">ne permettront probablement pas </w:t>
      </w:r>
      <w:r w:rsidR="00AE2538">
        <w:t>à</w:t>
      </w:r>
      <w:r>
        <w:t xml:space="preserve"> elles-seules</w:t>
      </w:r>
      <w:r w:rsidR="00AE2538">
        <w:t xml:space="preserve"> </w:t>
      </w:r>
      <w:r w:rsidR="005A209A">
        <w:t>de réduire suffisamment l</w:t>
      </w:r>
      <w:r w:rsidR="00995499">
        <w:t>e</w:t>
      </w:r>
      <w:r w:rsidR="005A209A">
        <w:t xml:space="preserve">s </w:t>
      </w:r>
      <w:r w:rsidR="00351987" w:rsidRPr="005778BF">
        <w:t xml:space="preserve">émissions de </w:t>
      </w:r>
      <w:r w:rsidR="00641317">
        <w:t>CO</w:t>
      </w:r>
      <w:r w:rsidR="00641317" w:rsidRPr="00995499">
        <w:rPr>
          <w:rFonts w:ascii="Cambria Math" w:hAnsi="Cambria Math" w:cs="Cambria Math"/>
        </w:rPr>
        <w:t>₂</w:t>
      </w:r>
      <w:r w:rsidR="00351987" w:rsidRPr="00CE407F">
        <w:t xml:space="preserve"> </w:t>
      </w:r>
      <w:r>
        <w:t xml:space="preserve">de l’industrie. </w:t>
      </w:r>
      <w:r w:rsidR="00995499" w:rsidRPr="00995499">
        <w:t>De nouvelles techniques et technologies de gestion des émissions de CO</w:t>
      </w:r>
      <w:r w:rsidR="00995499" w:rsidRPr="00995499">
        <w:rPr>
          <w:rFonts w:ascii="Cambria Math" w:hAnsi="Cambria Math" w:cs="Cambria Math"/>
        </w:rPr>
        <w:t>₂</w:t>
      </w:r>
      <w:r w:rsidR="00995499" w:rsidRPr="00995499">
        <w:t xml:space="preserve"> doivent donc être explorées. Des projets pilotes </w:t>
      </w:r>
      <w:r w:rsidR="00D83B00">
        <w:t>en matière de CCUST</w:t>
      </w:r>
      <w:r w:rsidR="00995499" w:rsidRPr="00995499">
        <w:t xml:space="preserve"> commencent </w:t>
      </w:r>
      <w:r w:rsidR="00995499" w:rsidRPr="00995499">
        <w:rPr>
          <w:rFonts w:cs="Century Gothic"/>
        </w:rPr>
        <w:t>à</w:t>
      </w:r>
      <w:r w:rsidR="00995499" w:rsidRPr="00995499">
        <w:t xml:space="preserve"> voir le jour (aussi bien à l’étranger qu’en Wallonie) et montrent une opportunité sur laquelle il est possible de capitaliser, pour autant que le bilan énergétique net et environnemental des technologies proposées soit positif. </w:t>
      </w:r>
      <w:r w:rsidR="00995499" w:rsidRPr="00995499" w:rsidDel="00263455">
        <w:t xml:space="preserve"> </w:t>
      </w:r>
    </w:p>
    <w:p w14:paraId="045DE99D" w14:textId="77777777" w:rsidR="00995499" w:rsidRPr="00995499" w:rsidRDefault="00995499" w:rsidP="00995499">
      <w:pPr>
        <w:jc w:val="both"/>
      </w:pPr>
    </w:p>
    <w:p w14:paraId="4E3FBAD9" w14:textId="1ECE6DCA" w:rsidR="00350DDA" w:rsidRDefault="00995499" w:rsidP="00350DDA">
      <w:pPr>
        <w:jc w:val="both"/>
      </w:pPr>
      <w:r>
        <w:t xml:space="preserve">Cet appel à </w:t>
      </w:r>
      <w:r w:rsidRPr="00995499">
        <w:t>projet</w:t>
      </w:r>
      <w:r>
        <w:t>s</w:t>
      </w:r>
      <w:r w:rsidRPr="00995499">
        <w:t xml:space="preserve"> de développement expérimental</w:t>
      </w:r>
      <w:r w:rsidRPr="00070D20">
        <w:rPr>
          <w:vertAlign w:val="superscript"/>
        </w:rPr>
        <w:footnoteReference w:id="2"/>
      </w:r>
      <w:r w:rsidRPr="00995499">
        <w:t xml:space="preserve">, intitulé </w:t>
      </w:r>
      <w:r w:rsidRPr="00070D20">
        <w:rPr>
          <w:b/>
          <w:bCs/>
        </w:rPr>
        <w:t>0Carbon4WAL</w:t>
      </w:r>
      <w:r>
        <w:t xml:space="preserve">, est donc lancé pour permettre à </w:t>
      </w:r>
      <w:r w:rsidRPr="00995499">
        <w:t>la Wallonie puisse se constituer une expertise et disposer d’un avantage compétitif - à terme - dans les secteurs CCUST</w:t>
      </w:r>
      <w:r>
        <w:t>.</w:t>
      </w:r>
      <w:r w:rsidRPr="00995499">
        <w:t xml:space="preserve"> </w:t>
      </w:r>
      <w:r w:rsidR="00350DDA">
        <w:t xml:space="preserve">Il </w:t>
      </w:r>
      <w:bookmarkStart w:id="2" w:name="_Hlk127439672"/>
      <w:r w:rsidR="00350DDA" w:rsidRPr="002B15A2">
        <w:t xml:space="preserve">fait partie </w:t>
      </w:r>
      <w:r w:rsidR="00350DDA">
        <w:t xml:space="preserve">des actions prioritaires du plan de relance de la Wallonie. </w:t>
      </w:r>
      <w:bookmarkEnd w:id="2"/>
    </w:p>
    <w:p w14:paraId="7C074497" w14:textId="77777777" w:rsidR="00350DDA" w:rsidRDefault="00350DDA" w:rsidP="00350DDA">
      <w:pPr>
        <w:jc w:val="both"/>
      </w:pPr>
    </w:p>
    <w:p w14:paraId="09BDCBA8" w14:textId="7DF00546" w:rsidR="00350DDA" w:rsidRDefault="00350DDA" w:rsidP="00350DDA">
      <w:pPr>
        <w:jc w:val="both"/>
      </w:pPr>
      <w:r>
        <w:t>L’enveloppe budgétaire disponible pour l’ensemble des projets qui seront sélectionnés est de 8 millions d’euros</w:t>
      </w:r>
      <w:r w:rsidRPr="00355706">
        <w:t xml:space="preserve"> </w:t>
      </w:r>
      <w:r>
        <w:t xml:space="preserve">maximum. </w:t>
      </w:r>
    </w:p>
    <w:p w14:paraId="42928324" w14:textId="77777777" w:rsidR="00350DDA" w:rsidRPr="00995499" w:rsidRDefault="00350DDA" w:rsidP="00995499">
      <w:pPr>
        <w:jc w:val="both"/>
      </w:pPr>
    </w:p>
    <w:p w14:paraId="1D71C8EA" w14:textId="77777777" w:rsidR="00995499" w:rsidRPr="005778BF" w:rsidRDefault="00995499" w:rsidP="00940ED0">
      <w:pPr>
        <w:jc w:val="both"/>
      </w:pPr>
    </w:p>
    <w:p w14:paraId="16A65EA8" w14:textId="5F96553B" w:rsidR="00351987" w:rsidRPr="00961ED4" w:rsidRDefault="00351987" w:rsidP="00E46AA4">
      <w:pPr>
        <w:pStyle w:val="Paragraphedeliste"/>
        <w:numPr>
          <w:ilvl w:val="0"/>
          <w:numId w:val="14"/>
        </w:numPr>
        <w:ind w:left="284" w:hanging="284"/>
        <w:jc w:val="both"/>
        <w:rPr>
          <w:b/>
          <w:bCs/>
          <w:u w:val="single"/>
        </w:rPr>
      </w:pPr>
      <w:r w:rsidRPr="00961ED4">
        <w:rPr>
          <w:b/>
          <w:bCs/>
          <w:u w:val="single"/>
        </w:rPr>
        <w:t>Objectif</w:t>
      </w:r>
    </w:p>
    <w:p w14:paraId="50F0FC11" w14:textId="4802E68D" w:rsidR="00351987" w:rsidRDefault="00351987" w:rsidP="00CD6AE0">
      <w:pPr>
        <w:jc w:val="both"/>
      </w:pPr>
    </w:p>
    <w:p w14:paraId="357D2821" w14:textId="52DDE807" w:rsidR="00CE407F" w:rsidRPr="00995499" w:rsidRDefault="00263455" w:rsidP="00CD6AE0">
      <w:pPr>
        <w:jc w:val="both"/>
      </w:pPr>
      <w:r>
        <w:t xml:space="preserve">Cet appel </w:t>
      </w:r>
      <w:r w:rsidR="00351987">
        <w:t xml:space="preserve">a pour but de </w:t>
      </w:r>
      <w:r>
        <w:t xml:space="preserve">promouvoir </w:t>
      </w:r>
      <w:r w:rsidR="00351987">
        <w:t xml:space="preserve">la mise en place de </w:t>
      </w:r>
      <w:r w:rsidR="00351987" w:rsidRPr="007D4EB2">
        <w:rPr>
          <w:rFonts w:cs="Calibri"/>
        </w:rPr>
        <w:t xml:space="preserve">projets pilotes et une amélioration de l’expertise des </w:t>
      </w:r>
      <w:r w:rsidR="001C7B04">
        <w:rPr>
          <w:rFonts w:cs="Calibri"/>
        </w:rPr>
        <w:t>entreprises</w:t>
      </w:r>
      <w:r w:rsidR="00351987" w:rsidRPr="007D4EB2">
        <w:rPr>
          <w:rFonts w:cs="Calibri"/>
        </w:rPr>
        <w:t xml:space="preserve"> </w:t>
      </w:r>
      <w:r w:rsidR="001C7B04">
        <w:rPr>
          <w:rFonts w:cs="Calibri"/>
        </w:rPr>
        <w:t xml:space="preserve">wallonnes </w:t>
      </w:r>
      <w:r w:rsidR="00351987" w:rsidRPr="007D4EB2">
        <w:rPr>
          <w:rFonts w:cs="Calibri"/>
        </w:rPr>
        <w:t xml:space="preserve">actives dans les technologies de </w:t>
      </w:r>
      <w:r w:rsidR="00351987" w:rsidRPr="00995499">
        <w:rPr>
          <w:rFonts w:cs="Calibri"/>
        </w:rPr>
        <w:t>capture</w:t>
      </w:r>
      <w:r w:rsidR="001C7B04" w:rsidRPr="00995499">
        <w:rPr>
          <w:rFonts w:cs="Calibri"/>
        </w:rPr>
        <w:t xml:space="preserve">, de transport, de stockage </w:t>
      </w:r>
      <w:r w:rsidR="00BD1E36" w:rsidRPr="00995499">
        <w:rPr>
          <w:rFonts w:cs="Calibri"/>
        </w:rPr>
        <w:t xml:space="preserve">ou </w:t>
      </w:r>
      <w:r w:rsidR="001C7B04" w:rsidRPr="00995499">
        <w:rPr>
          <w:rFonts w:cs="Calibri"/>
        </w:rPr>
        <w:t>d</w:t>
      </w:r>
      <w:r w:rsidR="00D83B00">
        <w:rPr>
          <w:rFonts w:cs="Calibri"/>
        </w:rPr>
        <w:t>e l’</w:t>
      </w:r>
      <w:r w:rsidR="001C7B04" w:rsidRPr="00995499">
        <w:rPr>
          <w:rFonts w:cs="Calibri"/>
        </w:rPr>
        <w:t>utilisation</w:t>
      </w:r>
      <w:r w:rsidR="00351987" w:rsidRPr="00995499">
        <w:rPr>
          <w:rFonts w:cs="Calibri"/>
        </w:rPr>
        <w:t xml:space="preserve"> </w:t>
      </w:r>
      <w:r w:rsidR="00D83B00">
        <w:rPr>
          <w:rFonts w:cs="Calibri"/>
        </w:rPr>
        <w:t xml:space="preserve">(CCUST) </w:t>
      </w:r>
      <w:r w:rsidR="001C7B04" w:rsidRPr="00995499">
        <w:t xml:space="preserve">du </w:t>
      </w:r>
      <w:r w:rsidR="00351987" w:rsidRPr="00995499">
        <w:t>CO</w:t>
      </w:r>
      <w:r w:rsidR="00CE407F" w:rsidRPr="00995499">
        <w:rPr>
          <w:rFonts w:ascii="Cambria Math" w:hAnsi="Cambria Math" w:cs="Cambria Math"/>
        </w:rPr>
        <w:t>₂</w:t>
      </w:r>
      <w:r w:rsidR="00995499" w:rsidRPr="00995499">
        <w:t xml:space="preserve">. </w:t>
      </w:r>
    </w:p>
    <w:p w14:paraId="1F8D4406" w14:textId="70EB0211" w:rsidR="00995499" w:rsidRPr="00995499" w:rsidRDefault="00995499" w:rsidP="00CD6AE0">
      <w:pPr>
        <w:jc w:val="both"/>
      </w:pPr>
    </w:p>
    <w:p w14:paraId="3BFF26A8" w14:textId="1300BC34" w:rsidR="00351987" w:rsidRDefault="00995499" w:rsidP="00CD6AE0">
      <w:pPr>
        <w:jc w:val="both"/>
      </w:pPr>
      <w:r w:rsidRPr="00995499">
        <w:t>Ces projets permettront de soulever et de résoudre certains problèmes techniques ou légaux comme la gestion des réseaux, le comptage du CO</w:t>
      </w:r>
      <w:r w:rsidRPr="00995499">
        <w:rPr>
          <w:rFonts w:ascii="Cambria Math" w:hAnsi="Cambria Math" w:cs="Cambria Math"/>
        </w:rPr>
        <w:t>₂</w:t>
      </w:r>
      <w:r w:rsidRPr="00995499">
        <w:t xml:space="preserve"> dans le cadre ETS, les freins éventuels, les conditions techniques optimales en termes de pressions ou les </w:t>
      </w:r>
      <w:r w:rsidRPr="00995499">
        <w:lastRenderedPageBreak/>
        <w:t>problèmes de fuite. Ils prendront en considération leurs répercussions environnementales ou énergétiques pour éviter de créer des paradoxes ou des effets rebonds dans ces matières (dépenser plus d’énergie pour une plus grande compensation CO</w:t>
      </w:r>
      <w:r w:rsidRPr="00995499">
        <w:rPr>
          <w:rFonts w:ascii="Cambria Math" w:hAnsi="Cambria Math" w:cs="Cambria Math"/>
        </w:rPr>
        <w:t>₂</w:t>
      </w:r>
      <w:r w:rsidRPr="00995499">
        <w:t xml:space="preserve"> par exemple). </w:t>
      </w:r>
    </w:p>
    <w:p w14:paraId="46E12398" w14:textId="00A1EFF2" w:rsidR="00BD1E36" w:rsidRDefault="00BD1E36" w:rsidP="00CD6AE0">
      <w:pPr>
        <w:jc w:val="both"/>
      </w:pPr>
    </w:p>
    <w:p w14:paraId="5F7EC225" w14:textId="77777777" w:rsidR="00215C20" w:rsidRDefault="00215C20" w:rsidP="00CD6AE0">
      <w:pPr>
        <w:jc w:val="both"/>
      </w:pPr>
    </w:p>
    <w:p w14:paraId="478198DE" w14:textId="15EBE251" w:rsidR="00351987" w:rsidRDefault="00CE407F" w:rsidP="00E46AA4">
      <w:pPr>
        <w:pStyle w:val="Paragraphedeliste"/>
        <w:numPr>
          <w:ilvl w:val="0"/>
          <w:numId w:val="14"/>
        </w:numPr>
        <w:ind w:left="284" w:hanging="284"/>
        <w:jc w:val="both"/>
        <w:rPr>
          <w:b/>
          <w:bCs/>
          <w:u w:val="single"/>
        </w:rPr>
      </w:pPr>
      <w:r w:rsidRPr="005778BF">
        <w:rPr>
          <w:b/>
          <w:bCs/>
          <w:u w:val="single"/>
        </w:rPr>
        <w:t xml:space="preserve">Périmètre </w:t>
      </w:r>
      <w:r w:rsidR="00DD757E" w:rsidRPr="005778BF">
        <w:rPr>
          <w:b/>
          <w:bCs/>
          <w:u w:val="single"/>
        </w:rPr>
        <w:t>de la proposition</w:t>
      </w:r>
      <w:r w:rsidR="00FF15F1" w:rsidRPr="005778BF">
        <w:rPr>
          <w:b/>
          <w:bCs/>
          <w:u w:val="single"/>
        </w:rPr>
        <w:t xml:space="preserve"> : </w:t>
      </w:r>
    </w:p>
    <w:p w14:paraId="1555FFE4" w14:textId="77777777" w:rsidR="00995499" w:rsidRPr="005778BF" w:rsidRDefault="00995499" w:rsidP="00995499">
      <w:pPr>
        <w:pStyle w:val="Paragraphedeliste"/>
        <w:jc w:val="both"/>
        <w:rPr>
          <w:b/>
          <w:bCs/>
          <w:u w:val="single"/>
        </w:rPr>
      </w:pPr>
    </w:p>
    <w:p w14:paraId="72AF455B" w14:textId="4C3CB0C5" w:rsidR="00FF15F1" w:rsidRPr="002B15A2" w:rsidRDefault="003B5960" w:rsidP="00FF15F1">
      <w:pPr>
        <w:jc w:val="both"/>
      </w:pPr>
      <w:r>
        <w:t>Cet</w:t>
      </w:r>
      <w:r w:rsidR="00FF15F1">
        <w:t xml:space="preserve"> appel à projet</w:t>
      </w:r>
      <w:r w:rsidR="00491FAD">
        <w:t>s</w:t>
      </w:r>
      <w:r w:rsidR="00FF15F1">
        <w:t xml:space="preserve"> porte </w:t>
      </w:r>
      <w:r w:rsidR="00CA6A5E">
        <w:t xml:space="preserve">exclusivement </w:t>
      </w:r>
      <w:r w:rsidR="00FF15F1">
        <w:t xml:space="preserve">sur du développement expérimental. </w:t>
      </w:r>
      <w:r>
        <w:t>Il</w:t>
      </w:r>
      <w:r w:rsidR="00641317">
        <w:t xml:space="preserve"> </w:t>
      </w:r>
      <w:r w:rsidR="00FF15F1">
        <w:t xml:space="preserve">permet </w:t>
      </w:r>
      <w:r>
        <w:t xml:space="preserve">aux entreprises </w:t>
      </w:r>
      <w:r w:rsidR="00FF15F1">
        <w:t>d’o</w:t>
      </w:r>
      <w:r w:rsidR="00FF15F1" w:rsidRPr="002B15A2">
        <w:t>btenir des fonds destinés à mener un projet de recherche</w:t>
      </w:r>
      <w:r w:rsidR="00641317">
        <w:t>,</w:t>
      </w:r>
      <w:r w:rsidR="00FF15F1" w:rsidRPr="002B15A2">
        <w:t xml:space="preserve"> seul ou en partenariat</w:t>
      </w:r>
      <w:r w:rsidR="00641317">
        <w:t>.</w:t>
      </w:r>
    </w:p>
    <w:p w14:paraId="4904BB74" w14:textId="72F81760" w:rsidR="00FF15F1" w:rsidRDefault="00FF15F1" w:rsidP="00FF15F1">
      <w:pPr>
        <w:jc w:val="both"/>
      </w:pPr>
    </w:p>
    <w:p w14:paraId="16495369" w14:textId="0D64C52D" w:rsidR="00150413" w:rsidRPr="00374748" w:rsidRDefault="00A10990" w:rsidP="00FF15F1">
      <w:pPr>
        <w:jc w:val="both"/>
      </w:pPr>
      <w:r w:rsidRPr="00374748">
        <w:t>Sont visés par cet appel</w:t>
      </w:r>
      <w:r w:rsidR="00150413" w:rsidRPr="00374748">
        <w:t>,</w:t>
      </w:r>
      <w:r w:rsidRPr="00374748">
        <w:t xml:space="preserve"> les projets </w:t>
      </w:r>
      <w:r w:rsidR="00BD1E36" w:rsidRPr="00374748">
        <w:t xml:space="preserve">concernant </w:t>
      </w:r>
      <w:r w:rsidR="00A7119A" w:rsidRPr="00374748">
        <w:t>les volets suivants</w:t>
      </w:r>
      <w:r w:rsidR="00150413" w:rsidRPr="00374748">
        <w:t> :</w:t>
      </w:r>
    </w:p>
    <w:p w14:paraId="678DEEFA" w14:textId="15412663" w:rsidR="00A10990" w:rsidRPr="00374748" w:rsidRDefault="00150413" w:rsidP="00E46AA4">
      <w:pPr>
        <w:pStyle w:val="Paragraphedeliste"/>
        <w:numPr>
          <w:ilvl w:val="0"/>
          <w:numId w:val="10"/>
        </w:numPr>
        <w:jc w:val="both"/>
      </w:pPr>
      <w:r w:rsidRPr="00374748">
        <w:t>L</w:t>
      </w:r>
      <w:r w:rsidR="00A10990" w:rsidRPr="00374748">
        <w:t xml:space="preserve">a capture </w:t>
      </w:r>
      <w:r w:rsidRPr="00374748">
        <w:t>de CO</w:t>
      </w:r>
      <w:r w:rsidRPr="00374748">
        <w:rPr>
          <w:vertAlign w:val="subscript"/>
        </w:rPr>
        <w:t>2</w:t>
      </w:r>
      <w:r w:rsidRPr="00374748">
        <w:t xml:space="preserve"> </w:t>
      </w:r>
      <w:r w:rsidR="00A10990" w:rsidRPr="00374748">
        <w:t xml:space="preserve">à la source des émissions </w:t>
      </w:r>
      <w:r w:rsidRPr="00374748">
        <w:t>industrielles ;</w:t>
      </w:r>
    </w:p>
    <w:p w14:paraId="3C409EA0" w14:textId="25C3718D" w:rsidR="00150413" w:rsidRPr="00374748" w:rsidRDefault="00150413" w:rsidP="00E46AA4">
      <w:pPr>
        <w:pStyle w:val="Paragraphedeliste"/>
        <w:numPr>
          <w:ilvl w:val="0"/>
          <w:numId w:val="10"/>
        </w:numPr>
        <w:jc w:val="both"/>
      </w:pPr>
      <w:r w:rsidRPr="00374748">
        <w:t>Le transport/le conditionnement du CO</w:t>
      </w:r>
      <w:r w:rsidRPr="00374748">
        <w:rPr>
          <w:vertAlign w:val="subscript"/>
        </w:rPr>
        <w:t>2</w:t>
      </w:r>
      <w:r w:rsidRPr="00374748">
        <w:t xml:space="preserve"> capté ;</w:t>
      </w:r>
    </w:p>
    <w:p w14:paraId="47622271" w14:textId="58833B57" w:rsidR="00150413" w:rsidRPr="0026089F" w:rsidRDefault="00150413" w:rsidP="00E46AA4">
      <w:pPr>
        <w:pStyle w:val="Paragraphedeliste"/>
        <w:numPr>
          <w:ilvl w:val="0"/>
          <w:numId w:val="10"/>
        </w:numPr>
        <w:jc w:val="both"/>
        <w:rPr>
          <w:u w:val="single"/>
        </w:rPr>
      </w:pPr>
      <w:r w:rsidRPr="00374748">
        <w:t xml:space="preserve">Le stockage du </w:t>
      </w:r>
      <w:r w:rsidR="00BD1E36" w:rsidRPr="00374748">
        <w:t>CO</w:t>
      </w:r>
      <w:r w:rsidR="00BD1E36" w:rsidRPr="00374748">
        <w:rPr>
          <w:rFonts w:ascii="Cambria Math" w:hAnsi="Cambria Math" w:cs="Cambria Math"/>
        </w:rPr>
        <w:t>₂</w:t>
      </w:r>
      <w:r w:rsidR="00BD1E36" w:rsidRPr="00374748">
        <w:t xml:space="preserve"> </w:t>
      </w:r>
      <w:r w:rsidR="00A7119A" w:rsidRPr="00374748">
        <w:t>ou l</w:t>
      </w:r>
      <w:r w:rsidRPr="00374748">
        <w:t xml:space="preserve">’utilisation du </w:t>
      </w:r>
      <w:r w:rsidR="001E708C" w:rsidRPr="00374748">
        <w:t>CO</w:t>
      </w:r>
      <w:r w:rsidR="001E708C" w:rsidRPr="00374748">
        <w:rPr>
          <w:vertAlign w:val="subscript"/>
        </w:rPr>
        <w:t>2</w:t>
      </w:r>
      <w:r w:rsidRPr="00A7119A">
        <w:rPr>
          <w:u w:val="single"/>
        </w:rPr>
        <w:t xml:space="preserve"> </w:t>
      </w:r>
      <w:r w:rsidRPr="00995499">
        <w:t xml:space="preserve">comme </w:t>
      </w:r>
      <w:r>
        <w:t xml:space="preserve">matières premières pour la chimie (synthons), </w:t>
      </w:r>
      <w:r w:rsidR="00A7119A">
        <w:t xml:space="preserve">combustibles et </w:t>
      </w:r>
      <w:r>
        <w:t>carburant</w:t>
      </w:r>
      <w:r w:rsidR="00A7119A">
        <w:t>s</w:t>
      </w:r>
      <w:r>
        <w:t xml:space="preserve"> de seconde génération (méthane, méthanol…)</w:t>
      </w:r>
      <w:r w:rsidR="00A7119A">
        <w:t xml:space="preserve"> ou solvants</w:t>
      </w:r>
      <w:r>
        <w:t>, matériaux de construction, cette liste étant non-limitative.</w:t>
      </w:r>
    </w:p>
    <w:p w14:paraId="12A6659D" w14:textId="47235565" w:rsidR="0047275D" w:rsidRDefault="0047275D" w:rsidP="00CD6AE0">
      <w:pPr>
        <w:jc w:val="both"/>
        <w:rPr>
          <w:rFonts w:cs="Calibri"/>
        </w:rPr>
      </w:pPr>
    </w:p>
    <w:p w14:paraId="318FDA89" w14:textId="0A94DA93" w:rsidR="00181AD6" w:rsidRDefault="00181AD6" w:rsidP="00CD6AE0">
      <w:pPr>
        <w:jc w:val="both"/>
        <w:rPr>
          <w:rFonts w:cs="Calibri"/>
        </w:rPr>
      </w:pPr>
      <w:r>
        <w:rPr>
          <w:rFonts w:cs="Calibri"/>
        </w:rPr>
        <w:t xml:space="preserve">S’agissant de développement expérimental, les technologies de type « Direct Air Capture » sont écartées du présent appel. </w:t>
      </w:r>
    </w:p>
    <w:p w14:paraId="775E3B2C" w14:textId="7EA4B562" w:rsidR="00181AD6" w:rsidRDefault="00181AD6" w:rsidP="00CD6AE0">
      <w:pPr>
        <w:jc w:val="both"/>
        <w:rPr>
          <w:rFonts w:cs="Calibri"/>
        </w:rPr>
      </w:pPr>
    </w:p>
    <w:p w14:paraId="446A2009" w14:textId="77777777" w:rsidR="002D642F" w:rsidRDefault="002D642F" w:rsidP="00CD6AE0">
      <w:pPr>
        <w:jc w:val="both"/>
        <w:rPr>
          <w:rFonts w:cs="Calibri"/>
        </w:rPr>
      </w:pPr>
    </w:p>
    <w:p w14:paraId="649C6297" w14:textId="77777777" w:rsidR="002D642F" w:rsidRDefault="002D642F" w:rsidP="00E46AA4">
      <w:pPr>
        <w:pStyle w:val="Paragraphedeliste"/>
        <w:numPr>
          <w:ilvl w:val="0"/>
          <w:numId w:val="14"/>
        </w:numPr>
        <w:ind w:left="426" w:hanging="426"/>
        <w:jc w:val="both"/>
        <w:rPr>
          <w:b/>
          <w:bCs/>
          <w:u w:val="single"/>
        </w:rPr>
      </w:pPr>
      <w:r w:rsidRPr="005778BF">
        <w:rPr>
          <w:b/>
          <w:bCs/>
          <w:u w:val="single"/>
        </w:rPr>
        <w:t>Procédure</w:t>
      </w:r>
      <w:r>
        <w:rPr>
          <w:b/>
          <w:bCs/>
          <w:u w:val="single"/>
        </w:rPr>
        <w:t xml:space="preserve"> de soumission :</w:t>
      </w:r>
    </w:p>
    <w:p w14:paraId="5E7F1FDB" w14:textId="77777777" w:rsidR="002D642F" w:rsidRPr="005778BF" w:rsidRDefault="002D642F" w:rsidP="002D642F">
      <w:pPr>
        <w:pStyle w:val="Paragraphedeliste"/>
        <w:jc w:val="both"/>
        <w:rPr>
          <w:b/>
          <w:bCs/>
          <w:u w:val="single"/>
        </w:rPr>
      </w:pPr>
    </w:p>
    <w:p w14:paraId="4DF60F11" w14:textId="26F85047" w:rsidR="002D642F" w:rsidRPr="002B15A2" w:rsidRDefault="002D642F" w:rsidP="002D642F">
      <w:pPr>
        <w:jc w:val="both"/>
      </w:pPr>
      <w:r w:rsidRPr="002B15A2">
        <w:t>Seules les propositions qui sont soumises suivant les règles de l’appel en vigueur seront prises en compte. La date d</w:t>
      </w:r>
      <w:r>
        <w:t>e</w:t>
      </w:r>
      <w:r w:rsidRPr="002B15A2">
        <w:t xml:space="preserve"> réception de la soumission électronique </w:t>
      </w:r>
      <w:r>
        <w:t>par mail ou accusé de réception faisant foi</w:t>
      </w:r>
      <w:r w:rsidRPr="002B15A2">
        <w:t xml:space="preserve">. En cas de soumission électronique multiple d'une même proposition, seule la dernière version soumise avant la date limite de soumission sera prise en compte. La proposition comporte </w:t>
      </w:r>
      <w:r>
        <w:t>le formulaire annexé au présent appel, ses 3 annexes sous format de tableur, les annexes statutaires et financières des entreprises participantes et l’accord de consortium signé (si requis)</w:t>
      </w:r>
      <w:r w:rsidRPr="002B15A2">
        <w:t>.</w:t>
      </w:r>
    </w:p>
    <w:p w14:paraId="73ACD856" w14:textId="77777777" w:rsidR="002D642F" w:rsidRDefault="002D642F" w:rsidP="002D642F">
      <w:pPr>
        <w:jc w:val="both"/>
      </w:pPr>
    </w:p>
    <w:p w14:paraId="48F4614A" w14:textId="77777777" w:rsidR="002D642F" w:rsidRPr="002A28C2" w:rsidRDefault="002D642F" w:rsidP="002D642F">
      <w:pPr>
        <w:jc w:val="both"/>
        <w:rPr>
          <w:i/>
          <w:iCs/>
        </w:rPr>
      </w:pPr>
      <w:r w:rsidRPr="002A28C2">
        <w:rPr>
          <w:i/>
          <w:iCs/>
        </w:rPr>
        <w:t>Dans le cas où le projet ferait état de données sensibles du soutien industriel ou du laboratoire, un document spécifique peut aussi être annexé</w:t>
      </w:r>
      <w:r>
        <w:rPr>
          <w:i/>
          <w:iCs/>
        </w:rPr>
        <w:t xml:space="preserve"> et </w:t>
      </w:r>
      <w:r w:rsidRPr="003F1617">
        <w:rPr>
          <w:i/>
          <w:iCs/>
          <w:u w:val="single"/>
        </w:rPr>
        <w:t>spécifié comme soumis à confidentialité</w:t>
      </w:r>
      <w:r w:rsidRPr="002A28C2">
        <w:rPr>
          <w:i/>
          <w:iCs/>
        </w:rPr>
        <w:t>.</w:t>
      </w:r>
    </w:p>
    <w:p w14:paraId="62452C12" w14:textId="77777777" w:rsidR="002D642F" w:rsidRDefault="002D642F" w:rsidP="002D642F">
      <w:pPr>
        <w:jc w:val="both"/>
      </w:pPr>
    </w:p>
    <w:p w14:paraId="12B8A6BA" w14:textId="77777777" w:rsidR="002D642F" w:rsidRDefault="002D642F" w:rsidP="002D642F">
      <w:pPr>
        <w:jc w:val="both"/>
      </w:pPr>
    </w:p>
    <w:p w14:paraId="50E0EE88" w14:textId="77777777" w:rsidR="002D642F" w:rsidRPr="005778BF" w:rsidRDefault="002D642F" w:rsidP="00E46AA4">
      <w:pPr>
        <w:pStyle w:val="Paragraphedeliste"/>
        <w:numPr>
          <w:ilvl w:val="0"/>
          <w:numId w:val="14"/>
        </w:numPr>
        <w:ind w:left="426" w:hanging="426"/>
        <w:jc w:val="both"/>
        <w:rPr>
          <w:b/>
          <w:bCs/>
          <w:u w:val="single"/>
        </w:rPr>
      </w:pPr>
      <w:r w:rsidRPr="005778BF">
        <w:rPr>
          <w:b/>
          <w:bCs/>
          <w:u w:val="single"/>
        </w:rPr>
        <w:t>La procédure de sélection est organisée en trois étapes successives :</w:t>
      </w:r>
    </w:p>
    <w:p w14:paraId="602BC3C0" w14:textId="77777777" w:rsidR="002D642F" w:rsidRDefault="002D642F" w:rsidP="002D642F">
      <w:pPr>
        <w:jc w:val="both"/>
        <w:rPr>
          <w:u w:val="single"/>
        </w:rPr>
      </w:pPr>
    </w:p>
    <w:p w14:paraId="0A018F9E" w14:textId="77777777" w:rsidR="002D642F" w:rsidRPr="005778BF" w:rsidRDefault="002D642F" w:rsidP="002D642F">
      <w:pPr>
        <w:jc w:val="both"/>
        <w:rPr>
          <w:u w:val="single"/>
        </w:rPr>
      </w:pPr>
      <w:r w:rsidRPr="005778BF">
        <w:rPr>
          <w:u w:val="single"/>
        </w:rPr>
        <w:t>Etape 1 : Eligibilité</w:t>
      </w:r>
    </w:p>
    <w:p w14:paraId="78EF6554" w14:textId="77777777" w:rsidR="002D642F" w:rsidRPr="002B15A2" w:rsidRDefault="002D642F" w:rsidP="00E46AA4">
      <w:pPr>
        <w:pStyle w:val="Paragraphedeliste"/>
        <w:numPr>
          <w:ilvl w:val="0"/>
          <w:numId w:val="7"/>
        </w:numPr>
        <w:jc w:val="both"/>
      </w:pPr>
      <w:r w:rsidRPr="002B15A2">
        <w:t>L'éligibilité de chacune des propositions détaillées est examinée par l'Administration sur base des critères énoncés. Les propositions détaillées non éligibles ne sont pas soumises à évaluation.</w:t>
      </w:r>
    </w:p>
    <w:p w14:paraId="130F4BEB" w14:textId="77777777" w:rsidR="002D642F" w:rsidRDefault="002D642F" w:rsidP="002D642F">
      <w:pPr>
        <w:jc w:val="both"/>
        <w:rPr>
          <w:u w:val="single"/>
        </w:rPr>
      </w:pPr>
    </w:p>
    <w:p w14:paraId="4CE02859" w14:textId="77777777" w:rsidR="002D642F" w:rsidRPr="005778BF" w:rsidRDefault="002D642F" w:rsidP="002D642F">
      <w:pPr>
        <w:jc w:val="both"/>
        <w:rPr>
          <w:u w:val="single"/>
        </w:rPr>
      </w:pPr>
      <w:r w:rsidRPr="005778BF">
        <w:rPr>
          <w:u w:val="single"/>
        </w:rPr>
        <w:t>Etape 2 : Evaluation</w:t>
      </w:r>
    </w:p>
    <w:p w14:paraId="4E78BE17" w14:textId="77777777" w:rsidR="002D642F" w:rsidRPr="002B15A2" w:rsidRDefault="002D642F" w:rsidP="00E46AA4">
      <w:pPr>
        <w:pStyle w:val="Paragraphedeliste"/>
        <w:numPr>
          <w:ilvl w:val="0"/>
          <w:numId w:val="7"/>
        </w:numPr>
        <w:jc w:val="both"/>
      </w:pPr>
      <w:r w:rsidRPr="002B15A2">
        <w:t xml:space="preserve">L'Administration </w:t>
      </w:r>
      <w:r>
        <w:t>et les éventuels experts sollicités</w:t>
      </w:r>
      <w:r>
        <w:rPr>
          <w:rStyle w:val="Appelnotedebasdep"/>
        </w:rPr>
        <w:footnoteReference w:id="3"/>
      </w:r>
      <w:r>
        <w:t xml:space="preserve"> </w:t>
      </w:r>
      <w:r w:rsidRPr="002B15A2">
        <w:t>évalue</w:t>
      </w:r>
      <w:r>
        <w:t>nt</w:t>
      </w:r>
      <w:r w:rsidRPr="002B15A2">
        <w:t xml:space="preserve"> les projets soumis sur base des critères </w:t>
      </w:r>
      <w:r>
        <w:t>rappelés plus haut</w:t>
      </w:r>
      <w:r w:rsidRPr="002B15A2">
        <w:t xml:space="preserve">. </w:t>
      </w:r>
      <w:r>
        <w:t xml:space="preserve">Chaque projet est évalué par minimum </w:t>
      </w:r>
      <w:r>
        <w:lastRenderedPageBreak/>
        <w:t xml:space="preserve">deux personnes. Chaque </w:t>
      </w:r>
      <w:r w:rsidRPr="002B15A2">
        <w:t xml:space="preserve">évaluation est sanctionnée par une cote globale allant de 0 à 100 (c-à-d la somme des cotes de l'ensemble des critères). </w:t>
      </w:r>
    </w:p>
    <w:p w14:paraId="09215771" w14:textId="77777777" w:rsidR="002D642F" w:rsidRPr="003D0989" w:rsidRDefault="002D642F" w:rsidP="00E46AA4">
      <w:pPr>
        <w:pStyle w:val="Paragraphedeliste"/>
        <w:numPr>
          <w:ilvl w:val="0"/>
          <w:numId w:val="7"/>
        </w:numPr>
        <w:jc w:val="both"/>
      </w:pPr>
      <w:r w:rsidRPr="003D0989">
        <w:t>L'évaluation technique est sanctionnée par deux types d'avis :</w:t>
      </w:r>
    </w:p>
    <w:p w14:paraId="5F2450C8" w14:textId="77777777" w:rsidR="002D642F" w:rsidRPr="003D0989" w:rsidRDefault="002D642F" w:rsidP="00E46AA4">
      <w:pPr>
        <w:pStyle w:val="Paragraphedeliste"/>
        <w:numPr>
          <w:ilvl w:val="1"/>
          <w:numId w:val="7"/>
        </w:numPr>
        <w:jc w:val="both"/>
      </w:pPr>
      <w:r w:rsidRPr="003D0989">
        <w:t>Favorable : Le projet a reçu une cote supérieure ou égale à 60 % pour chacun des critères d'évaluation</w:t>
      </w:r>
      <w:r>
        <w:t xml:space="preserve"> (en se basant sur la moyenne des évaluations)</w:t>
      </w:r>
      <w:r w:rsidRPr="003D0989">
        <w:t> ;</w:t>
      </w:r>
    </w:p>
    <w:p w14:paraId="0F3BF47B" w14:textId="77777777" w:rsidR="002D642F" w:rsidRPr="003D0989" w:rsidRDefault="002D642F" w:rsidP="00E46AA4">
      <w:pPr>
        <w:pStyle w:val="Paragraphedeliste"/>
        <w:numPr>
          <w:ilvl w:val="1"/>
          <w:numId w:val="7"/>
        </w:numPr>
        <w:jc w:val="both"/>
      </w:pPr>
      <w:r w:rsidRPr="003D0989">
        <w:t>Défavorable : Le projet a reçu</w:t>
      </w:r>
      <w:r>
        <w:t xml:space="preserve"> </w:t>
      </w:r>
      <w:r w:rsidRPr="003D0989">
        <w:t>une cote strictement inférieure à 60 % pour au moins un des critères d'évaluation</w:t>
      </w:r>
      <w:r>
        <w:t xml:space="preserve"> (en se basant sur la moyenne des évaluations)</w:t>
      </w:r>
      <w:r w:rsidRPr="003D0989">
        <w:t>.</w:t>
      </w:r>
    </w:p>
    <w:p w14:paraId="0A1ED4C6" w14:textId="77777777" w:rsidR="002D642F" w:rsidRPr="002B15A2" w:rsidRDefault="002D642F" w:rsidP="00E46AA4">
      <w:pPr>
        <w:pStyle w:val="Paragraphedeliste"/>
        <w:numPr>
          <w:ilvl w:val="0"/>
          <w:numId w:val="7"/>
        </w:numPr>
        <w:jc w:val="both"/>
      </w:pPr>
      <w:r>
        <w:t>Le</w:t>
      </w:r>
      <w:r w:rsidRPr="002B15A2">
        <w:t xml:space="preserve"> classement</w:t>
      </w:r>
      <w:r>
        <w:t xml:space="preserve"> est </w:t>
      </w:r>
      <w:r w:rsidRPr="002B15A2">
        <w:t>établi pour les propositions détaillées</w:t>
      </w:r>
      <w:r>
        <w:t>,</w:t>
      </w:r>
      <w:r w:rsidRPr="002B15A2">
        <w:t xml:space="preserve"> </w:t>
      </w:r>
      <w:r>
        <w:t>dont celles « </w:t>
      </w:r>
      <w:r w:rsidRPr="002B15A2">
        <w:t>Favorable</w:t>
      </w:r>
      <w:r>
        <w:t>s</w:t>
      </w:r>
      <w:r w:rsidRPr="002B15A2">
        <w:t> » retenues pour financement</w:t>
      </w:r>
      <w:r>
        <w:t>.</w:t>
      </w:r>
    </w:p>
    <w:p w14:paraId="5BD56B59" w14:textId="7B5FDAF5" w:rsidR="002D642F" w:rsidRPr="002B15A2" w:rsidRDefault="002D642F" w:rsidP="00E46AA4">
      <w:pPr>
        <w:pStyle w:val="Paragraphedeliste"/>
        <w:numPr>
          <w:ilvl w:val="0"/>
          <w:numId w:val="7"/>
        </w:numPr>
        <w:jc w:val="both"/>
      </w:pPr>
      <w:r w:rsidRPr="002B15A2">
        <w:t xml:space="preserve">L'Administration transmet au </w:t>
      </w:r>
      <w:r w:rsidR="00D02D47">
        <w:t>Comité d’évaluation</w:t>
      </w:r>
      <w:r w:rsidRPr="002B15A2">
        <w:t xml:space="preserve"> « un rapport d'éligibilité et d'évaluation » de l'ensemble des propositions détaillées éligibles.</w:t>
      </w:r>
    </w:p>
    <w:p w14:paraId="258410BF" w14:textId="77777777" w:rsidR="002D642F" w:rsidRDefault="002D642F" w:rsidP="002D642F">
      <w:pPr>
        <w:jc w:val="both"/>
        <w:rPr>
          <w:u w:val="single"/>
        </w:rPr>
      </w:pPr>
    </w:p>
    <w:p w14:paraId="568339F0" w14:textId="62CACA94" w:rsidR="002D642F" w:rsidRPr="00D8383A" w:rsidRDefault="002D642F" w:rsidP="002D642F">
      <w:pPr>
        <w:jc w:val="both"/>
        <w:rPr>
          <w:u w:val="single"/>
        </w:rPr>
      </w:pPr>
      <w:r w:rsidRPr="005778BF">
        <w:rPr>
          <w:u w:val="single"/>
        </w:rPr>
        <w:t xml:space="preserve">Etape 3 : Le </w:t>
      </w:r>
      <w:r w:rsidR="0081533D">
        <w:rPr>
          <w:u w:val="single"/>
        </w:rPr>
        <w:t>Comité d’évaluation</w:t>
      </w:r>
    </w:p>
    <w:p w14:paraId="0352A221" w14:textId="7042D6CB" w:rsidR="002D642F" w:rsidRPr="00D8383A" w:rsidRDefault="002D642F" w:rsidP="00E46AA4">
      <w:pPr>
        <w:pStyle w:val="Paragraphedeliste"/>
        <w:numPr>
          <w:ilvl w:val="0"/>
          <w:numId w:val="7"/>
        </w:numPr>
        <w:jc w:val="both"/>
      </w:pPr>
      <w:r w:rsidRPr="00D8383A">
        <w:t xml:space="preserve">Le </w:t>
      </w:r>
      <w:r w:rsidR="0081533D">
        <w:t>Comité d’évaluation</w:t>
      </w:r>
      <w:r w:rsidR="00D17F3B">
        <w:t xml:space="preserve"> </w:t>
      </w:r>
      <w:r w:rsidR="00EC6392">
        <w:t>se</w:t>
      </w:r>
      <w:r w:rsidRPr="00D8383A">
        <w:t xml:space="preserve"> compos</w:t>
      </w:r>
      <w:r w:rsidR="00EC6392">
        <w:t>e</w:t>
      </w:r>
      <w:r w:rsidRPr="00D8383A">
        <w:t>, au minimum, de deux représentants du SPW EER, de deux représentants de l’AWAC</w:t>
      </w:r>
      <w:r w:rsidRPr="00D8383A">
        <w:rPr>
          <w:rStyle w:val="Appelnotedebasdep"/>
        </w:rPr>
        <w:footnoteReference w:id="4"/>
      </w:r>
      <w:r w:rsidRPr="00D8383A">
        <w:t xml:space="preserve">, d’un représentant du </w:t>
      </w:r>
      <w:proofErr w:type="gramStart"/>
      <w:r w:rsidRPr="00D8383A">
        <w:t>Ministre</w:t>
      </w:r>
      <w:proofErr w:type="gramEnd"/>
      <w:r w:rsidRPr="00D8383A">
        <w:t xml:space="preserve"> de la Recherche, d’un représentant du Ministre de l’Economie et de deux représentants du Ministre en charge du Climat.</w:t>
      </w:r>
      <w:r w:rsidR="00A77DA6">
        <w:t xml:space="preserve"> </w:t>
      </w:r>
      <w:r w:rsidR="00D17F3B">
        <w:t xml:space="preserve">Une attention particulière </w:t>
      </w:r>
      <w:r w:rsidR="00F94123">
        <w:t xml:space="preserve">est </w:t>
      </w:r>
      <w:r w:rsidR="00D17F3B">
        <w:t xml:space="preserve">accordée </w:t>
      </w:r>
      <w:r w:rsidR="00D9458F">
        <w:t>à</w:t>
      </w:r>
      <w:r w:rsidR="00D17F3B">
        <w:t xml:space="preserve"> une représentation équilibrée des hommes et des femmes</w:t>
      </w:r>
      <w:r w:rsidR="00D9458F">
        <w:t xml:space="preserve">. </w:t>
      </w:r>
    </w:p>
    <w:p w14:paraId="14227BB8" w14:textId="52D17238" w:rsidR="002D642F" w:rsidRPr="00D8383A" w:rsidRDefault="00D9458F" w:rsidP="00E46AA4">
      <w:pPr>
        <w:pStyle w:val="Paragraphedeliste"/>
        <w:numPr>
          <w:ilvl w:val="0"/>
          <w:numId w:val="7"/>
        </w:numPr>
        <w:jc w:val="both"/>
      </w:pPr>
      <w:r>
        <w:t xml:space="preserve">Le Comité </w:t>
      </w:r>
      <w:r w:rsidR="002D642F" w:rsidRPr="00D8383A">
        <w:t xml:space="preserve">analyse le rapport fourni et propose un classement des projets et leur résumé au Ministre du Climat. </w:t>
      </w:r>
      <w:r w:rsidR="001553FF">
        <w:t xml:space="preserve">Les projets sont sélectionnés par </w:t>
      </w:r>
      <w:r w:rsidR="002D642F" w:rsidRPr="00D8383A">
        <w:t>le Gouvernement wallon, les conventions sont rédigées et signées par les partenaires du projet d’une part, et par le Ministre du Climat</w:t>
      </w:r>
      <w:r w:rsidR="00D945E6">
        <w:t xml:space="preserve"> d’autre part</w:t>
      </w:r>
      <w:r w:rsidR="002D642F" w:rsidRPr="00D8383A">
        <w:t xml:space="preserve">.  </w:t>
      </w:r>
    </w:p>
    <w:p w14:paraId="09F11060" w14:textId="77777777" w:rsidR="002D642F" w:rsidRPr="00D8383A" w:rsidRDefault="002D642F" w:rsidP="002D642F">
      <w:pPr>
        <w:jc w:val="both"/>
        <w:rPr>
          <w:b/>
          <w:bCs/>
          <w:u w:val="single"/>
        </w:rPr>
      </w:pPr>
    </w:p>
    <w:p w14:paraId="0FCF5C5A" w14:textId="77777777" w:rsidR="00215C20" w:rsidRPr="005778BF" w:rsidRDefault="00215C20" w:rsidP="00CD6AE0">
      <w:pPr>
        <w:jc w:val="both"/>
        <w:rPr>
          <w:rFonts w:cs="Calibri"/>
        </w:rPr>
      </w:pPr>
    </w:p>
    <w:p w14:paraId="0B036861" w14:textId="4850085E" w:rsidR="00A778FA" w:rsidRDefault="00A778FA" w:rsidP="00E46AA4">
      <w:pPr>
        <w:pStyle w:val="Paragraphedeliste"/>
        <w:numPr>
          <w:ilvl w:val="0"/>
          <w:numId w:val="14"/>
        </w:numPr>
        <w:ind w:left="284" w:hanging="284"/>
        <w:jc w:val="both"/>
        <w:rPr>
          <w:b/>
          <w:bCs/>
          <w:u w:val="single"/>
        </w:rPr>
      </w:pPr>
      <w:r w:rsidRPr="005778BF">
        <w:rPr>
          <w:b/>
          <w:bCs/>
          <w:u w:val="single"/>
        </w:rPr>
        <w:t>Dates importantes :</w:t>
      </w:r>
    </w:p>
    <w:p w14:paraId="415DD703" w14:textId="16A33D5F" w:rsidR="00215C20" w:rsidRDefault="00215C20" w:rsidP="00215C20">
      <w:pPr>
        <w:jc w:val="both"/>
        <w:rPr>
          <w:b/>
          <w:bCs/>
          <w:u w:val="single"/>
        </w:rPr>
      </w:pPr>
    </w:p>
    <w:p w14:paraId="034D3D73" w14:textId="77777777" w:rsidR="00215C20" w:rsidRPr="00A41486" w:rsidRDefault="00215C20" w:rsidP="003B5960">
      <w:pPr>
        <w:pStyle w:val="Sansinterligne"/>
        <w:jc w:val="both"/>
        <w:rPr>
          <w:rFonts w:ascii="Century Gothic" w:eastAsiaTheme="minorHAnsi" w:hAnsi="Century Gothic" w:cs="Calibri"/>
        </w:rPr>
      </w:pPr>
      <w:r w:rsidRPr="00A41486">
        <w:rPr>
          <w:rFonts w:ascii="Century Gothic" w:eastAsiaTheme="minorHAnsi" w:hAnsi="Century Gothic" w:cs="Calibri"/>
        </w:rPr>
        <w:t xml:space="preserve">Le calendrier de réalisation du projet est le suivant : </w:t>
      </w:r>
    </w:p>
    <w:p w14:paraId="0F76305E" w14:textId="77777777" w:rsidR="00215C20" w:rsidRPr="00A41486" w:rsidRDefault="00215C20" w:rsidP="003B5960">
      <w:pPr>
        <w:jc w:val="both"/>
        <w:rPr>
          <w:rFonts w:cs="Calibri"/>
        </w:rPr>
      </w:pPr>
    </w:p>
    <w:p w14:paraId="207F51A5" w14:textId="3796E6FB" w:rsidR="00D279BA" w:rsidRDefault="00797BEE" w:rsidP="00E46AA4">
      <w:pPr>
        <w:pStyle w:val="Sansinterligne"/>
        <w:numPr>
          <w:ilvl w:val="0"/>
          <w:numId w:val="13"/>
        </w:numPr>
        <w:jc w:val="both"/>
        <w:rPr>
          <w:rFonts w:ascii="Century Gothic" w:eastAsiaTheme="minorHAnsi" w:hAnsi="Century Gothic" w:cs="Calibri"/>
        </w:rPr>
      </w:pPr>
      <w:r>
        <w:rPr>
          <w:rFonts w:ascii="Century Gothic" w:eastAsiaTheme="minorHAnsi" w:hAnsi="Century Gothic" w:cs="Calibri"/>
        </w:rPr>
        <w:t>1</w:t>
      </w:r>
      <w:r w:rsidRPr="00797BEE">
        <w:rPr>
          <w:rFonts w:ascii="Century Gothic" w:eastAsiaTheme="minorHAnsi" w:hAnsi="Century Gothic" w:cs="Calibri"/>
          <w:vertAlign w:val="superscript"/>
        </w:rPr>
        <w:t>er</w:t>
      </w:r>
      <w:r>
        <w:rPr>
          <w:rFonts w:ascii="Century Gothic" w:eastAsiaTheme="minorHAnsi" w:hAnsi="Century Gothic" w:cs="Calibri"/>
        </w:rPr>
        <w:t xml:space="preserve"> j</w:t>
      </w:r>
      <w:r w:rsidR="00C8096C" w:rsidRPr="00D279BA">
        <w:rPr>
          <w:rFonts w:ascii="Century Gothic" w:eastAsiaTheme="minorHAnsi" w:hAnsi="Century Gothic" w:cs="Calibri"/>
        </w:rPr>
        <w:t xml:space="preserve">uin </w:t>
      </w:r>
      <w:r w:rsidR="00215C20" w:rsidRPr="00D279BA">
        <w:rPr>
          <w:rFonts w:ascii="Century Gothic" w:eastAsiaTheme="minorHAnsi" w:hAnsi="Century Gothic" w:cs="Calibri"/>
        </w:rPr>
        <w:t>2023</w:t>
      </w:r>
      <w:r w:rsidR="00D279BA" w:rsidRPr="00D279BA">
        <w:rPr>
          <w:rFonts w:ascii="Century Gothic" w:eastAsiaTheme="minorHAnsi" w:hAnsi="Century Gothic" w:cs="Calibri"/>
        </w:rPr>
        <w:t> :</w:t>
      </w:r>
      <w:r w:rsidR="00D279BA">
        <w:rPr>
          <w:rFonts w:ascii="Century Gothic" w:eastAsiaTheme="minorHAnsi" w:hAnsi="Century Gothic" w:cs="Calibri"/>
        </w:rPr>
        <w:t xml:space="preserve"> </w:t>
      </w:r>
      <w:r w:rsidR="00FF0B68" w:rsidRPr="00D279BA">
        <w:rPr>
          <w:rFonts w:ascii="Century Gothic" w:eastAsiaTheme="minorHAnsi" w:hAnsi="Century Gothic" w:cs="Calibri"/>
        </w:rPr>
        <w:t>Un appel spécifique est lancé suivant les modalités décrites dans ce document, à la suite de l’approbation du Gouvernement wallon</w:t>
      </w:r>
      <w:r w:rsidR="00D279BA">
        <w:rPr>
          <w:rFonts w:ascii="Century Gothic" w:eastAsiaTheme="minorHAnsi" w:hAnsi="Century Gothic" w:cs="Calibri"/>
        </w:rPr>
        <w:t> ;</w:t>
      </w:r>
    </w:p>
    <w:p w14:paraId="04590B48" w14:textId="0DA27708" w:rsidR="00592D85" w:rsidRDefault="00592D85" w:rsidP="00E46AA4">
      <w:pPr>
        <w:pStyle w:val="Sansinterligne"/>
        <w:numPr>
          <w:ilvl w:val="0"/>
          <w:numId w:val="13"/>
        </w:numPr>
        <w:jc w:val="both"/>
        <w:rPr>
          <w:rFonts w:ascii="Century Gothic" w:eastAsiaTheme="minorHAnsi" w:hAnsi="Century Gothic" w:cs="Calibri"/>
        </w:rPr>
      </w:pPr>
      <w:r>
        <w:rPr>
          <w:rFonts w:ascii="Century Gothic" w:eastAsiaTheme="minorHAnsi" w:hAnsi="Century Gothic" w:cs="Calibri"/>
        </w:rPr>
        <w:t xml:space="preserve">21 </w:t>
      </w:r>
      <w:r w:rsidR="00F94123">
        <w:rPr>
          <w:rFonts w:ascii="Century Gothic" w:eastAsiaTheme="minorHAnsi" w:hAnsi="Century Gothic" w:cs="Calibri"/>
        </w:rPr>
        <w:t>a</w:t>
      </w:r>
      <w:r>
        <w:rPr>
          <w:rFonts w:ascii="Century Gothic" w:eastAsiaTheme="minorHAnsi" w:hAnsi="Century Gothic" w:cs="Calibri"/>
        </w:rPr>
        <w:t>oût</w:t>
      </w:r>
      <w:r w:rsidRPr="00200ECD">
        <w:rPr>
          <w:rFonts w:ascii="Century Gothic" w:eastAsiaTheme="minorHAnsi" w:hAnsi="Century Gothic" w:cs="Calibri"/>
        </w:rPr>
        <w:t xml:space="preserve"> 2023</w:t>
      </w:r>
      <w:r>
        <w:rPr>
          <w:rFonts w:ascii="Century Gothic" w:eastAsiaTheme="minorHAnsi" w:hAnsi="Century Gothic" w:cs="Calibri"/>
        </w:rPr>
        <w:t xml:space="preserve"> : </w:t>
      </w:r>
      <w:r w:rsidRPr="00200ECD">
        <w:rPr>
          <w:rFonts w:ascii="Century Gothic" w:eastAsiaTheme="minorHAnsi" w:hAnsi="Century Gothic" w:cs="Calibri"/>
        </w:rPr>
        <w:t xml:space="preserve">clôture de l’appel </w:t>
      </w:r>
      <w:r>
        <w:rPr>
          <w:rFonts w:ascii="Century Gothic" w:eastAsiaTheme="minorHAnsi" w:hAnsi="Century Gothic" w:cs="Calibri"/>
        </w:rPr>
        <w:t xml:space="preserve">&amp; date maximale de dépôt du projet : </w:t>
      </w:r>
    </w:p>
    <w:p w14:paraId="67126C72" w14:textId="77777777" w:rsidR="00592D85" w:rsidRPr="003A3B74" w:rsidRDefault="00592D85" w:rsidP="00E46AA4">
      <w:pPr>
        <w:pStyle w:val="Sansinterligne"/>
        <w:numPr>
          <w:ilvl w:val="1"/>
          <w:numId w:val="13"/>
        </w:numPr>
        <w:jc w:val="both"/>
        <w:rPr>
          <w:rFonts w:ascii="Century Gothic" w:eastAsiaTheme="minorHAnsi" w:hAnsi="Century Gothic" w:cs="Calibri"/>
        </w:rPr>
      </w:pPr>
      <w:r w:rsidRPr="003A3B74">
        <w:rPr>
          <w:rFonts w:ascii="Century Gothic" w:eastAsiaTheme="minorHAnsi" w:hAnsi="Century Gothic" w:cs="Calibri"/>
        </w:rPr>
        <w:t>Le projet est déposé sur base d’un formulaire à télécharger.</w:t>
      </w:r>
    </w:p>
    <w:p w14:paraId="48D74075" w14:textId="77777777" w:rsidR="00592D85" w:rsidRPr="003A3B74" w:rsidRDefault="00592D85" w:rsidP="00E46AA4">
      <w:pPr>
        <w:pStyle w:val="Sansinterligne"/>
        <w:numPr>
          <w:ilvl w:val="1"/>
          <w:numId w:val="13"/>
        </w:numPr>
        <w:jc w:val="both"/>
        <w:rPr>
          <w:rFonts w:ascii="Century Gothic" w:eastAsiaTheme="minorHAnsi" w:hAnsi="Century Gothic" w:cs="Calibri"/>
        </w:rPr>
      </w:pPr>
      <w:r w:rsidRPr="003A3B74">
        <w:rPr>
          <w:rFonts w:ascii="Century Gothic" w:eastAsiaTheme="minorHAnsi" w:hAnsi="Century Gothic" w:cs="Calibri"/>
        </w:rPr>
        <w:t>L’accord de consortium finalisé et signé doit être joint lors du dépôt du projet final.</w:t>
      </w:r>
    </w:p>
    <w:p w14:paraId="04D0A9B1" w14:textId="77777777" w:rsidR="00592D85" w:rsidRPr="003A3B74" w:rsidRDefault="00592D85" w:rsidP="00E46AA4">
      <w:pPr>
        <w:pStyle w:val="Sansinterligne"/>
        <w:numPr>
          <w:ilvl w:val="1"/>
          <w:numId w:val="13"/>
        </w:numPr>
        <w:jc w:val="both"/>
        <w:rPr>
          <w:rFonts w:ascii="Century Gothic" w:eastAsiaTheme="minorHAnsi" w:hAnsi="Century Gothic" w:cs="Calibri"/>
        </w:rPr>
      </w:pPr>
      <w:r w:rsidRPr="003A3B74">
        <w:rPr>
          <w:rFonts w:ascii="Century Gothic" w:eastAsiaTheme="minorHAnsi" w:hAnsi="Century Gothic" w:cs="Calibri"/>
        </w:rPr>
        <w:t>Un business plan avec perspectives de valorisation réalistes dans les 3 ans devra être joint au dossier final.</w:t>
      </w:r>
    </w:p>
    <w:p w14:paraId="540A8EF7" w14:textId="77777777" w:rsidR="00592D85" w:rsidRPr="001A5451" w:rsidRDefault="00592D85" w:rsidP="00E46AA4">
      <w:pPr>
        <w:pStyle w:val="Sansinterligne"/>
        <w:numPr>
          <w:ilvl w:val="1"/>
          <w:numId w:val="13"/>
        </w:numPr>
        <w:jc w:val="both"/>
        <w:rPr>
          <w:rFonts w:ascii="Century Gothic" w:eastAsiaTheme="minorHAnsi" w:hAnsi="Century Gothic" w:cs="Calibri"/>
        </w:rPr>
      </w:pPr>
      <w:r w:rsidRPr="001A5451">
        <w:rPr>
          <w:rFonts w:ascii="Century Gothic" w:eastAsiaTheme="minorHAnsi" w:hAnsi="Century Gothic" w:cs="Calibri"/>
        </w:rPr>
        <w:t xml:space="preserve">Le premier jour du mois suivant la date du dépôt du projet constitue la date à partir de laquelle des dépenses éligibles pour les projets qui seront </w:t>
      </w:r>
      <w:r>
        <w:rPr>
          <w:rFonts w:ascii="Century Gothic" w:eastAsiaTheme="minorHAnsi" w:hAnsi="Century Gothic" w:cs="Calibri"/>
        </w:rPr>
        <w:t>sélectionnés</w:t>
      </w:r>
      <w:r w:rsidRPr="001A5451">
        <w:rPr>
          <w:rFonts w:ascii="Century Gothic" w:eastAsiaTheme="minorHAnsi" w:hAnsi="Century Gothic" w:cs="Calibri"/>
        </w:rPr>
        <w:t xml:space="preserve"> peuvent être prises en compte.</w:t>
      </w:r>
    </w:p>
    <w:p w14:paraId="0DBFD7F3" w14:textId="7A954937" w:rsidR="00215C20" w:rsidRPr="00215C20" w:rsidRDefault="00215C20" w:rsidP="00E46AA4">
      <w:pPr>
        <w:pStyle w:val="Sansinterligne"/>
        <w:numPr>
          <w:ilvl w:val="0"/>
          <w:numId w:val="13"/>
        </w:numPr>
        <w:jc w:val="both"/>
        <w:rPr>
          <w:rFonts w:ascii="Century Gothic" w:eastAsiaTheme="minorHAnsi" w:hAnsi="Century Gothic" w:cs="Calibri"/>
        </w:rPr>
      </w:pPr>
      <w:r w:rsidRPr="00200ECD">
        <w:rPr>
          <w:rFonts w:ascii="Century Gothic" w:eastAsiaTheme="minorHAnsi" w:hAnsi="Century Gothic" w:cs="Calibri"/>
        </w:rPr>
        <w:t>Octobre</w:t>
      </w:r>
      <w:r w:rsidRPr="00215C20">
        <w:rPr>
          <w:rFonts w:ascii="Century Gothic" w:eastAsiaTheme="minorHAnsi" w:hAnsi="Century Gothic" w:cs="Calibri"/>
        </w:rPr>
        <w:t xml:space="preserve"> 2023 : sélection </w:t>
      </w:r>
      <w:r w:rsidR="00E40C39">
        <w:rPr>
          <w:rFonts w:ascii="Century Gothic" w:eastAsiaTheme="minorHAnsi" w:hAnsi="Century Gothic" w:cs="Calibri"/>
        </w:rPr>
        <w:t xml:space="preserve">par le Gouvernement </w:t>
      </w:r>
      <w:r w:rsidRPr="00215C20">
        <w:rPr>
          <w:rFonts w:ascii="Century Gothic" w:eastAsiaTheme="minorHAnsi" w:hAnsi="Century Gothic" w:cs="Calibri"/>
        </w:rPr>
        <w:t>des projets retenus</w:t>
      </w:r>
    </w:p>
    <w:p w14:paraId="119F27A9" w14:textId="75367009" w:rsidR="00215C20" w:rsidRPr="00215C20" w:rsidRDefault="00215C20" w:rsidP="00E46AA4">
      <w:pPr>
        <w:pStyle w:val="Sansinterligne"/>
        <w:numPr>
          <w:ilvl w:val="0"/>
          <w:numId w:val="13"/>
        </w:numPr>
        <w:jc w:val="both"/>
        <w:rPr>
          <w:rFonts w:ascii="Century Gothic" w:eastAsiaTheme="minorHAnsi" w:hAnsi="Century Gothic" w:cs="Calibri"/>
        </w:rPr>
      </w:pPr>
      <w:r w:rsidRPr="00215C20">
        <w:rPr>
          <w:rFonts w:ascii="Century Gothic" w:eastAsiaTheme="minorHAnsi" w:hAnsi="Century Gothic" w:cs="Calibri"/>
        </w:rPr>
        <w:t>Fin 2023 </w:t>
      </w:r>
      <w:r w:rsidR="00350DDA">
        <w:rPr>
          <w:rFonts w:ascii="Century Gothic" w:eastAsiaTheme="minorHAnsi" w:hAnsi="Century Gothic" w:cs="Calibri"/>
        </w:rPr>
        <w:t xml:space="preserve">au plus tard </w:t>
      </w:r>
      <w:r w:rsidRPr="00215C20">
        <w:rPr>
          <w:rFonts w:ascii="Century Gothic" w:eastAsiaTheme="minorHAnsi" w:hAnsi="Century Gothic" w:cs="Calibri"/>
        </w:rPr>
        <w:t xml:space="preserve">: lancement des projets. </w:t>
      </w:r>
    </w:p>
    <w:p w14:paraId="3D84BF61" w14:textId="77777777" w:rsidR="00215C20" w:rsidRPr="00215C20" w:rsidRDefault="00215C20" w:rsidP="003B5960">
      <w:pPr>
        <w:pStyle w:val="Sansinterligne"/>
        <w:jc w:val="both"/>
        <w:rPr>
          <w:rFonts w:ascii="Century Gothic" w:eastAsiaTheme="minorHAnsi" w:hAnsi="Century Gothic" w:cs="Calibri"/>
        </w:rPr>
      </w:pPr>
    </w:p>
    <w:p w14:paraId="640A3A93" w14:textId="418BD8CF" w:rsidR="005F72F3" w:rsidRPr="00215C20" w:rsidRDefault="005F72F3" w:rsidP="003B5960">
      <w:pPr>
        <w:pStyle w:val="Sansinterligne"/>
        <w:jc w:val="both"/>
        <w:rPr>
          <w:rFonts w:ascii="Century Gothic" w:eastAsiaTheme="minorHAnsi" w:hAnsi="Century Gothic" w:cs="Calibri"/>
        </w:rPr>
      </w:pPr>
      <w:r w:rsidRPr="00215C20">
        <w:rPr>
          <w:rFonts w:ascii="Century Gothic" w:eastAsiaTheme="minorHAnsi" w:hAnsi="Century Gothic" w:cs="Calibri"/>
        </w:rPr>
        <w:t>Le calendrier faisant foi est celui se trouvant sur le site de l’Agence</w:t>
      </w:r>
      <w:r w:rsidR="00C257F5" w:rsidRPr="00215C20">
        <w:rPr>
          <w:rFonts w:ascii="Century Gothic" w:eastAsiaTheme="minorHAnsi" w:hAnsi="Century Gothic" w:cs="Calibri"/>
        </w:rPr>
        <w:t xml:space="preserve"> wallonne de l’Air et du Climat</w:t>
      </w:r>
      <w:r w:rsidR="00744FBE" w:rsidRPr="00215C20">
        <w:rPr>
          <w:rFonts w:ascii="Century Gothic" w:eastAsiaTheme="minorHAnsi" w:hAnsi="Century Gothic" w:cs="Calibri"/>
        </w:rPr>
        <w:t xml:space="preserve"> (</w:t>
      </w:r>
      <w:hyperlink r:id="rId11" w:history="1">
        <w:r w:rsidR="003B5960" w:rsidRPr="00B017F8">
          <w:rPr>
            <w:rStyle w:val="Lienhypertexte"/>
            <w:rFonts w:ascii="Century Gothic" w:eastAsiaTheme="minorHAnsi" w:hAnsi="Century Gothic" w:cs="Calibri"/>
          </w:rPr>
          <w:t>www.awac.be</w:t>
        </w:r>
      </w:hyperlink>
      <w:r w:rsidR="00744FBE" w:rsidRPr="00215C20">
        <w:rPr>
          <w:rFonts w:ascii="Century Gothic" w:eastAsiaTheme="minorHAnsi" w:hAnsi="Century Gothic" w:cs="Calibri"/>
        </w:rPr>
        <w:t>).</w:t>
      </w:r>
    </w:p>
    <w:p w14:paraId="4DD605D4" w14:textId="3163AF35" w:rsidR="00FE3B79" w:rsidRDefault="00FE3B79" w:rsidP="003B5960">
      <w:pPr>
        <w:jc w:val="both"/>
      </w:pPr>
    </w:p>
    <w:p w14:paraId="1E6CD9C4" w14:textId="77777777" w:rsidR="00215C20" w:rsidRDefault="00215C20" w:rsidP="003B5960">
      <w:pPr>
        <w:jc w:val="both"/>
        <w:rPr>
          <w:u w:val="single"/>
        </w:rPr>
      </w:pPr>
    </w:p>
    <w:p w14:paraId="13C3FA5E" w14:textId="77777777" w:rsidR="00D945E6" w:rsidRDefault="00D945E6" w:rsidP="003B5960">
      <w:pPr>
        <w:jc w:val="both"/>
        <w:rPr>
          <w:u w:val="single"/>
        </w:rPr>
      </w:pPr>
    </w:p>
    <w:p w14:paraId="2A29A3A6" w14:textId="77777777" w:rsidR="00D945E6" w:rsidRDefault="00D945E6" w:rsidP="003B5960">
      <w:pPr>
        <w:jc w:val="both"/>
        <w:rPr>
          <w:u w:val="single"/>
        </w:rPr>
      </w:pPr>
    </w:p>
    <w:p w14:paraId="05095A06" w14:textId="77777777" w:rsidR="00D945E6" w:rsidRDefault="00D945E6" w:rsidP="003B5960">
      <w:pPr>
        <w:jc w:val="both"/>
        <w:rPr>
          <w:u w:val="single"/>
        </w:rPr>
      </w:pPr>
    </w:p>
    <w:p w14:paraId="2F7B7B0D" w14:textId="77777777" w:rsidR="0023311A" w:rsidRPr="00070D20" w:rsidRDefault="0023311A" w:rsidP="00E46AA4">
      <w:pPr>
        <w:pStyle w:val="Paragraphedeliste"/>
        <w:numPr>
          <w:ilvl w:val="0"/>
          <w:numId w:val="14"/>
        </w:numPr>
        <w:ind w:left="284" w:hanging="284"/>
        <w:jc w:val="both"/>
        <w:rPr>
          <w:b/>
          <w:bCs/>
          <w:u w:val="single"/>
        </w:rPr>
      </w:pPr>
      <w:r w:rsidRPr="00070D20">
        <w:rPr>
          <w:b/>
          <w:bCs/>
          <w:u w:val="single"/>
        </w:rPr>
        <w:t>Modalités de financement</w:t>
      </w:r>
    </w:p>
    <w:p w14:paraId="2F2C653C" w14:textId="77777777" w:rsidR="0023311A" w:rsidRDefault="0023311A" w:rsidP="0023311A">
      <w:pPr>
        <w:pStyle w:val="Corpsdetexte"/>
        <w:spacing w:before="9"/>
        <w:rPr>
          <w:b/>
          <w:sz w:val="12"/>
        </w:rPr>
      </w:pPr>
    </w:p>
    <w:p w14:paraId="55347B86" w14:textId="0ACAAF50" w:rsidR="0023311A" w:rsidRDefault="0023311A" w:rsidP="00070D20">
      <w:pPr>
        <w:pStyle w:val="Sansinterligne"/>
        <w:jc w:val="both"/>
        <w:rPr>
          <w:rFonts w:ascii="Century Gothic" w:eastAsiaTheme="minorHAnsi" w:hAnsi="Century Gothic" w:cs="Calibri"/>
        </w:rPr>
      </w:pPr>
      <w:r w:rsidRPr="00070D20">
        <w:rPr>
          <w:rFonts w:ascii="Century Gothic" w:eastAsiaTheme="minorHAnsi" w:hAnsi="Century Gothic" w:cs="Calibri"/>
        </w:rPr>
        <w:t>Les modalités selon lesquelles seront octroyées les aides, de même que l’intensité et la définition des dépenses admissibles sont celles définies dans le Règlement général d'exemption par catégorie (</w:t>
      </w:r>
      <w:r w:rsidR="00046A3C" w:rsidRPr="00070D20">
        <w:rPr>
          <w:rFonts w:ascii="Century Gothic" w:eastAsiaTheme="minorHAnsi" w:hAnsi="Century Gothic" w:cs="Calibri"/>
        </w:rPr>
        <w:t>RGEC ;</w:t>
      </w:r>
      <w:r w:rsidRPr="00070D20">
        <w:rPr>
          <w:rFonts w:ascii="Century Gothic" w:eastAsiaTheme="minorHAnsi" w:hAnsi="Century Gothic" w:cs="Calibri"/>
        </w:rPr>
        <w:t xml:space="preserve"> section 4).</w:t>
      </w:r>
    </w:p>
    <w:p w14:paraId="2FA8C7FD" w14:textId="77777777" w:rsidR="006757DD" w:rsidRDefault="006757DD" w:rsidP="00070D20">
      <w:pPr>
        <w:pStyle w:val="Sansinterligne"/>
        <w:jc w:val="both"/>
        <w:rPr>
          <w:rFonts w:ascii="Century Gothic" w:eastAsiaTheme="minorHAnsi" w:hAnsi="Century Gothic" w:cs="Calibri"/>
        </w:rPr>
      </w:pPr>
    </w:p>
    <w:p w14:paraId="7BBE3AC8" w14:textId="3EC127EB" w:rsidR="006B68D5" w:rsidRPr="006757DD" w:rsidRDefault="003C3098" w:rsidP="003C3098">
      <w:pPr>
        <w:pStyle w:val="Sansinterligne"/>
        <w:jc w:val="both"/>
        <w:rPr>
          <w:rFonts w:ascii="Century Gothic" w:eastAsiaTheme="minorHAnsi" w:hAnsi="Century Gothic" w:cs="Calibri"/>
        </w:rPr>
      </w:pPr>
      <w:proofErr w:type="spellStart"/>
      <w:r w:rsidRPr="00AD2A97">
        <w:rPr>
          <w:rFonts w:ascii="Century Gothic" w:eastAsiaTheme="minorHAnsi" w:hAnsi="Century Gothic" w:cs="Calibri"/>
          <w:lang w:val="en-US"/>
        </w:rPr>
        <w:t>L’annexe</w:t>
      </w:r>
      <w:proofErr w:type="spellEnd"/>
      <w:r w:rsidRPr="00AD2A97">
        <w:rPr>
          <w:rFonts w:ascii="Century Gothic" w:eastAsiaTheme="minorHAnsi" w:hAnsi="Century Gothic" w:cs="Calibri"/>
          <w:lang w:val="en-US"/>
        </w:rPr>
        <w:t xml:space="preserve"> </w:t>
      </w:r>
      <w:r w:rsidR="00EC4CA4" w:rsidRPr="00AD2A97">
        <w:rPr>
          <w:rFonts w:ascii="Century Gothic" w:eastAsiaTheme="minorHAnsi" w:hAnsi="Century Gothic" w:cs="Calibri"/>
          <w:lang w:val="en-US"/>
        </w:rPr>
        <w:t xml:space="preserve">à Communication de la Commission </w:t>
      </w:r>
      <w:proofErr w:type="spellStart"/>
      <w:r w:rsidR="00EC4CA4" w:rsidRPr="00AD2A97">
        <w:rPr>
          <w:rFonts w:ascii="Century Gothic" w:eastAsiaTheme="minorHAnsi" w:hAnsi="Century Gothic" w:cs="Calibri"/>
          <w:lang w:val="en-US"/>
        </w:rPr>
        <w:t>européenne</w:t>
      </w:r>
      <w:proofErr w:type="spellEnd"/>
      <w:r w:rsidR="00EC4CA4" w:rsidRPr="00AD2A97">
        <w:rPr>
          <w:rFonts w:ascii="Century Gothic" w:eastAsiaTheme="minorHAnsi" w:hAnsi="Century Gothic" w:cs="Calibri"/>
          <w:lang w:val="en-US"/>
        </w:rPr>
        <w:t xml:space="preserve"> </w:t>
      </w:r>
      <w:proofErr w:type="spellStart"/>
      <w:r w:rsidR="00EC4CA4" w:rsidRPr="00AD2A97">
        <w:rPr>
          <w:rFonts w:ascii="Century Gothic" w:eastAsiaTheme="minorHAnsi" w:hAnsi="Century Gothic" w:cs="Calibri"/>
          <w:lang w:val="en-US"/>
        </w:rPr>
        <w:t>intitulée</w:t>
      </w:r>
      <w:proofErr w:type="spellEnd"/>
      <w:r w:rsidR="00EC4CA4" w:rsidRPr="00AD2A97">
        <w:rPr>
          <w:rFonts w:ascii="Century Gothic" w:eastAsiaTheme="minorHAnsi" w:hAnsi="Century Gothic" w:cs="Calibri"/>
          <w:lang w:val="en-US"/>
        </w:rPr>
        <w:t xml:space="preserve"> “</w:t>
      </w:r>
      <w:r w:rsidRPr="00724363">
        <w:rPr>
          <w:rFonts w:ascii="Century Gothic" w:eastAsiaTheme="minorHAnsi" w:hAnsi="Century Gothic" w:cs="Calibri"/>
          <w:i/>
          <w:iCs/>
          <w:lang w:val="en-US"/>
        </w:rPr>
        <w:t>Approval of the content of a draft for a Commission Regulation amending Regulation (EU) No 651/2014 declaring certain categories of aid compatible with the internal market in application of Articles 107 and 108 of the Treaty and Regulation (EU) 2022/2473 declaring certain categories of aid to undertakings active in the production, processing and marketing of fishery and aquaculture products compatible with the internal market in application of Articles 107 and 108 of the Treaty</w:t>
      </w:r>
      <w:r w:rsidR="00EC4CA4" w:rsidRPr="00AD2A97">
        <w:rPr>
          <w:rFonts w:ascii="Century Gothic" w:eastAsiaTheme="minorHAnsi" w:hAnsi="Century Gothic" w:cs="Calibri"/>
          <w:lang w:val="en-US"/>
        </w:rPr>
        <w:t xml:space="preserve">” a </w:t>
      </w:r>
      <w:proofErr w:type="spellStart"/>
      <w:r w:rsidR="00EC4CA4" w:rsidRPr="00AD2A97">
        <w:rPr>
          <w:rFonts w:ascii="Century Gothic" w:eastAsiaTheme="minorHAnsi" w:hAnsi="Century Gothic" w:cs="Calibri"/>
          <w:lang w:val="en-US"/>
        </w:rPr>
        <w:t>été</w:t>
      </w:r>
      <w:proofErr w:type="spellEnd"/>
      <w:r w:rsidR="00EC4CA4" w:rsidRPr="00AD2A97">
        <w:rPr>
          <w:rFonts w:ascii="Century Gothic" w:eastAsiaTheme="minorHAnsi" w:hAnsi="Century Gothic" w:cs="Calibri"/>
          <w:lang w:val="en-US"/>
        </w:rPr>
        <w:t xml:space="preserve"> </w:t>
      </w:r>
      <w:proofErr w:type="spellStart"/>
      <w:r w:rsidR="00EC4CA4" w:rsidRPr="00AD2A97">
        <w:rPr>
          <w:rFonts w:ascii="Century Gothic" w:eastAsiaTheme="minorHAnsi" w:hAnsi="Century Gothic" w:cs="Calibri"/>
          <w:lang w:val="en-US"/>
        </w:rPr>
        <w:t>adoptée</w:t>
      </w:r>
      <w:proofErr w:type="spellEnd"/>
      <w:r w:rsidR="00EC4CA4" w:rsidRPr="00AD2A97">
        <w:rPr>
          <w:rFonts w:ascii="Century Gothic" w:eastAsiaTheme="minorHAnsi" w:hAnsi="Century Gothic" w:cs="Calibri"/>
          <w:lang w:val="en-US"/>
        </w:rPr>
        <w:t xml:space="preserve"> le </w:t>
      </w:r>
      <w:r w:rsidR="006757DD" w:rsidRPr="00AD2A97">
        <w:rPr>
          <w:rFonts w:ascii="Century Gothic" w:eastAsiaTheme="minorHAnsi" w:hAnsi="Century Gothic" w:cs="Calibri"/>
          <w:lang w:val="en-US"/>
        </w:rPr>
        <w:t xml:space="preserve">9 mars 2023. </w:t>
      </w:r>
      <w:r w:rsidR="008521D4">
        <w:rPr>
          <w:rFonts w:ascii="Century Gothic" w:eastAsiaTheme="minorHAnsi" w:hAnsi="Century Gothic" w:cs="Calibri"/>
        </w:rPr>
        <w:t>Le nouveau RGEC est entré en vigueur le 1</w:t>
      </w:r>
      <w:r w:rsidR="008521D4" w:rsidRPr="008521D4">
        <w:rPr>
          <w:rFonts w:ascii="Century Gothic" w:eastAsiaTheme="minorHAnsi" w:hAnsi="Century Gothic" w:cs="Calibri"/>
          <w:vertAlign w:val="superscript"/>
        </w:rPr>
        <w:t>er</w:t>
      </w:r>
      <w:r w:rsidR="008521D4">
        <w:rPr>
          <w:rFonts w:ascii="Century Gothic" w:eastAsiaTheme="minorHAnsi" w:hAnsi="Century Gothic" w:cs="Calibri"/>
        </w:rPr>
        <w:t xml:space="preserve"> juillet 2023.</w:t>
      </w:r>
    </w:p>
    <w:p w14:paraId="59739D84" w14:textId="77777777" w:rsidR="0023311A" w:rsidRDefault="0023311A" w:rsidP="0023311A">
      <w:pPr>
        <w:pStyle w:val="Sansinterligne"/>
        <w:jc w:val="both"/>
        <w:rPr>
          <w:rFonts w:ascii="Century Gothic" w:eastAsiaTheme="minorHAnsi" w:hAnsi="Century Gothic" w:cs="Calibri"/>
        </w:rPr>
      </w:pPr>
      <w:r w:rsidRPr="00070D20">
        <w:rPr>
          <w:rFonts w:ascii="Century Gothic" w:eastAsiaTheme="minorHAnsi" w:hAnsi="Century Gothic" w:cs="Calibri"/>
        </w:rPr>
        <w:t>Pour les activités de développement expérimental, l’intensité de la subvention, exprimée en pourcentages des dépenses admissibles, est de :</w:t>
      </w:r>
    </w:p>
    <w:p w14:paraId="6E7A2E04" w14:textId="3F049487" w:rsidR="009C1CBF" w:rsidRPr="00070D20" w:rsidRDefault="009C1CBF" w:rsidP="00E46AA4">
      <w:pPr>
        <w:pStyle w:val="Sansinterligne"/>
        <w:numPr>
          <w:ilvl w:val="0"/>
          <w:numId w:val="13"/>
        </w:numPr>
        <w:jc w:val="both"/>
        <w:rPr>
          <w:rFonts w:ascii="Century Gothic" w:eastAsiaTheme="minorHAnsi" w:hAnsi="Century Gothic" w:cs="Calibri"/>
        </w:rPr>
      </w:pPr>
      <w:r w:rsidRPr="00070D20">
        <w:rPr>
          <w:rFonts w:ascii="Century Gothic" w:eastAsiaTheme="minorHAnsi" w:hAnsi="Century Gothic" w:cs="Calibri"/>
        </w:rPr>
        <w:t>Taux de base pour les entreprises : 25% des frais de recherche subventionnés</w:t>
      </w:r>
    </w:p>
    <w:p w14:paraId="604441CB" w14:textId="77777777" w:rsidR="009C1CBF" w:rsidRPr="00070D20" w:rsidRDefault="009C1CBF" w:rsidP="00E46AA4">
      <w:pPr>
        <w:pStyle w:val="Sansinterligne"/>
        <w:numPr>
          <w:ilvl w:val="1"/>
          <w:numId w:val="13"/>
        </w:numPr>
        <w:jc w:val="both"/>
        <w:rPr>
          <w:rFonts w:ascii="Century Gothic" w:eastAsiaTheme="minorHAnsi" w:hAnsi="Century Gothic" w:cs="Calibri"/>
        </w:rPr>
      </w:pPr>
      <w:r w:rsidRPr="00070D20">
        <w:rPr>
          <w:rFonts w:ascii="Century Gothic" w:eastAsiaTheme="minorHAnsi" w:hAnsi="Century Gothic" w:cs="Calibri"/>
        </w:rPr>
        <w:t>Majoré de 10% si c’est une moyenne entreprise (ME)</w:t>
      </w:r>
    </w:p>
    <w:p w14:paraId="359CE9C7" w14:textId="77777777" w:rsidR="009C1CBF" w:rsidRPr="00070D20" w:rsidRDefault="009C1CBF" w:rsidP="00E46AA4">
      <w:pPr>
        <w:pStyle w:val="Sansinterligne"/>
        <w:numPr>
          <w:ilvl w:val="1"/>
          <w:numId w:val="13"/>
        </w:numPr>
        <w:jc w:val="both"/>
        <w:rPr>
          <w:rFonts w:ascii="Century Gothic" w:eastAsiaTheme="minorHAnsi" w:hAnsi="Century Gothic" w:cs="Calibri"/>
        </w:rPr>
      </w:pPr>
      <w:r w:rsidRPr="00070D20">
        <w:rPr>
          <w:rFonts w:ascii="Century Gothic" w:eastAsiaTheme="minorHAnsi" w:hAnsi="Century Gothic" w:cs="Calibri"/>
        </w:rPr>
        <w:t>Majoré de 20% si c’est une petite entreprise (PE)</w:t>
      </w:r>
    </w:p>
    <w:p w14:paraId="5FC159BF" w14:textId="77777777" w:rsidR="009C1CBF" w:rsidRPr="00070D20" w:rsidRDefault="009C1CBF" w:rsidP="00E46AA4">
      <w:pPr>
        <w:pStyle w:val="Sansinterligne"/>
        <w:numPr>
          <w:ilvl w:val="1"/>
          <w:numId w:val="13"/>
        </w:numPr>
        <w:jc w:val="both"/>
        <w:rPr>
          <w:rFonts w:ascii="Century Gothic" w:eastAsiaTheme="minorHAnsi" w:hAnsi="Century Gothic" w:cs="Calibri"/>
        </w:rPr>
      </w:pPr>
      <w:r w:rsidRPr="00070D20">
        <w:rPr>
          <w:rFonts w:ascii="Century Gothic" w:eastAsiaTheme="minorHAnsi" w:hAnsi="Century Gothic" w:cs="Calibri"/>
        </w:rPr>
        <w:t>Majorés de 10% si participent 2 entreprises au minimum au projet (en partenariat)</w:t>
      </w:r>
    </w:p>
    <w:p w14:paraId="179CE827" w14:textId="77777777" w:rsidR="009C1CBF" w:rsidRPr="00070D20" w:rsidRDefault="009C1CBF" w:rsidP="00E46AA4">
      <w:pPr>
        <w:pStyle w:val="Sansinterligne"/>
        <w:numPr>
          <w:ilvl w:val="1"/>
          <w:numId w:val="13"/>
        </w:numPr>
        <w:jc w:val="both"/>
        <w:rPr>
          <w:rFonts w:ascii="Century Gothic" w:eastAsiaTheme="minorHAnsi" w:hAnsi="Century Gothic" w:cs="Calibri"/>
        </w:rPr>
      </w:pPr>
      <w:r w:rsidRPr="00070D20">
        <w:rPr>
          <w:rFonts w:ascii="Century Gothic" w:eastAsiaTheme="minorHAnsi" w:hAnsi="Century Gothic" w:cs="Calibri"/>
        </w:rPr>
        <w:t xml:space="preserve">Majorés de 15% si </w:t>
      </w:r>
    </w:p>
    <w:p w14:paraId="7982EBFE" w14:textId="77777777" w:rsidR="009C1CBF" w:rsidRPr="00070D20" w:rsidRDefault="009C1CBF" w:rsidP="00E46AA4">
      <w:pPr>
        <w:pStyle w:val="Sansinterligne"/>
        <w:numPr>
          <w:ilvl w:val="2"/>
          <w:numId w:val="13"/>
        </w:numPr>
        <w:jc w:val="both"/>
        <w:rPr>
          <w:rFonts w:ascii="Century Gothic" w:eastAsiaTheme="minorHAnsi" w:hAnsi="Century Gothic" w:cs="Calibri"/>
        </w:rPr>
      </w:pPr>
      <w:proofErr w:type="gramStart"/>
      <w:r w:rsidRPr="00070D20">
        <w:rPr>
          <w:rFonts w:ascii="Century Gothic" w:eastAsiaTheme="minorHAnsi" w:hAnsi="Century Gothic" w:cs="Calibri"/>
        </w:rPr>
        <w:t>le</w:t>
      </w:r>
      <w:proofErr w:type="gramEnd"/>
      <w:r w:rsidRPr="00070D20">
        <w:rPr>
          <w:rFonts w:ascii="Century Gothic" w:eastAsiaTheme="minorHAnsi" w:hAnsi="Century Gothic" w:cs="Calibri"/>
        </w:rPr>
        <w:t xml:space="preserve"> projet repose sur une collaboration effective entre une entreprise et un ou plusieurs organismes de recherche et de diffusion des connaissances, et ce ou ces derniers supportent au moins 10 % des coûts admissibles et ont le droit de publier les résultats de leurs propres recherches; </w:t>
      </w:r>
    </w:p>
    <w:p w14:paraId="2EA46895" w14:textId="77777777" w:rsidR="009C1CBF" w:rsidRDefault="009C1CBF" w:rsidP="00E46AA4">
      <w:pPr>
        <w:pStyle w:val="Sansinterligne"/>
        <w:numPr>
          <w:ilvl w:val="2"/>
          <w:numId w:val="13"/>
        </w:numPr>
        <w:jc w:val="both"/>
        <w:rPr>
          <w:rFonts w:ascii="Century Gothic" w:eastAsiaTheme="minorHAnsi" w:hAnsi="Century Gothic" w:cs="Calibri"/>
        </w:rPr>
      </w:pPr>
      <w:r w:rsidRPr="00070D20">
        <w:rPr>
          <w:rFonts w:ascii="Century Gothic" w:eastAsiaTheme="minorHAnsi" w:hAnsi="Century Gothic" w:cs="Calibri"/>
        </w:rPr>
        <w:t>ou si les résultats du projet sont largement diffusés au moyen de conférences, de publications, de dépôts en libre accès ou de logiciels gratuits ou libres.</w:t>
      </w:r>
    </w:p>
    <w:p w14:paraId="34164E5C" w14:textId="77777777" w:rsidR="004E0AA7" w:rsidRPr="00070D20" w:rsidRDefault="004E0AA7" w:rsidP="004E0AA7">
      <w:pPr>
        <w:pStyle w:val="Sansinterligne"/>
        <w:ind w:left="2160"/>
        <w:jc w:val="both"/>
        <w:rPr>
          <w:rFonts w:ascii="Century Gothic" w:eastAsiaTheme="minorHAnsi" w:hAnsi="Century Gothic" w:cs="Calibri"/>
        </w:rPr>
      </w:pPr>
    </w:p>
    <w:p w14:paraId="17386B48" w14:textId="361CF63C" w:rsidR="0023311A" w:rsidRPr="00070D20" w:rsidRDefault="0023311A" w:rsidP="00070D20">
      <w:pPr>
        <w:pStyle w:val="Sansinterligne"/>
        <w:jc w:val="both"/>
        <w:rPr>
          <w:rFonts w:ascii="Century Gothic" w:eastAsiaTheme="minorHAnsi" w:hAnsi="Century Gothic" w:cs="Calibri"/>
        </w:rPr>
      </w:pPr>
      <w:r w:rsidRPr="00070D20">
        <w:rPr>
          <w:rFonts w:ascii="Century Gothic" w:eastAsiaTheme="minorHAnsi" w:hAnsi="Century Gothic" w:cs="Calibri"/>
        </w:rPr>
        <w:t>Sauf dérogation, en accord avec le RGEC, ces taux seront également applicables à tous les autres types de partenaires. Les universités et centres de recherche seront financées selon les taux habituels dans la limite de la conformité avec le RGEC. En cas de non- conformité, les taux ‘entreprises’ seront appliqués.</w:t>
      </w:r>
    </w:p>
    <w:p w14:paraId="6A787535" w14:textId="77777777" w:rsidR="0023311A" w:rsidRPr="00070D20" w:rsidRDefault="0023311A" w:rsidP="00070D20">
      <w:pPr>
        <w:pStyle w:val="Sansinterligne"/>
        <w:jc w:val="both"/>
        <w:rPr>
          <w:rFonts w:ascii="Century Gothic" w:eastAsiaTheme="minorHAnsi" w:hAnsi="Century Gothic" w:cs="Calibri"/>
        </w:rPr>
      </w:pPr>
    </w:p>
    <w:p w14:paraId="2A355A1B" w14:textId="77777777" w:rsidR="0023311A" w:rsidRPr="00070D20" w:rsidRDefault="0023311A" w:rsidP="00070D20">
      <w:pPr>
        <w:pStyle w:val="Sansinterligne"/>
        <w:jc w:val="both"/>
        <w:rPr>
          <w:rFonts w:ascii="Century Gothic" w:eastAsiaTheme="minorHAnsi" w:hAnsi="Century Gothic" w:cs="Calibri"/>
        </w:rPr>
      </w:pPr>
      <w:r w:rsidRPr="00070D20">
        <w:rPr>
          <w:rFonts w:ascii="Century Gothic" w:eastAsiaTheme="minorHAnsi" w:hAnsi="Century Gothic" w:cs="Calibri"/>
        </w:rPr>
        <w:t>Les subventions sont appelées à couvrir la totalité des frais liés à la réalisation du projet. Il s'agit :</w:t>
      </w:r>
    </w:p>
    <w:p w14:paraId="5BCE8E35" w14:textId="77777777" w:rsidR="0023311A" w:rsidRPr="00070D20" w:rsidRDefault="0023311A" w:rsidP="00E46AA4">
      <w:pPr>
        <w:pStyle w:val="Sansinterligne"/>
        <w:numPr>
          <w:ilvl w:val="0"/>
          <w:numId w:val="15"/>
        </w:numPr>
        <w:jc w:val="both"/>
        <w:rPr>
          <w:rFonts w:ascii="Century Gothic" w:eastAsiaTheme="minorHAnsi" w:hAnsi="Century Gothic" w:cs="Calibri"/>
        </w:rPr>
      </w:pPr>
      <w:r w:rsidRPr="00070D20">
        <w:rPr>
          <w:rFonts w:ascii="Century Gothic" w:eastAsiaTheme="minorHAnsi" w:hAnsi="Century Gothic" w:cs="Calibri"/>
        </w:rPr>
        <w:t>des dépenses de personnel relatives aux chercheurs et techniciens (sur base de barèmes ;</w:t>
      </w:r>
    </w:p>
    <w:p w14:paraId="1E325D46" w14:textId="77777777" w:rsidR="0023311A" w:rsidRPr="00070D20" w:rsidRDefault="0023311A" w:rsidP="00E46AA4">
      <w:pPr>
        <w:pStyle w:val="Sansinterligne"/>
        <w:numPr>
          <w:ilvl w:val="0"/>
          <w:numId w:val="15"/>
        </w:numPr>
        <w:jc w:val="both"/>
        <w:rPr>
          <w:rFonts w:ascii="Century Gothic" w:eastAsiaTheme="minorHAnsi" w:hAnsi="Century Gothic" w:cs="Calibri"/>
        </w:rPr>
      </w:pPr>
      <w:r w:rsidRPr="00070D20">
        <w:rPr>
          <w:rFonts w:ascii="Century Gothic" w:eastAsiaTheme="minorHAnsi" w:hAnsi="Century Gothic" w:cs="Calibri"/>
        </w:rPr>
        <w:t>du coût des prototypes et démonstrateurs ;</w:t>
      </w:r>
    </w:p>
    <w:p w14:paraId="0D310DFD" w14:textId="77777777" w:rsidR="0023311A" w:rsidRPr="00070D20" w:rsidRDefault="0023311A" w:rsidP="00E46AA4">
      <w:pPr>
        <w:pStyle w:val="Sansinterligne"/>
        <w:numPr>
          <w:ilvl w:val="0"/>
          <w:numId w:val="15"/>
        </w:numPr>
        <w:jc w:val="both"/>
        <w:rPr>
          <w:rFonts w:ascii="Century Gothic" w:eastAsiaTheme="minorHAnsi" w:hAnsi="Century Gothic" w:cs="Calibri"/>
        </w:rPr>
      </w:pPr>
      <w:r w:rsidRPr="00070D20">
        <w:rPr>
          <w:rFonts w:ascii="Century Gothic" w:eastAsiaTheme="minorHAnsi" w:hAnsi="Century Gothic" w:cs="Calibri"/>
        </w:rPr>
        <w:t>des coûts et pertes de production ;</w:t>
      </w:r>
    </w:p>
    <w:p w14:paraId="2DF2684C" w14:textId="77777777" w:rsidR="0023311A" w:rsidRPr="00070D20" w:rsidRDefault="0023311A" w:rsidP="00E46AA4">
      <w:pPr>
        <w:pStyle w:val="Sansinterligne"/>
        <w:numPr>
          <w:ilvl w:val="0"/>
          <w:numId w:val="15"/>
        </w:numPr>
        <w:jc w:val="both"/>
        <w:rPr>
          <w:rFonts w:ascii="Century Gothic" w:eastAsiaTheme="minorHAnsi" w:hAnsi="Century Gothic" w:cs="Calibri"/>
        </w:rPr>
      </w:pPr>
      <w:r w:rsidRPr="00070D20">
        <w:rPr>
          <w:rFonts w:ascii="Century Gothic" w:eastAsiaTheme="minorHAnsi" w:hAnsi="Century Gothic" w:cs="Calibri"/>
        </w:rPr>
        <w:t>des dépenses de sous-traitance ;</w:t>
      </w:r>
    </w:p>
    <w:p w14:paraId="4797E6BA" w14:textId="77777777" w:rsidR="0023311A" w:rsidRDefault="0023311A" w:rsidP="00E46AA4">
      <w:pPr>
        <w:pStyle w:val="Sansinterligne"/>
        <w:numPr>
          <w:ilvl w:val="0"/>
          <w:numId w:val="15"/>
        </w:numPr>
        <w:jc w:val="both"/>
        <w:rPr>
          <w:rFonts w:ascii="Century Gothic" w:eastAsiaTheme="minorHAnsi" w:hAnsi="Century Gothic" w:cs="Calibri"/>
        </w:rPr>
      </w:pPr>
      <w:r w:rsidRPr="00070D20">
        <w:rPr>
          <w:rFonts w:ascii="Century Gothic" w:eastAsiaTheme="minorHAnsi" w:hAnsi="Century Gothic" w:cs="Calibri"/>
        </w:rPr>
        <w:t>de frais forfaitaires pour les dépenses justifiées n’atteignant pas un seuil défini et les autres types de dépenses.</w:t>
      </w:r>
    </w:p>
    <w:p w14:paraId="1D82156D" w14:textId="77777777" w:rsidR="004E0AA7" w:rsidRPr="00070D20" w:rsidRDefault="004E0AA7" w:rsidP="004E0AA7">
      <w:pPr>
        <w:pStyle w:val="Sansinterligne"/>
        <w:ind w:left="720"/>
        <w:jc w:val="both"/>
        <w:rPr>
          <w:rFonts w:ascii="Century Gothic" w:eastAsiaTheme="minorHAnsi" w:hAnsi="Century Gothic" w:cs="Calibri"/>
        </w:rPr>
      </w:pPr>
    </w:p>
    <w:p w14:paraId="1C3989DC" w14:textId="5D385E45" w:rsidR="009E6108" w:rsidRDefault="0023311A" w:rsidP="0023311A">
      <w:pPr>
        <w:pStyle w:val="Sansinterligne"/>
        <w:jc w:val="both"/>
        <w:rPr>
          <w:rFonts w:ascii="Century Gothic" w:eastAsiaTheme="minorHAnsi" w:hAnsi="Century Gothic" w:cs="Calibri"/>
        </w:rPr>
      </w:pPr>
      <w:r w:rsidRPr="00070D20">
        <w:rPr>
          <w:rFonts w:ascii="Century Gothic" w:eastAsiaTheme="minorHAnsi" w:hAnsi="Century Gothic" w:cs="Calibri"/>
        </w:rPr>
        <w:t>Les dépenses devront être réparties entre les partenaires de manière justifiée et crédible.</w:t>
      </w:r>
    </w:p>
    <w:p w14:paraId="7B45A7EE" w14:textId="28F847D6" w:rsidR="00D945E6" w:rsidRDefault="001229E2" w:rsidP="001229E2">
      <w:pPr>
        <w:jc w:val="both"/>
      </w:pPr>
      <w:r w:rsidRPr="00D8383A">
        <w:t>Le financement est octroyé en trois tranches</w:t>
      </w:r>
      <w:r w:rsidR="00D945E6">
        <w:t xml:space="preserve"> </w:t>
      </w:r>
      <w:r w:rsidRPr="00D8383A">
        <w:t xml:space="preserve">: </w:t>
      </w:r>
    </w:p>
    <w:p w14:paraId="644F3B24" w14:textId="3AABF6FF" w:rsidR="00D945E6" w:rsidRDefault="001229E2" w:rsidP="00D945E6">
      <w:pPr>
        <w:pStyle w:val="Paragraphedeliste"/>
        <w:numPr>
          <w:ilvl w:val="0"/>
          <w:numId w:val="13"/>
        </w:numPr>
        <w:jc w:val="both"/>
      </w:pPr>
      <w:r w:rsidRPr="00D8383A">
        <w:t xml:space="preserve">lors </w:t>
      </w:r>
      <w:r w:rsidR="00D945E6">
        <w:t xml:space="preserve">de la </w:t>
      </w:r>
      <w:r w:rsidR="00E767FE">
        <w:t xml:space="preserve">notification des arrêtés de subvention </w:t>
      </w:r>
      <w:r w:rsidRPr="00D8383A">
        <w:t xml:space="preserve">en 2023 (25%), </w:t>
      </w:r>
    </w:p>
    <w:p w14:paraId="515C5CA4" w14:textId="1459D48A" w:rsidR="00D945E6" w:rsidRDefault="00D945E6" w:rsidP="00D945E6">
      <w:pPr>
        <w:pStyle w:val="Paragraphedeliste"/>
        <w:numPr>
          <w:ilvl w:val="0"/>
          <w:numId w:val="13"/>
        </w:numPr>
        <w:jc w:val="both"/>
      </w:pPr>
      <w:r w:rsidRPr="00D8383A">
        <w:lastRenderedPageBreak/>
        <w:t xml:space="preserve">sur base des déclarations de créances </w:t>
      </w:r>
      <w:r w:rsidR="001229E2" w:rsidRPr="00D8383A">
        <w:t xml:space="preserve">après l’évaluation à mi-parcours des projets en 2025 (37,5%) </w:t>
      </w:r>
    </w:p>
    <w:p w14:paraId="22D8C3A1" w14:textId="25DB7E6D" w:rsidR="001229E2" w:rsidRPr="00350DDA" w:rsidRDefault="00D945E6" w:rsidP="00D945E6">
      <w:pPr>
        <w:pStyle w:val="Paragraphedeliste"/>
        <w:numPr>
          <w:ilvl w:val="0"/>
          <w:numId w:val="13"/>
        </w:numPr>
        <w:jc w:val="both"/>
      </w:pPr>
      <w:r w:rsidRPr="00D8383A">
        <w:t>sur base des déclarations de créances </w:t>
      </w:r>
      <w:r w:rsidR="001229E2" w:rsidRPr="00D8383A">
        <w:t>lors de leur évaluation finale en 2027 (37,5%).</w:t>
      </w:r>
      <w:r w:rsidR="001229E2" w:rsidRPr="00350DDA">
        <w:t xml:space="preserve">   </w:t>
      </w:r>
    </w:p>
    <w:p w14:paraId="0720B42C" w14:textId="77777777" w:rsidR="001229E2" w:rsidRDefault="001229E2" w:rsidP="0023311A">
      <w:pPr>
        <w:pStyle w:val="Sansinterligne"/>
        <w:jc w:val="both"/>
        <w:rPr>
          <w:rFonts w:ascii="Century Gothic" w:eastAsiaTheme="minorHAnsi" w:hAnsi="Century Gothic" w:cs="Calibri"/>
        </w:rPr>
      </w:pPr>
    </w:p>
    <w:p w14:paraId="0529B034" w14:textId="1BAD6872" w:rsidR="008D1B5D" w:rsidRPr="002B15A2" w:rsidRDefault="008D1B5D" w:rsidP="003F1617">
      <w:pPr>
        <w:jc w:val="both"/>
      </w:pPr>
    </w:p>
    <w:p w14:paraId="66433231" w14:textId="5DEDD778" w:rsidR="0047275D" w:rsidRDefault="0047275D" w:rsidP="00E46AA4">
      <w:pPr>
        <w:pStyle w:val="Paragraphedeliste"/>
        <w:numPr>
          <w:ilvl w:val="0"/>
          <w:numId w:val="14"/>
        </w:numPr>
        <w:ind w:left="284" w:hanging="284"/>
        <w:jc w:val="both"/>
        <w:rPr>
          <w:b/>
          <w:bCs/>
          <w:u w:val="single"/>
        </w:rPr>
      </w:pPr>
      <w:r w:rsidRPr="005778BF">
        <w:rPr>
          <w:b/>
          <w:bCs/>
          <w:u w:val="single"/>
        </w:rPr>
        <w:t>Eligibilité</w:t>
      </w:r>
    </w:p>
    <w:p w14:paraId="08700CC2" w14:textId="77777777" w:rsidR="00215C20" w:rsidRPr="005778BF" w:rsidRDefault="00215C20" w:rsidP="00215C20">
      <w:pPr>
        <w:pStyle w:val="Paragraphedeliste"/>
        <w:jc w:val="both"/>
        <w:rPr>
          <w:b/>
          <w:bCs/>
          <w:u w:val="single"/>
        </w:rPr>
      </w:pPr>
    </w:p>
    <w:p w14:paraId="289DCF86" w14:textId="51EAAABD" w:rsidR="0047275D" w:rsidRPr="002B15A2" w:rsidRDefault="001E3E78" w:rsidP="0047275D">
      <w:pPr>
        <w:jc w:val="both"/>
      </w:pPr>
      <w:r>
        <w:t>Un projet</w:t>
      </w:r>
      <w:r w:rsidR="0047275D" w:rsidRPr="002B15A2">
        <w:t xml:space="preserve"> est éligible si les éléments suivants trouvent tous une réponse positive :</w:t>
      </w:r>
    </w:p>
    <w:p w14:paraId="492F0D96" w14:textId="0C81EF15" w:rsidR="0047275D" w:rsidRPr="002B15A2" w:rsidRDefault="0047275D" w:rsidP="00E46AA4">
      <w:pPr>
        <w:pStyle w:val="Paragraphedeliste"/>
        <w:numPr>
          <w:ilvl w:val="0"/>
          <w:numId w:val="4"/>
        </w:numPr>
        <w:jc w:val="both"/>
      </w:pPr>
      <w:r w:rsidRPr="002B15A2">
        <w:t xml:space="preserve">Le promoteur </w:t>
      </w:r>
      <w:r w:rsidR="00215C20">
        <w:t>est une</w:t>
      </w:r>
      <w:r w:rsidRPr="002B15A2">
        <w:t xml:space="preserve"> </w:t>
      </w:r>
      <w:r>
        <w:t>entreprise</w:t>
      </w:r>
      <w:r w:rsidRPr="002B15A2">
        <w:t xml:space="preserve"> </w:t>
      </w:r>
      <w:r w:rsidR="00F07179">
        <w:t>wallonne</w:t>
      </w:r>
      <w:r w:rsidR="00F07179" w:rsidRPr="002B15A2">
        <w:t xml:space="preserve"> </w:t>
      </w:r>
      <w:r w:rsidR="0000757A">
        <w:t xml:space="preserve">(publique ou privée) </w:t>
      </w:r>
      <w:r w:rsidR="00DE365B">
        <w:t xml:space="preserve">c’est-à-dire que </w:t>
      </w:r>
      <w:r w:rsidR="00941859" w:rsidRPr="00941859">
        <w:t>l'entreprise coordinatrice, doit avoir un siège d'exploitation en Wallonie</w:t>
      </w:r>
      <w:r w:rsidR="00941859" w:rsidRPr="002B15A2">
        <w:t xml:space="preserve"> ;</w:t>
      </w:r>
    </w:p>
    <w:p w14:paraId="2D291F64" w14:textId="15D0B6EB" w:rsidR="0047275D" w:rsidRDefault="0047275D" w:rsidP="00E46AA4">
      <w:pPr>
        <w:pStyle w:val="Paragraphedeliste"/>
        <w:numPr>
          <w:ilvl w:val="0"/>
          <w:numId w:val="4"/>
        </w:numPr>
        <w:jc w:val="both"/>
      </w:pPr>
      <w:r w:rsidRPr="002B15A2">
        <w:t>Les partenaires éventuels relèvent d’un centre de recherche agréé</w:t>
      </w:r>
      <w:r w:rsidR="00E0054B">
        <w:t>, d’une université</w:t>
      </w:r>
      <w:r w:rsidRPr="002B15A2">
        <w:t xml:space="preserve"> </w:t>
      </w:r>
      <w:r>
        <w:t>ou d’une autre entreprise</w:t>
      </w:r>
      <w:r w:rsidRPr="002B15A2">
        <w:t xml:space="preserve"> ;</w:t>
      </w:r>
    </w:p>
    <w:p w14:paraId="0B4635D4" w14:textId="0D0F9D68" w:rsidR="00183882" w:rsidRDefault="00183882" w:rsidP="00E46AA4">
      <w:pPr>
        <w:pStyle w:val="Paragraphedeliste"/>
        <w:numPr>
          <w:ilvl w:val="1"/>
          <w:numId w:val="4"/>
        </w:numPr>
        <w:jc w:val="both"/>
      </w:pPr>
      <w:r>
        <w:t>En ordre de paiement : les partenaires doivent être en ordre de paiement vis-à-vis de l'ONSS et de la TVA et doivent être en règle vis-à-vis d'éventuelles dettes envers la Wallonie.</w:t>
      </w:r>
    </w:p>
    <w:p w14:paraId="1F8BAFD4" w14:textId="379D0EC9" w:rsidR="00183882" w:rsidRDefault="00183882" w:rsidP="00E46AA4">
      <w:pPr>
        <w:pStyle w:val="Paragraphedeliste"/>
        <w:numPr>
          <w:ilvl w:val="1"/>
          <w:numId w:val="4"/>
        </w:numPr>
        <w:jc w:val="both"/>
      </w:pPr>
      <w:r>
        <w:t>Les partenaires sont créés au dépôt du projet.</w:t>
      </w:r>
    </w:p>
    <w:p w14:paraId="4CE51921" w14:textId="666F961D" w:rsidR="00183882" w:rsidRDefault="00183882" w:rsidP="00E46AA4">
      <w:pPr>
        <w:pStyle w:val="Paragraphedeliste"/>
        <w:numPr>
          <w:ilvl w:val="1"/>
          <w:numId w:val="4"/>
        </w:numPr>
        <w:jc w:val="both"/>
      </w:pPr>
      <w:r>
        <w:t>Non redondance des aides : le projet présenté (ou une partie de celui-ci) ne peut pas déjà bénéficier ou avoir bénéficié d'une aide publique.</w:t>
      </w:r>
    </w:p>
    <w:p w14:paraId="53EC18F8" w14:textId="767303F3" w:rsidR="00167E38" w:rsidRPr="002B15A2" w:rsidRDefault="00183882" w:rsidP="00E46AA4">
      <w:pPr>
        <w:pStyle w:val="Paragraphedeliste"/>
        <w:numPr>
          <w:ilvl w:val="1"/>
          <w:numId w:val="4"/>
        </w:numPr>
        <w:jc w:val="both"/>
      </w:pPr>
      <w:r>
        <w:t>Originalité du projet : un projet similaire ne peut pas être financé par ailleurs</w:t>
      </w:r>
    </w:p>
    <w:p w14:paraId="1DA60863" w14:textId="4D881A37" w:rsidR="0047275D" w:rsidRPr="003D0989" w:rsidRDefault="0047275D" w:rsidP="00E46AA4">
      <w:pPr>
        <w:pStyle w:val="Paragraphedeliste"/>
        <w:numPr>
          <w:ilvl w:val="0"/>
          <w:numId w:val="4"/>
        </w:numPr>
        <w:jc w:val="both"/>
      </w:pPr>
      <w:r>
        <w:t xml:space="preserve">L’entreprise promoteur du </w:t>
      </w:r>
      <w:r w:rsidRPr="002B15A2">
        <w:t>projet possède</w:t>
      </w:r>
      <w:r>
        <w:t xml:space="preserve">, au moment du dépôt, </w:t>
      </w:r>
      <w:r w:rsidRPr="002B15A2">
        <w:t xml:space="preserve">un siège </w:t>
      </w:r>
      <w:r w:rsidRPr="003D0989">
        <w:t xml:space="preserve">d'exploitation en </w:t>
      </w:r>
      <w:proofErr w:type="gramStart"/>
      <w:r w:rsidRPr="003D0989">
        <w:t>Wallonie;</w:t>
      </w:r>
      <w:proofErr w:type="gramEnd"/>
    </w:p>
    <w:p w14:paraId="059C7544" w14:textId="1C3EC283" w:rsidR="0047275D" w:rsidRPr="00D8383A" w:rsidRDefault="00355E21" w:rsidP="00E46AA4">
      <w:pPr>
        <w:pStyle w:val="Paragraphedeliste"/>
        <w:numPr>
          <w:ilvl w:val="0"/>
          <w:numId w:val="4"/>
        </w:numPr>
        <w:jc w:val="both"/>
      </w:pPr>
      <w:r w:rsidRPr="003D0989">
        <w:t>Le</w:t>
      </w:r>
      <w:r w:rsidR="0047275D" w:rsidRPr="003D0989">
        <w:t xml:space="preserve"> projet </w:t>
      </w:r>
      <w:r w:rsidRPr="003D0989">
        <w:t xml:space="preserve">a </w:t>
      </w:r>
      <w:r w:rsidRPr="00D8383A">
        <w:t>une</w:t>
      </w:r>
      <w:r w:rsidR="0047275D" w:rsidRPr="00D8383A">
        <w:t xml:space="preserve"> durée maximale de </w:t>
      </w:r>
      <w:r w:rsidR="003D0989" w:rsidRPr="00D8383A">
        <w:t>trente-six</w:t>
      </w:r>
      <w:r w:rsidR="003B5960" w:rsidRPr="00D8383A">
        <w:t xml:space="preserve"> </w:t>
      </w:r>
      <w:r w:rsidR="00E615DA" w:rsidRPr="00D8383A">
        <w:t xml:space="preserve">à </w:t>
      </w:r>
      <w:r w:rsidR="003D0989" w:rsidRPr="00D8383A">
        <w:t>quarante-deux</w:t>
      </w:r>
      <w:r w:rsidR="0047275D" w:rsidRPr="00D8383A">
        <w:t xml:space="preserve"> mois ;</w:t>
      </w:r>
    </w:p>
    <w:p w14:paraId="5E4B6720" w14:textId="32AC6759" w:rsidR="0047275D" w:rsidRDefault="0047275D" w:rsidP="00E46AA4">
      <w:pPr>
        <w:pStyle w:val="Paragraphedeliste"/>
        <w:numPr>
          <w:ilvl w:val="0"/>
          <w:numId w:val="4"/>
        </w:numPr>
        <w:jc w:val="both"/>
      </w:pPr>
      <w:r w:rsidRPr="00D8383A">
        <w:t>Un accord de consortium</w:t>
      </w:r>
      <w:r w:rsidR="007A5346">
        <w:t xml:space="preserve"> (cf. </w:t>
      </w:r>
      <w:r w:rsidR="00583BDA">
        <w:t xml:space="preserve">modèle en </w:t>
      </w:r>
      <w:r w:rsidR="007A5346">
        <w:t>annexe)</w:t>
      </w:r>
      <w:r w:rsidRPr="00D8383A">
        <w:t xml:space="preserve"> signé par tous les partenaires est joint </w:t>
      </w:r>
      <w:r w:rsidR="00AD3BD0">
        <w:t>au projet</w:t>
      </w:r>
      <w:r w:rsidRPr="00D8383A">
        <w:t xml:space="preserve"> au moment de son dépôt ;</w:t>
      </w:r>
    </w:p>
    <w:p w14:paraId="6D6D7DC6" w14:textId="197F30C2" w:rsidR="00167E38" w:rsidRPr="00D8383A" w:rsidRDefault="00167E38" w:rsidP="00E46AA4">
      <w:pPr>
        <w:pStyle w:val="Paragraphedeliste"/>
        <w:numPr>
          <w:ilvl w:val="1"/>
          <w:numId w:val="4"/>
        </w:numPr>
        <w:jc w:val="both"/>
      </w:pPr>
      <w:r w:rsidRPr="00167E38">
        <w:t>Réalité du partenariat : un partenariat effectif implique une répartition des rôles en tenant compte des compétences de chaque partenaire, ainsi qu'un accord entre les partenaires pour le partage de la propriété intellectuelle, de la recherche (et du budget de la recherche), de l'exploitation, de la valorisation des résultats et du risque lié à la recherche. Le budget individuel d’un partenaire ou d’un ensemble de partenaires liés ne doit pas excéder 70% du budget total.</w:t>
      </w:r>
    </w:p>
    <w:p w14:paraId="6FCEF62B" w14:textId="38E8B094" w:rsidR="0033171F" w:rsidRDefault="0047275D" w:rsidP="00E46AA4">
      <w:pPr>
        <w:pStyle w:val="Paragraphedeliste"/>
        <w:numPr>
          <w:ilvl w:val="0"/>
          <w:numId w:val="4"/>
        </w:numPr>
        <w:jc w:val="both"/>
      </w:pPr>
      <w:r w:rsidRPr="00D8383A">
        <w:t xml:space="preserve">Le projet n'a pas déjà fait l'objet d'un </w:t>
      </w:r>
      <w:r w:rsidR="003B5960" w:rsidRPr="00D8383A">
        <w:t xml:space="preserve">autre </w:t>
      </w:r>
      <w:r w:rsidRPr="00D8383A">
        <w:t>financement public – déclaration sur l’honneur</w:t>
      </w:r>
      <w:r w:rsidR="0033171F">
        <w:t> ;</w:t>
      </w:r>
    </w:p>
    <w:p w14:paraId="39D95F0F" w14:textId="5A6CE942" w:rsidR="00F24CF1" w:rsidRDefault="0033171F" w:rsidP="00E46AA4">
      <w:pPr>
        <w:pStyle w:val="Paragraphedeliste"/>
        <w:numPr>
          <w:ilvl w:val="0"/>
          <w:numId w:val="4"/>
        </w:numPr>
        <w:jc w:val="both"/>
      </w:pPr>
      <w:r>
        <w:t>Les modalités telles que mentionnées au poin</w:t>
      </w:r>
      <w:r w:rsidR="001E3E78">
        <w:t xml:space="preserve">t du présent appel sont </w:t>
      </w:r>
      <w:r w:rsidR="00D16B3B">
        <w:t>respectées</w:t>
      </w:r>
      <w:r w:rsidR="00F24CF1">
        <w:t> ;</w:t>
      </w:r>
    </w:p>
    <w:p w14:paraId="0DC02406" w14:textId="5D9C1611" w:rsidR="0047275D" w:rsidRPr="00D8383A" w:rsidRDefault="00FB01CA" w:rsidP="00E46AA4">
      <w:pPr>
        <w:pStyle w:val="Paragraphedeliste"/>
        <w:numPr>
          <w:ilvl w:val="0"/>
          <w:numId w:val="4"/>
        </w:numPr>
        <w:jc w:val="both"/>
      </w:pPr>
      <w:r w:rsidRPr="00FB01CA">
        <w:t xml:space="preserve">Les partenaires ne peuvent pas être considérés comme « en difficulté financière » au moment du dépôt du projet (voir </w:t>
      </w:r>
      <w:hyperlink r:id="rId12" w:history="1">
        <w:r w:rsidRPr="00D16B3B">
          <w:rPr>
            <w:rStyle w:val="Lienhypertexte"/>
          </w:rPr>
          <w:t>Portail de la Recherche et des Technologies en Wallonie : Analyse financière</w:t>
        </w:r>
      </w:hyperlink>
      <w:r w:rsidRPr="00FB01CA">
        <w:t>)</w:t>
      </w:r>
      <w:r w:rsidR="0047275D" w:rsidRPr="00D8383A">
        <w:t>.</w:t>
      </w:r>
    </w:p>
    <w:p w14:paraId="775C4AC4" w14:textId="288D4B6F" w:rsidR="0047275D" w:rsidRDefault="0047275D" w:rsidP="00FE3B79">
      <w:pPr>
        <w:jc w:val="both"/>
        <w:rPr>
          <w:b/>
          <w:bCs/>
          <w:u w:val="single"/>
        </w:rPr>
      </w:pPr>
    </w:p>
    <w:p w14:paraId="4F93AA14" w14:textId="77777777" w:rsidR="00E1694F" w:rsidRDefault="00E1694F" w:rsidP="00FE3B79">
      <w:pPr>
        <w:jc w:val="both"/>
        <w:rPr>
          <w:b/>
          <w:bCs/>
          <w:u w:val="single"/>
        </w:rPr>
      </w:pPr>
    </w:p>
    <w:p w14:paraId="0EDD90F6" w14:textId="0891435E" w:rsidR="00194266" w:rsidRDefault="002D539E" w:rsidP="00E46AA4">
      <w:pPr>
        <w:pStyle w:val="Paragraphedeliste"/>
        <w:numPr>
          <w:ilvl w:val="0"/>
          <w:numId w:val="14"/>
        </w:numPr>
        <w:ind w:left="284" w:hanging="284"/>
        <w:jc w:val="both"/>
      </w:pPr>
      <w:r w:rsidRPr="00070D20">
        <w:rPr>
          <w:b/>
          <w:bCs/>
          <w:u w:val="single"/>
        </w:rPr>
        <w:t>Propriété et accès des résultats</w:t>
      </w:r>
    </w:p>
    <w:p w14:paraId="66DC44A2" w14:textId="77777777" w:rsidR="009F744C" w:rsidRDefault="009F744C" w:rsidP="00194266">
      <w:pPr>
        <w:pStyle w:val="Paragraphedeliste"/>
        <w:ind w:left="284"/>
        <w:jc w:val="both"/>
      </w:pPr>
    </w:p>
    <w:p w14:paraId="3901F019" w14:textId="630F8E8B" w:rsidR="00194266" w:rsidRDefault="00194266" w:rsidP="00070D20">
      <w:pPr>
        <w:pStyle w:val="Paragraphedeliste"/>
        <w:ind w:left="0"/>
        <w:jc w:val="both"/>
      </w:pPr>
      <w:r>
        <w:t>Un accord de consortium signé entre tous les partenaires devra être joint dès le dépôt du projet final. Cet accord conditionne le bon déroulement du projet, à la fois sur le plan du partage de la propriété</w:t>
      </w:r>
      <w:r>
        <w:rPr>
          <w:spacing w:val="-19"/>
        </w:rPr>
        <w:t xml:space="preserve"> </w:t>
      </w:r>
      <w:r>
        <w:t>intellectuelle</w:t>
      </w:r>
      <w:r>
        <w:rPr>
          <w:spacing w:val="-16"/>
        </w:rPr>
        <w:t xml:space="preserve"> </w:t>
      </w:r>
      <w:r>
        <w:t>et</w:t>
      </w:r>
      <w:r>
        <w:rPr>
          <w:spacing w:val="-17"/>
        </w:rPr>
        <w:t xml:space="preserve"> </w:t>
      </w:r>
      <w:r>
        <w:t>de</w:t>
      </w:r>
      <w:r>
        <w:rPr>
          <w:spacing w:val="-16"/>
        </w:rPr>
        <w:t xml:space="preserve"> </w:t>
      </w:r>
      <w:r>
        <w:t>la</w:t>
      </w:r>
      <w:r>
        <w:rPr>
          <w:spacing w:val="-16"/>
        </w:rPr>
        <w:t xml:space="preserve"> </w:t>
      </w:r>
      <w:r>
        <w:t>valorisation</w:t>
      </w:r>
      <w:r>
        <w:rPr>
          <w:spacing w:val="-16"/>
        </w:rPr>
        <w:t xml:space="preserve"> </w:t>
      </w:r>
      <w:r>
        <w:t>des</w:t>
      </w:r>
      <w:r>
        <w:rPr>
          <w:spacing w:val="-18"/>
        </w:rPr>
        <w:t xml:space="preserve"> </w:t>
      </w:r>
      <w:r>
        <w:t>résultats,</w:t>
      </w:r>
      <w:r>
        <w:rPr>
          <w:spacing w:val="-17"/>
        </w:rPr>
        <w:t xml:space="preserve"> </w:t>
      </w:r>
      <w:r>
        <w:t>ainsi</w:t>
      </w:r>
      <w:r>
        <w:rPr>
          <w:spacing w:val="-17"/>
        </w:rPr>
        <w:t xml:space="preserve"> </w:t>
      </w:r>
      <w:r>
        <w:t>que</w:t>
      </w:r>
      <w:r>
        <w:rPr>
          <w:spacing w:val="-18"/>
        </w:rPr>
        <w:t xml:space="preserve"> </w:t>
      </w:r>
      <w:r>
        <w:t>de</w:t>
      </w:r>
      <w:r>
        <w:rPr>
          <w:spacing w:val="-19"/>
        </w:rPr>
        <w:t xml:space="preserve"> </w:t>
      </w:r>
      <w:r>
        <w:t>la</w:t>
      </w:r>
      <w:r>
        <w:rPr>
          <w:spacing w:val="-18"/>
        </w:rPr>
        <w:t xml:space="preserve"> </w:t>
      </w:r>
      <w:r>
        <w:t>reconnaissance</w:t>
      </w:r>
      <w:r>
        <w:rPr>
          <w:spacing w:val="-16"/>
        </w:rPr>
        <w:t xml:space="preserve"> </w:t>
      </w:r>
      <w:r>
        <w:t>des</w:t>
      </w:r>
      <w:r>
        <w:rPr>
          <w:spacing w:val="-18"/>
        </w:rPr>
        <w:t xml:space="preserve"> </w:t>
      </w:r>
      <w:r>
        <w:t>droits et</w:t>
      </w:r>
      <w:r>
        <w:rPr>
          <w:spacing w:val="-15"/>
        </w:rPr>
        <w:t xml:space="preserve"> </w:t>
      </w:r>
      <w:r>
        <w:t>devoirs</w:t>
      </w:r>
      <w:r>
        <w:rPr>
          <w:spacing w:val="-18"/>
        </w:rPr>
        <w:t xml:space="preserve"> </w:t>
      </w:r>
      <w:r>
        <w:t>de</w:t>
      </w:r>
      <w:r>
        <w:rPr>
          <w:spacing w:val="-16"/>
        </w:rPr>
        <w:t xml:space="preserve"> </w:t>
      </w:r>
      <w:r>
        <w:t>chacun.</w:t>
      </w:r>
      <w:r>
        <w:rPr>
          <w:spacing w:val="-17"/>
        </w:rPr>
        <w:t xml:space="preserve"> </w:t>
      </w:r>
      <w:r>
        <w:t>La</w:t>
      </w:r>
      <w:r>
        <w:rPr>
          <w:spacing w:val="-19"/>
        </w:rPr>
        <w:t xml:space="preserve"> </w:t>
      </w:r>
      <w:r>
        <w:t>conformité</w:t>
      </w:r>
      <w:r>
        <w:rPr>
          <w:spacing w:val="-16"/>
        </w:rPr>
        <w:t xml:space="preserve"> </w:t>
      </w:r>
      <w:r>
        <w:t>de</w:t>
      </w:r>
      <w:r>
        <w:rPr>
          <w:spacing w:val="-18"/>
        </w:rPr>
        <w:t xml:space="preserve"> </w:t>
      </w:r>
      <w:r>
        <w:t>l’accord</w:t>
      </w:r>
      <w:r>
        <w:rPr>
          <w:spacing w:val="-16"/>
        </w:rPr>
        <w:t xml:space="preserve"> </w:t>
      </w:r>
      <w:r>
        <w:t>de</w:t>
      </w:r>
      <w:r>
        <w:rPr>
          <w:spacing w:val="-19"/>
        </w:rPr>
        <w:t xml:space="preserve"> </w:t>
      </w:r>
      <w:r>
        <w:t>partenariat</w:t>
      </w:r>
      <w:r>
        <w:rPr>
          <w:spacing w:val="-17"/>
        </w:rPr>
        <w:t xml:space="preserve"> </w:t>
      </w:r>
      <w:r>
        <w:t>avec</w:t>
      </w:r>
      <w:r>
        <w:rPr>
          <w:spacing w:val="-16"/>
        </w:rPr>
        <w:t xml:space="preserve"> </w:t>
      </w:r>
      <w:r>
        <w:t>la</w:t>
      </w:r>
      <w:r>
        <w:rPr>
          <w:spacing w:val="-18"/>
        </w:rPr>
        <w:t xml:space="preserve"> </w:t>
      </w:r>
      <w:r>
        <w:t>règlementation</w:t>
      </w:r>
      <w:r>
        <w:rPr>
          <w:spacing w:val="-16"/>
        </w:rPr>
        <w:t xml:space="preserve"> </w:t>
      </w:r>
      <w:r>
        <w:t>européenne sur les aides d'état relève de la responsabilité des partenaires</w:t>
      </w:r>
      <w:r>
        <w:rPr>
          <w:spacing w:val="-7"/>
        </w:rPr>
        <w:t xml:space="preserve"> </w:t>
      </w:r>
      <w:r>
        <w:t>industriels.</w:t>
      </w:r>
    </w:p>
    <w:p w14:paraId="7B0F150F" w14:textId="77777777" w:rsidR="00D945E6" w:rsidRDefault="00D945E6" w:rsidP="00070D20">
      <w:pPr>
        <w:pStyle w:val="Paragraphedeliste"/>
        <w:ind w:left="0"/>
        <w:jc w:val="both"/>
      </w:pPr>
    </w:p>
    <w:p w14:paraId="0542C6C4" w14:textId="77777777" w:rsidR="00194266" w:rsidRDefault="00194266" w:rsidP="00070D20">
      <w:pPr>
        <w:pStyle w:val="Paragraphedeliste"/>
        <w:ind w:left="284"/>
        <w:jc w:val="both"/>
        <w:rPr>
          <w:b/>
          <w:bCs/>
          <w:u w:val="single"/>
        </w:rPr>
      </w:pPr>
    </w:p>
    <w:p w14:paraId="74A410A9" w14:textId="0FD8A51B" w:rsidR="00FE3B79" w:rsidRPr="00350DDA" w:rsidRDefault="00FE3B79" w:rsidP="00E46AA4">
      <w:pPr>
        <w:pStyle w:val="Paragraphedeliste"/>
        <w:numPr>
          <w:ilvl w:val="0"/>
          <w:numId w:val="14"/>
        </w:numPr>
        <w:ind w:left="284" w:hanging="284"/>
        <w:jc w:val="both"/>
        <w:rPr>
          <w:b/>
          <w:bCs/>
          <w:u w:val="single"/>
        </w:rPr>
      </w:pPr>
      <w:r w:rsidRPr="00350DDA">
        <w:rPr>
          <w:b/>
          <w:bCs/>
          <w:u w:val="single"/>
        </w:rPr>
        <w:t>Critères d’évaluation et sélection des projets</w:t>
      </w:r>
    </w:p>
    <w:p w14:paraId="604E5AFA" w14:textId="77777777" w:rsidR="003B5960" w:rsidRPr="005778BF" w:rsidRDefault="003B5960" w:rsidP="003B5960">
      <w:pPr>
        <w:pStyle w:val="Paragraphedeliste"/>
        <w:jc w:val="both"/>
        <w:rPr>
          <w:b/>
          <w:bCs/>
          <w:u w:val="single"/>
        </w:rPr>
      </w:pPr>
    </w:p>
    <w:p w14:paraId="552008EC" w14:textId="753E9045" w:rsidR="00FE3B79" w:rsidRPr="002B15A2" w:rsidRDefault="00FE3B79" w:rsidP="00C13A90">
      <w:pPr>
        <w:jc w:val="both"/>
      </w:pPr>
      <w:r w:rsidRPr="002B15A2">
        <w:t>Les projets de recherche sont évalués au niveau technique selon les critères ci-dessous :</w:t>
      </w:r>
    </w:p>
    <w:p w14:paraId="68823E34" w14:textId="5F278849" w:rsidR="007A6510" w:rsidRPr="00486EDF" w:rsidRDefault="00FE3B79" w:rsidP="00486EDF">
      <w:pPr>
        <w:pStyle w:val="Paragraphedeliste"/>
        <w:numPr>
          <w:ilvl w:val="0"/>
          <w:numId w:val="5"/>
        </w:numPr>
        <w:jc w:val="both"/>
      </w:pPr>
      <w:r w:rsidRPr="00070D20">
        <w:rPr>
          <w:b/>
          <w:bCs/>
        </w:rPr>
        <w:t xml:space="preserve">Le caractère innovant du projet </w:t>
      </w:r>
      <w:r w:rsidR="00346DCF" w:rsidRPr="00070D20">
        <w:rPr>
          <w:b/>
          <w:bCs/>
        </w:rPr>
        <w:t>(</w:t>
      </w:r>
      <w:r w:rsidR="00735473" w:rsidRPr="00070D20">
        <w:rPr>
          <w:b/>
          <w:bCs/>
        </w:rPr>
        <w:t>3</w:t>
      </w:r>
      <w:r w:rsidR="00531794" w:rsidRPr="00070D20">
        <w:rPr>
          <w:b/>
          <w:bCs/>
        </w:rPr>
        <w:t>5</w:t>
      </w:r>
      <w:r w:rsidR="00346DCF" w:rsidRPr="00070D20">
        <w:rPr>
          <w:b/>
          <w:bCs/>
        </w:rPr>
        <w:t>)</w:t>
      </w:r>
      <w:r w:rsidR="00B12A49" w:rsidRPr="00070D20">
        <w:rPr>
          <w:b/>
          <w:bCs/>
        </w:rPr>
        <w:t> :</w:t>
      </w:r>
      <w:r w:rsidR="00B12A49">
        <w:t xml:space="preserve"> Le caractère innovant du projet, notamment l’implémentation de technologies nouvelles n’ayant pas encore fait leurs preuves par comparaison avec l’état de la technique dans le secteur concerné.</w:t>
      </w:r>
      <w:r w:rsidR="00486EDF">
        <w:t xml:space="preserve"> </w:t>
      </w:r>
      <w:r w:rsidR="00486EDF" w:rsidRPr="00486EDF">
        <w:t>L’innovation</w:t>
      </w:r>
      <w:r w:rsidR="007A6510" w:rsidRPr="00486EDF">
        <w:t xml:space="preserve"> de procédé représente une nouveauté ou une amélioration sensible par rapport à l'état de la technique dans le secteur concerné au sein de l'Union européenne, le caractère nouveau pouvant notamment être établi par une description précise de l'innovation comparée aux procédés les plus avancés utilisés par d'autres entreprises du même secteur. </w:t>
      </w:r>
      <w:r w:rsidR="00486EDF" w:rsidRPr="00486EDF">
        <w:t>Ce</w:t>
      </w:r>
      <w:r w:rsidR="007A6510" w:rsidRPr="00486EDF">
        <w:t>tte notion implique des changements significatifs dans les techniques, le matériel ou le logiciel.</w:t>
      </w:r>
      <w:r w:rsidR="00486EDF" w:rsidRPr="00486EDF">
        <w:t xml:space="preserve"> </w:t>
      </w:r>
      <w:r w:rsidR="007A6510" w:rsidRPr="00486EDF">
        <w:t>Les changements ou les améliorations mineurs, un accroissement des moyens de production ou de service par l'adjonction de systèmes de fabrication ou de systèmes logistiques qui sont très analogues à ceux déjà en usage, la cessation de l'utilisation d'un procédé, le simple remplacement ou l'extension de l'équipement, les changements découlant uniquement de variations du prix des facteurs, la production personnalisée, les modifications saisonnières régulières et autres changements cycliques, le commerce de produits nouveaux ou sensiblement améliorés ne sont pas considérés comme des innovations.</w:t>
      </w:r>
    </w:p>
    <w:p w14:paraId="76DF574B" w14:textId="3A5714F3" w:rsidR="00FE3B79" w:rsidRPr="00070D20" w:rsidRDefault="00FE3B79" w:rsidP="00E46AA4">
      <w:pPr>
        <w:pStyle w:val="Paragraphedeliste"/>
        <w:numPr>
          <w:ilvl w:val="0"/>
          <w:numId w:val="5"/>
        </w:numPr>
        <w:jc w:val="both"/>
        <w:rPr>
          <w:b/>
          <w:bCs/>
        </w:rPr>
      </w:pPr>
      <w:r w:rsidRPr="00070D20">
        <w:rPr>
          <w:b/>
          <w:bCs/>
        </w:rPr>
        <w:t xml:space="preserve">La qualité, la faisabilité et la pertinence du projet </w:t>
      </w:r>
      <w:r w:rsidR="00346DCF" w:rsidRPr="00070D20">
        <w:rPr>
          <w:b/>
          <w:bCs/>
        </w:rPr>
        <w:t>(</w:t>
      </w:r>
      <w:r w:rsidR="00531794" w:rsidRPr="00070D20">
        <w:rPr>
          <w:b/>
          <w:bCs/>
        </w:rPr>
        <w:t>25</w:t>
      </w:r>
      <w:r w:rsidR="00346DCF" w:rsidRPr="00070D20">
        <w:rPr>
          <w:b/>
          <w:bCs/>
        </w:rPr>
        <w:t>)</w:t>
      </w:r>
      <w:r w:rsidR="00B12A49" w:rsidRPr="00070D20">
        <w:rPr>
          <w:b/>
          <w:bCs/>
        </w:rPr>
        <w:t xml:space="preserve"> : </w:t>
      </w:r>
    </w:p>
    <w:p w14:paraId="547D0BA7" w14:textId="3D1A8D59" w:rsidR="00932DA9" w:rsidRDefault="00932DA9" w:rsidP="00486EDF">
      <w:pPr>
        <w:pStyle w:val="Paragraphedeliste"/>
        <w:numPr>
          <w:ilvl w:val="1"/>
          <w:numId w:val="5"/>
        </w:numPr>
        <w:ind w:left="993" w:hanging="284"/>
        <w:jc w:val="both"/>
      </w:pPr>
      <w:r>
        <w:t>Le projet doit s’inscrire dans une optique de contribution au développement durable (focus sur la transition environnementale et énergétique)</w:t>
      </w:r>
      <w:r w:rsidR="00093F8D">
        <w:t> ;</w:t>
      </w:r>
    </w:p>
    <w:p w14:paraId="47953FD9" w14:textId="73B4A97F" w:rsidR="00093F8D" w:rsidRDefault="00093F8D" w:rsidP="00486EDF">
      <w:pPr>
        <w:pStyle w:val="Paragraphedeliste"/>
        <w:numPr>
          <w:ilvl w:val="1"/>
          <w:numId w:val="5"/>
        </w:numPr>
        <w:ind w:left="993" w:hanging="284"/>
        <w:jc w:val="both"/>
      </w:pPr>
      <w:r>
        <w:t>Les partenaires doivent être à même de faire face aux besoins financiers actuels et prévisibles du projet ou avoir la possibilité de trouver les financements complémentaires correspondants à ces besoins. La solidité financière des partenaires est évaluée sur base d’un plan financier détaillant le financement du projet par les partenaires. Ce plan comporte les éléments permettant de juger de la capacité financière du partenaire, d’une part, à mener à bien les activités, et d’autre part, à exploiter les résultats attendus et ce dans un calendrier compatible avec le PRW.</w:t>
      </w:r>
    </w:p>
    <w:p w14:paraId="22ADC2C2" w14:textId="2FE058B0" w:rsidR="00C9213D" w:rsidRDefault="00C9213D" w:rsidP="00486EDF">
      <w:pPr>
        <w:pStyle w:val="Paragraphedeliste"/>
        <w:numPr>
          <w:ilvl w:val="1"/>
          <w:numId w:val="5"/>
        </w:numPr>
        <w:ind w:left="993" w:hanging="284"/>
        <w:jc w:val="both"/>
      </w:pPr>
      <w:r>
        <w:t>Adéquation budget/tâches : le budget proposé doit être réaliste par rapport aux différentes tâches décrites dans le projet : adéquation dépenses de personnel au regard des ressources en homme/mois, frais de prototypes/démonstrateurs, coût et pertes de production, frais de sous-traitance.</w:t>
      </w:r>
    </w:p>
    <w:p w14:paraId="7F1540D9" w14:textId="08AB89AD" w:rsidR="00C9213D" w:rsidRDefault="00C9213D" w:rsidP="00486EDF">
      <w:pPr>
        <w:pStyle w:val="Paragraphedeliste"/>
        <w:numPr>
          <w:ilvl w:val="1"/>
          <w:numId w:val="5"/>
        </w:numPr>
        <w:ind w:left="993" w:hanging="284"/>
        <w:jc w:val="both"/>
      </w:pPr>
      <w:r>
        <w:t>Structure du budget : la structure du budget doit correspondre à la description des tâches et au rôle de chaque intervenant.</w:t>
      </w:r>
    </w:p>
    <w:p w14:paraId="6D65C3C2" w14:textId="7548EB41" w:rsidR="00C9213D" w:rsidRDefault="00C9213D" w:rsidP="00486EDF">
      <w:pPr>
        <w:pStyle w:val="Paragraphedeliste"/>
        <w:numPr>
          <w:ilvl w:val="1"/>
          <w:numId w:val="5"/>
        </w:numPr>
        <w:ind w:left="993" w:hanging="284"/>
        <w:jc w:val="both"/>
      </w:pPr>
      <w:r>
        <w:t>Justification des dépenses : les dépenses proposées au budget des différents partenaires doivent être justifiées par des éléments probants.</w:t>
      </w:r>
    </w:p>
    <w:p w14:paraId="23ED309C" w14:textId="23899827" w:rsidR="00C9213D" w:rsidRDefault="00C9213D" w:rsidP="00486EDF">
      <w:pPr>
        <w:pStyle w:val="Paragraphedeliste"/>
        <w:numPr>
          <w:ilvl w:val="1"/>
          <w:numId w:val="5"/>
        </w:numPr>
        <w:ind w:left="993" w:hanging="284"/>
        <w:jc w:val="both"/>
      </w:pPr>
      <w:r>
        <w:t>Tableau du personnel : chaque partenaire doit fournir un tableau du personnel reprenant les noms et qualifications des personnes impliquées dans la recherche et dont le salaire est pris en charge dans le budget (via des barèmes liés à l’ancienneté et à la qualification professionnelle), la durée et le taux d'occupation dans la recherche</w:t>
      </w:r>
      <w:r w:rsidR="0068343B">
        <w:t xml:space="preserve">. </w:t>
      </w:r>
    </w:p>
    <w:p w14:paraId="19F1B282" w14:textId="75772115" w:rsidR="0068343B" w:rsidRPr="002B15A2" w:rsidRDefault="0068343B" w:rsidP="00486EDF">
      <w:pPr>
        <w:pStyle w:val="Paragraphedeliste"/>
        <w:numPr>
          <w:ilvl w:val="1"/>
          <w:numId w:val="5"/>
        </w:numPr>
        <w:ind w:left="993" w:hanging="284"/>
        <w:jc w:val="both"/>
      </w:pPr>
      <w:r>
        <w:t xml:space="preserve">Un planning détaillé, respectant la contrainte de la durée imposée par le présent appel à projets, est explicité. </w:t>
      </w:r>
    </w:p>
    <w:p w14:paraId="161F2412" w14:textId="77777777" w:rsidR="00667784" w:rsidRPr="00070D20" w:rsidRDefault="00FE3B79" w:rsidP="00E46AA4">
      <w:pPr>
        <w:pStyle w:val="Paragraphedeliste"/>
        <w:numPr>
          <w:ilvl w:val="0"/>
          <w:numId w:val="5"/>
        </w:numPr>
        <w:jc w:val="both"/>
        <w:rPr>
          <w:b/>
          <w:bCs/>
        </w:rPr>
      </w:pPr>
      <w:r w:rsidRPr="00070D20">
        <w:rPr>
          <w:b/>
          <w:bCs/>
        </w:rPr>
        <w:lastRenderedPageBreak/>
        <w:t>La valorisation de l'innovation</w:t>
      </w:r>
      <w:r w:rsidR="00346DCF" w:rsidRPr="00070D20">
        <w:rPr>
          <w:b/>
          <w:bCs/>
        </w:rPr>
        <w:t xml:space="preserve"> (</w:t>
      </w:r>
      <w:r w:rsidR="00531794" w:rsidRPr="00070D20">
        <w:rPr>
          <w:b/>
          <w:bCs/>
        </w:rPr>
        <w:t>4</w:t>
      </w:r>
      <w:r w:rsidR="00735473" w:rsidRPr="00070D20">
        <w:rPr>
          <w:b/>
          <w:bCs/>
        </w:rPr>
        <w:t>0</w:t>
      </w:r>
      <w:r w:rsidR="00346DCF" w:rsidRPr="00070D20">
        <w:rPr>
          <w:b/>
          <w:bCs/>
        </w:rPr>
        <w:t>)</w:t>
      </w:r>
      <w:r w:rsidR="008F194A" w:rsidRPr="00070D20">
        <w:rPr>
          <w:b/>
          <w:bCs/>
        </w:rPr>
        <w:t xml:space="preserve">, </w:t>
      </w:r>
      <w:r w:rsidR="008F194A" w:rsidRPr="0035352C">
        <w:t>incluant l</w:t>
      </w:r>
      <w:r w:rsidR="00531794" w:rsidRPr="0035352C">
        <w:t>’</w:t>
      </w:r>
      <w:r w:rsidR="00145124" w:rsidRPr="0035352C">
        <w:t>intégration ou la reproductibilité du projet (l’un excluant l’autre)</w:t>
      </w:r>
      <w:r w:rsidR="00B21A3C" w:rsidRPr="0035352C">
        <w:t xml:space="preserve"> : </w:t>
      </w:r>
    </w:p>
    <w:p w14:paraId="58623564" w14:textId="77777777" w:rsidR="00667784" w:rsidRDefault="00667784" w:rsidP="00E46AA4">
      <w:pPr>
        <w:pStyle w:val="Paragraphedeliste"/>
        <w:numPr>
          <w:ilvl w:val="1"/>
          <w:numId w:val="5"/>
        </w:numPr>
        <w:jc w:val="both"/>
      </w:pPr>
      <w:r>
        <w:t xml:space="preserve">La </w:t>
      </w:r>
      <w:r w:rsidRPr="00070D20">
        <w:t xml:space="preserve">capacité de valorisation des résultats </w:t>
      </w:r>
      <w:r>
        <w:t>attendus du projet par les partenaires et les impacts attendus. Une priorité sera donnée aux projets ayant démontré un caractère réaliste et immédiat de leur plan de valorisation.</w:t>
      </w:r>
    </w:p>
    <w:p w14:paraId="7124BE72" w14:textId="7B3649CF" w:rsidR="00FE3B79" w:rsidRPr="002B15A2" w:rsidRDefault="00B21A3C" w:rsidP="00E46AA4">
      <w:pPr>
        <w:pStyle w:val="Paragraphedeliste"/>
        <w:numPr>
          <w:ilvl w:val="1"/>
          <w:numId w:val="5"/>
        </w:numPr>
        <w:jc w:val="both"/>
      </w:pPr>
      <w:r>
        <w:t>La proximité du marché pour le projet, qui devra ainsi viser la démonstration du déploiement de la technologie à l’échelle (pré)industrielle, l'élaboration de pilotes, les essais et la validation de produits, de procédés ou de services nouveaux ou améliorés dans des environnements représentatifs des conditions de la vie réelle.</w:t>
      </w:r>
    </w:p>
    <w:p w14:paraId="5CCE7975" w14:textId="77777777" w:rsidR="003A7B82" w:rsidRDefault="003A7B82" w:rsidP="006200E5">
      <w:pPr>
        <w:jc w:val="both"/>
        <w:rPr>
          <w:b/>
          <w:bCs/>
          <w:u w:val="single"/>
        </w:rPr>
      </w:pPr>
    </w:p>
    <w:p w14:paraId="322465EF" w14:textId="666C94BE" w:rsidR="006200E5" w:rsidRPr="00D945E6" w:rsidRDefault="006200E5" w:rsidP="006200E5">
      <w:pPr>
        <w:jc w:val="both"/>
      </w:pPr>
      <w:r w:rsidRPr="00D945E6">
        <w:t xml:space="preserve">Le </w:t>
      </w:r>
      <w:r w:rsidR="00B86C7C">
        <w:t>Comité</w:t>
      </w:r>
      <w:r w:rsidR="00D02D47">
        <w:t xml:space="preserve"> d’évaluation</w:t>
      </w:r>
      <w:r w:rsidRPr="00D945E6">
        <w:t xml:space="preserve"> donne une note sur base d’un consensus. En cas d’égalité de classement, le</w:t>
      </w:r>
      <w:r w:rsidR="00B86C7C">
        <w:t xml:space="preserve"> Comité</w:t>
      </w:r>
      <w:r w:rsidRPr="00D945E6">
        <w:t xml:space="preserve"> départagera les projets sur base du score le plus élevé pour le critère 3 et si encore pertinent, sur base du critère </w:t>
      </w:r>
      <w:r w:rsidR="003A7B82" w:rsidRPr="00D945E6">
        <w:t>1</w:t>
      </w:r>
      <w:r w:rsidRPr="00D945E6">
        <w:t>.</w:t>
      </w:r>
    </w:p>
    <w:p w14:paraId="39675AB1" w14:textId="77777777" w:rsidR="006200E5" w:rsidRPr="006200E5" w:rsidRDefault="006200E5" w:rsidP="006200E5">
      <w:pPr>
        <w:jc w:val="both"/>
        <w:rPr>
          <w:b/>
          <w:bCs/>
          <w:u w:val="single"/>
        </w:rPr>
      </w:pPr>
    </w:p>
    <w:p w14:paraId="4D0EFC1C" w14:textId="7B702852" w:rsidR="006200E5" w:rsidRPr="00070D20" w:rsidRDefault="006200E5" w:rsidP="006200E5">
      <w:pPr>
        <w:jc w:val="both"/>
      </w:pPr>
      <w:r w:rsidRPr="00070D20">
        <w:t xml:space="preserve">Il pourra émette </w:t>
      </w:r>
      <w:r w:rsidR="0025535D">
        <w:t xml:space="preserve">2 </w:t>
      </w:r>
      <w:r w:rsidRPr="00070D20">
        <w:t xml:space="preserve">types d'avis à l’attention du </w:t>
      </w:r>
      <w:r w:rsidR="006E3593">
        <w:t>Ministre</w:t>
      </w:r>
      <w:r w:rsidRPr="00070D20">
        <w:t xml:space="preserve"> :</w:t>
      </w:r>
    </w:p>
    <w:p w14:paraId="0F0CC34A" w14:textId="36E0EC13" w:rsidR="006200E5" w:rsidRPr="003A7B82" w:rsidRDefault="006200E5" w:rsidP="00E46AA4">
      <w:pPr>
        <w:pStyle w:val="Paragraphedeliste"/>
        <w:numPr>
          <w:ilvl w:val="0"/>
          <w:numId w:val="5"/>
        </w:numPr>
        <w:jc w:val="both"/>
      </w:pPr>
      <w:r w:rsidRPr="003A7B82">
        <w:t xml:space="preserve">Projet </w:t>
      </w:r>
      <w:r w:rsidR="00401A99">
        <w:t xml:space="preserve">évalué </w:t>
      </w:r>
      <w:r w:rsidR="00854661">
        <w:t xml:space="preserve">positivement. </w:t>
      </w:r>
    </w:p>
    <w:p w14:paraId="4809FE19" w14:textId="45696E9D" w:rsidR="0047275D" w:rsidRPr="003A7B82" w:rsidRDefault="006200E5" w:rsidP="00E46AA4">
      <w:pPr>
        <w:pStyle w:val="Paragraphedeliste"/>
        <w:numPr>
          <w:ilvl w:val="0"/>
          <w:numId w:val="5"/>
        </w:numPr>
        <w:jc w:val="both"/>
      </w:pPr>
      <w:r w:rsidRPr="003A7B82">
        <w:t>Projet évalué négativement.</w:t>
      </w:r>
    </w:p>
    <w:p w14:paraId="21A033C8" w14:textId="77777777" w:rsidR="00E1694F" w:rsidRDefault="00E1694F" w:rsidP="0047275D">
      <w:pPr>
        <w:jc w:val="both"/>
        <w:rPr>
          <w:b/>
          <w:bCs/>
          <w:u w:val="single"/>
        </w:rPr>
      </w:pPr>
    </w:p>
    <w:p w14:paraId="20848B48" w14:textId="77777777" w:rsidR="00D945E6" w:rsidRDefault="00D945E6" w:rsidP="0047275D">
      <w:pPr>
        <w:jc w:val="both"/>
        <w:rPr>
          <w:b/>
          <w:bCs/>
          <w:u w:val="single"/>
        </w:rPr>
      </w:pPr>
    </w:p>
    <w:p w14:paraId="07B7BB58" w14:textId="77777777" w:rsidR="00D945E6" w:rsidRDefault="00D945E6" w:rsidP="0047275D">
      <w:pPr>
        <w:jc w:val="both"/>
        <w:rPr>
          <w:b/>
          <w:bCs/>
          <w:u w:val="single"/>
        </w:rPr>
      </w:pPr>
    </w:p>
    <w:p w14:paraId="66E1D29D" w14:textId="77777777" w:rsidR="006E3593" w:rsidRDefault="006E3593" w:rsidP="0047275D">
      <w:pPr>
        <w:jc w:val="both"/>
        <w:rPr>
          <w:b/>
          <w:bCs/>
          <w:u w:val="single"/>
        </w:rPr>
      </w:pPr>
    </w:p>
    <w:p w14:paraId="55FED5F6" w14:textId="6D574C99" w:rsidR="0047275D" w:rsidRDefault="0047275D" w:rsidP="00E46AA4">
      <w:pPr>
        <w:pStyle w:val="Paragraphedeliste"/>
        <w:numPr>
          <w:ilvl w:val="0"/>
          <w:numId w:val="14"/>
        </w:numPr>
        <w:ind w:left="284" w:hanging="284"/>
        <w:jc w:val="both"/>
        <w:rPr>
          <w:b/>
          <w:bCs/>
          <w:u w:val="single"/>
        </w:rPr>
      </w:pPr>
      <w:r>
        <w:rPr>
          <w:b/>
          <w:bCs/>
          <w:u w:val="single"/>
        </w:rPr>
        <w:t>Quelques précisions sur ce qui est attendu</w:t>
      </w:r>
      <w:r w:rsidRPr="005778BF">
        <w:rPr>
          <w:b/>
          <w:bCs/>
          <w:u w:val="single"/>
        </w:rPr>
        <w:t> :</w:t>
      </w:r>
    </w:p>
    <w:p w14:paraId="49226884" w14:textId="77777777" w:rsidR="003B5960" w:rsidRPr="005778BF" w:rsidRDefault="003B5960" w:rsidP="003B5960">
      <w:pPr>
        <w:pStyle w:val="Paragraphedeliste"/>
        <w:jc w:val="both"/>
        <w:rPr>
          <w:b/>
          <w:bCs/>
          <w:u w:val="single"/>
        </w:rPr>
      </w:pPr>
    </w:p>
    <w:p w14:paraId="334958B2" w14:textId="79983371" w:rsidR="00BD1E36" w:rsidRDefault="003109E2" w:rsidP="00E46AA4">
      <w:pPr>
        <w:pStyle w:val="Paragraphedeliste"/>
        <w:numPr>
          <w:ilvl w:val="0"/>
          <w:numId w:val="11"/>
        </w:numPr>
        <w:jc w:val="both"/>
      </w:pPr>
      <w:r w:rsidRPr="00977073">
        <w:rPr>
          <w:rFonts w:cs="Calibri"/>
        </w:rPr>
        <w:t>Les projets intégrés, qui mutualisent les flux ou process issus de plusieurs parties prenantes, permettront</w:t>
      </w:r>
      <w:r w:rsidRPr="00977073" w:rsidDel="003109E2">
        <w:rPr>
          <w:rFonts w:cs="Calibri"/>
        </w:rPr>
        <w:t xml:space="preserve"> </w:t>
      </w:r>
      <w:r w:rsidR="0047275D" w:rsidRPr="003F1617">
        <w:t>de limiter</w:t>
      </w:r>
      <w:r w:rsidR="00E46BE2" w:rsidRPr="003F1617">
        <w:t xml:space="preserve"> au maximum</w:t>
      </w:r>
      <w:r w:rsidR="0047275D" w:rsidRPr="003F1617">
        <w:t xml:space="preserve"> les dépenses énergétiques (électriques, thermiques ou autres)</w:t>
      </w:r>
      <w:r w:rsidR="00E46BE2" w:rsidRPr="003F1617">
        <w:t xml:space="preserve"> et, pour couvrir leurs besoins, s’appuieront majoritairement sur les énergies renouvelables</w:t>
      </w:r>
      <w:r w:rsidR="00E46BE2" w:rsidRPr="00977073">
        <w:t>.</w:t>
      </w:r>
      <w:r w:rsidR="00F7156C" w:rsidRPr="00977073">
        <w:t xml:space="preserve"> </w:t>
      </w:r>
    </w:p>
    <w:p w14:paraId="68DF8D2E" w14:textId="77777777" w:rsidR="00BD1E36" w:rsidRDefault="00E46BE2" w:rsidP="00E46AA4">
      <w:pPr>
        <w:pStyle w:val="Paragraphedeliste"/>
        <w:numPr>
          <w:ilvl w:val="0"/>
          <w:numId w:val="11"/>
        </w:numPr>
        <w:jc w:val="both"/>
      </w:pPr>
      <w:r w:rsidRPr="00977073">
        <w:t xml:space="preserve">Le bilan net des process développés </w:t>
      </w:r>
      <w:r w:rsidR="00BA591B" w:rsidRPr="00977073">
        <w:t>attestera d’</w:t>
      </w:r>
      <w:r w:rsidRPr="00977073">
        <w:t>une réduction significative des émissions</w:t>
      </w:r>
      <w:r w:rsidR="00BA591B" w:rsidRPr="00977073">
        <w:t xml:space="preserve"> de CO</w:t>
      </w:r>
      <w:r w:rsidR="00BA591B" w:rsidRPr="00977073">
        <w:rPr>
          <w:vertAlign w:val="subscript"/>
        </w:rPr>
        <w:t>2</w:t>
      </w:r>
      <w:r w:rsidRPr="00977073">
        <w:t xml:space="preserve"> </w:t>
      </w:r>
      <w:r w:rsidR="00BA591B" w:rsidRPr="00977073">
        <w:t>ou favorisera la mobilisation de quantité appréciable de CO</w:t>
      </w:r>
      <w:r w:rsidR="00BA591B" w:rsidRPr="00977073">
        <w:rPr>
          <w:vertAlign w:val="subscript"/>
        </w:rPr>
        <w:t>2</w:t>
      </w:r>
      <w:r w:rsidR="00BA591B" w:rsidRPr="00977073">
        <w:t xml:space="preserve"> atmosphérique. </w:t>
      </w:r>
    </w:p>
    <w:p w14:paraId="238872EC" w14:textId="2A4F3D84" w:rsidR="00BA591B" w:rsidRPr="006C153C" w:rsidRDefault="006C153C" w:rsidP="00E46AA4">
      <w:pPr>
        <w:pStyle w:val="Paragraphedeliste"/>
        <w:numPr>
          <w:ilvl w:val="0"/>
          <w:numId w:val="11"/>
        </w:numPr>
        <w:jc w:val="both"/>
      </w:pPr>
      <w:r>
        <w:t>Les</w:t>
      </w:r>
      <w:r w:rsidRPr="003F1617">
        <w:t xml:space="preserve"> </w:t>
      </w:r>
      <w:r w:rsidR="003109E2" w:rsidRPr="003F1617">
        <w:rPr>
          <w:rFonts w:cs="Calibri"/>
        </w:rPr>
        <w:t>préanalyse</w:t>
      </w:r>
      <w:r>
        <w:rPr>
          <w:rFonts w:cs="Calibri"/>
        </w:rPr>
        <w:t>s</w:t>
      </w:r>
      <w:r w:rsidR="00BA591B" w:rsidRPr="003F1617">
        <w:t xml:space="preserve"> du cycle de vie </w:t>
      </w:r>
      <w:r w:rsidR="00DE6312" w:rsidRPr="003F1617">
        <w:t xml:space="preserve">et </w:t>
      </w:r>
      <w:r w:rsidR="003109E2" w:rsidRPr="003F1617">
        <w:rPr>
          <w:rFonts w:cs="Calibri"/>
        </w:rPr>
        <w:t>des</w:t>
      </w:r>
      <w:r w:rsidR="00BA591B" w:rsidRPr="003F1617">
        <w:t xml:space="preserve"> risque</w:t>
      </w:r>
      <w:r w:rsidR="00DE6312" w:rsidRPr="003F1617">
        <w:t>s</w:t>
      </w:r>
      <w:r w:rsidR="00BA591B" w:rsidRPr="003F1617">
        <w:t xml:space="preserve"> ainsi qu’une évaluation </w:t>
      </w:r>
      <w:r w:rsidR="003109E2" w:rsidRPr="003F1617">
        <w:rPr>
          <w:rFonts w:cs="Calibri"/>
        </w:rPr>
        <w:t xml:space="preserve">(postes principaux) </w:t>
      </w:r>
      <w:r w:rsidR="00BA591B" w:rsidRPr="003F1617">
        <w:t>des coûts d’opérationnalisation du projet sont attendues</w:t>
      </w:r>
      <w:r>
        <w:t xml:space="preserve"> lors du dépôt des projets</w:t>
      </w:r>
      <w:r w:rsidR="00BA591B" w:rsidRPr="00977073">
        <w:t xml:space="preserve">. </w:t>
      </w:r>
      <w:r>
        <w:t xml:space="preserve">Les analyses complètes feront parties intégrantes du projet si celui-ci est sélectionné. </w:t>
      </w:r>
      <w:r w:rsidR="00BA591B" w:rsidRPr="003F1617">
        <w:t xml:space="preserve">Pour information, l’objectif d’une analyse de cycle de vie est de déterminer l’ensemble des impacts environnementaux d’un produit ou d’un service au cours de sa vie. Cela implique par exemple d’évaluer le bilan carbone de l’ensemble des </w:t>
      </w:r>
      <w:r w:rsidR="00477B45" w:rsidRPr="003F1617">
        <w:t>activités en lien direct ou indirect avec les process proposés.</w:t>
      </w:r>
      <w:r w:rsidR="00DE6312" w:rsidRPr="003F1617">
        <w:t xml:space="preserve"> Certains points pouvant être appréhend</w:t>
      </w:r>
      <w:r>
        <w:t xml:space="preserve">és </w:t>
      </w:r>
      <w:r w:rsidR="00DE6312" w:rsidRPr="006C153C">
        <w:t>dans le cadre de l’analyse de risques sont présentés ci-dessous.</w:t>
      </w:r>
    </w:p>
    <w:p w14:paraId="79D32D33" w14:textId="77777777" w:rsidR="00510CC9" w:rsidRDefault="00510CC9" w:rsidP="00025EAA">
      <w:pPr>
        <w:jc w:val="both"/>
        <w:rPr>
          <w:b/>
          <w:bCs/>
          <w:u w:val="single"/>
        </w:rPr>
      </w:pPr>
    </w:p>
    <w:p w14:paraId="2183DDA7" w14:textId="51F53BB3" w:rsidR="00510CC9" w:rsidRDefault="003B5960" w:rsidP="00025EAA">
      <w:pPr>
        <w:tabs>
          <w:tab w:val="left" w:pos="284"/>
        </w:tabs>
        <w:ind w:left="284"/>
        <w:jc w:val="both"/>
      </w:pPr>
      <w:r>
        <w:t xml:space="preserve">Au sein du formulaire de candidature : </w:t>
      </w:r>
    </w:p>
    <w:p w14:paraId="3DCD861F" w14:textId="77777777" w:rsidR="003B5960" w:rsidRPr="003F1617" w:rsidRDefault="003B5960" w:rsidP="00025EAA">
      <w:pPr>
        <w:jc w:val="both"/>
        <w:rPr>
          <w:b/>
          <w:bCs/>
          <w:u w:val="single"/>
        </w:rPr>
      </w:pPr>
    </w:p>
    <w:p w14:paraId="51829A05" w14:textId="1C6BD775" w:rsidR="00DE6312" w:rsidRPr="00977073" w:rsidRDefault="00E523DE" w:rsidP="00E46AA4">
      <w:pPr>
        <w:pStyle w:val="Paragraphedeliste"/>
        <w:numPr>
          <w:ilvl w:val="0"/>
          <w:numId w:val="12"/>
        </w:numPr>
        <w:jc w:val="both"/>
        <w:rPr>
          <w:rFonts w:cs="Calibri"/>
        </w:rPr>
      </w:pPr>
      <w:r>
        <w:t>Il</w:t>
      </w:r>
      <w:r w:rsidR="00DE6312">
        <w:t xml:space="preserve"> est attendu les éléments </w:t>
      </w:r>
      <w:r w:rsidR="00DE6312" w:rsidRPr="00977073">
        <w:rPr>
          <w:rFonts w:cs="Calibri"/>
        </w:rPr>
        <w:t>qui mettraient le projet ou sa valorisation en difficulté ou</w:t>
      </w:r>
      <w:r w:rsidR="009F6D2B">
        <w:rPr>
          <w:rFonts w:cs="Calibri"/>
        </w:rPr>
        <w:t>,</w:t>
      </w:r>
      <w:r w:rsidR="00DE6312" w:rsidRPr="00977073">
        <w:rPr>
          <w:rFonts w:cs="Calibri"/>
        </w:rPr>
        <w:t xml:space="preserve"> au contraire</w:t>
      </w:r>
      <w:r w:rsidR="009F6D2B">
        <w:rPr>
          <w:rFonts w:cs="Calibri"/>
        </w:rPr>
        <w:t>,</w:t>
      </w:r>
      <w:r w:rsidR="00B1059F">
        <w:rPr>
          <w:rFonts w:cs="Calibri"/>
        </w:rPr>
        <w:t xml:space="preserve"> qui</w:t>
      </w:r>
      <w:r w:rsidR="00DE6312" w:rsidRPr="00977073">
        <w:rPr>
          <w:rFonts w:cs="Calibri"/>
        </w:rPr>
        <w:t xml:space="preserve"> le faciliterai</w:t>
      </w:r>
      <w:r w:rsidR="003B5960">
        <w:rPr>
          <w:rFonts w:cs="Calibri"/>
        </w:rPr>
        <w:t>en</w:t>
      </w:r>
      <w:r w:rsidR="00DE6312" w:rsidRPr="00977073">
        <w:rPr>
          <w:rFonts w:cs="Calibri"/>
        </w:rPr>
        <w:t>t comme par exemple, sachant que le CO</w:t>
      </w:r>
      <w:r w:rsidR="00DE6312" w:rsidRPr="00BD1E36">
        <w:rPr>
          <w:rFonts w:ascii="Cambria Math" w:hAnsi="Cambria Math" w:cs="Cambria Math"/>
        </w:rPr>
        <w:t>₂</w:t>
      </w:r>
      <w:r w:rsidR="00DE6312" w:rsidRPr="00977073">
        <w:rPr>
          <w:rFonts w:cs="Calibri"/>
        </w:rPr>
        <w:t xml:space="preserve"> fait l’objet de comptage réglementaire (ETS ou autre</w:t>
      </w:r>
      <w:r w:rsidR="003B5960">
        <w:rPr>
          <w:rFonts w:cs="Calibri"/>
        </w:rPr>
        <w:t>)</w:t>
      </w:r>
      <w:r w:rsidR="00DE6312" w:rsidRPr="00977073">
        <w:rPr>
          <w:rFonts w:cs="Calibri"/>
        </w:rPr>
        <w:t xml:space="preserve"> : </w:t>
      </w:r>
    </w:p>
    <w:p w14:paraId="1A5B8510" w14:textId="77777777" w:rsidR="00DE6312" w:rsidRPr="00BC7B39" w:rsidRDefault="00DE6312" w:rsidP="00E46AA4">
      <w:pPr>
        <w:pStyle w:val="Paragraphedeliste"/>
        <w:numPr>
          <w:ilvl w:val="0"/>
          <w:numId w:val="9"/>
        </w:numPr>
        <w:jc w:val="both"/>
        <w:rPr>
          <w:rFonts w:cs="Calibri"/>
        </w:rPr>
      </w:pPr>
      <w:r w:rsidRPr="00BC7B39">
        <w:rPr>
          <w:rFonts w:cs="Calibri"/>
        </w:rPr>
        <w:t>Les installations liées au transport de CO</w:t>
      </w:r>
      <w:r w:rsidRPr="00BC7B39">
        <w:rPr>
          <w:rFonts w:ascii="Cambria Math" w:hAnsi="Cambria Math" w:cs="Cambria Math"/>
        </w:rPr>
        <w:t>₂</w:t>
      </w:r>
      <w:r w:rsidRPr="00BC7B39">
        <w:rPr>
          <w:rFonts w:cs="Calibri"/>
        </w:rPr>
        <w:t xml:space="preserve"> par « </w:t>
      </w:r>
      <w:r>
        <w:rPr>
          <w:rFonts w:cs="Calibri"/>
        </w:rPr>
        <w:t>conduites</w:t>
      </w:r>
      <w:r w:rsidRPr="00BC7B39">
        <w:rPr>
          <w:rFonts w:cs="Calibri"/>
        </w:rPr>
        <w:t> » deviendront un réseau d’impétrants, géré par des canalisations existantes ou à créer ; cela nécessitera une règlementation ad hoc au niveau de pouvoir ad hoc</w:t>
      </w:r>
      <w:r>
        <w:rPr>
          <w:rFonts w:cs="Calibri"/>
        </w:rPr>
        <w:t>, notamment en termes de normes techniques et de gestion dudit réseau</w:t>
      </w:r>
      <w:r w:rsidRPr="00BC7B39">
        <w:rPr>
          <w:rFonts w:cs="Calibri"/>
        </w:rPr>
        <w:t xml:space="preserve">. </w:t>
      </w:r>
    </w:p>
    <w:p w14:paraId="440C8915" w14:textId="77777777" w:rsidR="00DE6312" w:rsidRPr="00BC7B39" w:rsidRDefault="00DE6312" w:rsidP="00E46AA4">
      <w:pPr>
        <w:pStyle w:val="Paragraphedeliste"/>
        <w:numPr>
          <w:ilvl w:val="0"/>
          <w:numId w:val="9"/>
        </w:numPr>
        <w:jc w:val="both"/>
        <w:rPr>
          <w:rFonts w:cs="Calibri"/>
        </w:rPr>
      </w:pPr>
      <w:r w:rsidRPr="00BC7B39">
        <w:rPr>
          <w:rFonts w:cs="Calibri"/>
        </w:rPr>
        <w:lastRenderedPageBreak/>
        <w:t xml:space="preserve">Dans le cas de transport en « bouteille » comme d’autres gaz, </w:t>
      </w:r>
      <w:r>
        <w:rPr>
          <w:rFonts w:cs="Calibri"/>
        </w:rPr>
        <w:t>des conditions sectorielles viendront compléter les contextes juridiques existants</w:t>
      </w:r>
      <w:r w:rsidRPr="00BC7B39">
        <w:rPr>
          <w:rFonts w:cs="Calibri"/>
        </w:rPr>
        <w:t>.</w:t>
      </w:r>
    </w:p>
    <w:p w14:paraId="2FF3D567" w14:textId="77777777" w:rsidR="00DE6312" w:rsidRPr="00BC7B39" w:rsidRDefault="00DE6312" w:rsidP="00E46AA4">
      <w:pPr>
        <w:pStyle w:val="Paragraphedeliste"/>
        <w:numPr>
          <w:ilvl w:val="0"/>
          <w:numId w:val="9"/>
        </w:numPr>
        <w:jc w:val="both"/>
        <w:rPr>
          <w:rFonts w:cs="Calibri"/>
        </w:rPr>
      </w:pPr>
      <w:r w:rsidRPr="00BC7B39">
        <w:rPr>
          <w:rFonts w:cs="Calibri"/>
        </w:rPr>
        <w:t xml:space="preserve">De plus, des enjeux sociétaux liés à l’acceptation pourraient voir le jour. </w:t>
      </w:r>
      <w:r>
        <w:rPr>
          <w:rFonts w:cs="Calibri"/>
        </w:rPr>
        <w:t xml:space="preserve">Les porteurs de projets sont également invités à </w:t>
      </w:r>
      <w:r w:rsidRPr="00BC7B39">
        <w:rPr>
          <w:rFonts w:cs="Calibri"/>
        </w:rPr>
        <w:t>identifier les potentiel</w:t>
      </w:r>
      <w:r>
        <w:rPr>
          <w:rFonts w:cs="Calibri"/>
        </w:rPr>
        <w:t>le</w:t>
      </w:r>
      <w:r w:rsidRPr="00BC7B39">
        <w:rPr>
          <w:rFonts w:cs="Calibri"/>
        </w:rPr>
        <w:t xml:space="preserve">s </w:t>
      </w:r>
      <w:r>
        <w:rPr>
          <w:rFonts w:cs="Calibri"/>
        </w:rPr>
        <w:t>difficultés ou opportunités</w:t>
      </w:r>
      <w:r w:rsidRPr="00BC7B39">
        <w:rPr>
          <w:rFonts w:cs="Calibri"/>
        </w:rPr>
        <w:t xml:space="preserve"> </w:t>
      </w:r>
      <w:r>
        <w:rPr>
          <w:rFonts w:cs="Calibri"/>
        </w:rPr>
        <w:t>y liées</w:t>
      </w:r>
      <w:r w:rsidRPr="00BC7B39">
        <w:rPr>
          <w:rFonts w:cs="Calibri"/>
        </w:rPr>
        <w:t xml:space="preserve"> </w:t>
      </w:r>
    </w:p>
    <w:p w14:paraId="384EA40A" w14:textId="77777777" w:rsidR="00DE6312" w:rsidRPr="00BC7B39" w:rsidRDefault="00DE6312" w:rsidP="00E46AA4">
      <w:pPr>
        <w:pStyle w:val="Paragraphedeliste"/>
        <w:numPr>
          <w:ilvl w:val="0"/>
          <w:numId w:val="9"/>
        </w:numPr>
        <w:jc w:val="both"/>
        <w:rPr>
          <w:rFonts w:cs="Calibri"/>
        </w:rPr>
      </w:pPr>
      <w:r w:rsidRPr="00BC7B39">
        <w:rPr>
          <w:rFonts w:cs="Calibri"/>
        </w:rPr>
        <w:t>Au niveau technique, il conviendrait également de déterminer les conditions techniques de transport ou stockage (pureté, pression, fuites…) ; en termes d’usage, il convient de s’assurer que les fournitures soient compatibles avec les process existants (à minima) ou projetés (cf. projets déposés).</w:t>
      </w:r>
    </w:p>
    <w:p w14:paraId="406E321D" w14:textId="6490F076" w:rsidR="00427940" w:rsidRPr="00427940" w:rsidRDefault="00E523DE" w:rsidP="00427940">
      <w:pPr>
        <w:pStyle w:val="Paragraphedeliste"/>
        <w:numPr>
          <w:ilvl w:val="0"/>
          <w:numId w:val="12"/>
        </w:numPr>
        <w:jc w:val="both"/>
      </w:pPr>
      <w:r>
        <w:t>L</w:t>
      </w:r>
      <w:r w:rsidR="00DE6312" w:rsidRPr="00BC7B39">
        <w:t xml:space="preserve">e consortium devra être attentif, outre </w:t>
      </w:r>
      <w:r w:rsidR="00DE6312">
        <w:t>aux</w:t>
      </w:r>
      <w:r w:rsidR="00DE6312" w:rsidRPr="00BC7B39">
        <w:t xml:space="preserve"> questions techniques, aux questions liées à la responsabilité (en cas de fuite de CO</w:t>
      </w:r>
      <w:r w:rsidR="00DE6312" w:rsidRPr="00BD1E36">
        <w:rPr>
          <w:rFonts w:ascii="Cambria Math" w:hAnsi="Cambria Math" w:cs="Cambria Math"/>
        </w:rPr>
        <w:t>₂</w:t>
      </w:r>
      <w:r w:rsidR="00DE6312" w:rsidRPr="00BC7B39">
        <w:t>), au bilan climatique/énergétique total du processus ; aux -</w:t>
      </w:r>
      <w:r w:rsidR="00BD1E36">
        <w:t xml:space="preserve"> </w:t>
      </w:r>
      <w:r w:rsidR="00DE6312" w:rsidRPr="00BC7B39">
        <w:t>éventuels nouveaux</w:t>
      </w:r>
      <w:r w:rsidR="00BD1E36">
        <w:t xml:space="preserve"> </w:t>
      </w:r>
      <w:r w:rsidR="00DE6312" w:rsidRPr="00BC7B39">
        <w:t>- métiers requis.</w:t>
      </w:r>
      <w:r w:rsidR="005613B6">
        <w:t xml:space="preserve"> </w:t>
      </w:r>
      <w:r w:rsidR="00427940">
        <w:t>Le cas échéant, il</w:t>
      </w:r>
      <w:r w:rsidR="00AD17F5">
        <w:t xml:space="preserve"> sera tenu compte de l’arrêté du Gouvernement wallon du 22 juin 2006 établissant la liste des installations et </w:t>
      </w:r>
      <w:r w:rsidR="00427940" w:rsidRPr="00427940">
        <w:t>activités émettant des gaz à effet serre et déterminant les gaz à effet de serre spécifiés visés par le décret du 10 novembre 2004 instaurant un système d'échange de quotas d'émission de gaz à effet de serre, créant un Fonds wallon Kyoto et relatif aux mécanismes de flexibilité du Protocole de Kyoto</w:t>
      </w:r>
      <w:r w:rsidR="00427940">
        <w:t xml:space="preserve">. </w:t>
      </w:r>
    </w:p>
    <w:p w14:paraId="67CE5A9D" w14:textId="5E648717" w:rsidR="00BD1E36" w:rsidRPr="00427940" w:rsidRDefault="00DE6312" w:rsidP="00E46AA4">
      <w:pPr>
        <w:pStyle w:val="Paragraphedeliste"/>
        <w:numPr>
          <w:ilvl w:val="0"/>
          <w:numId w:val="12"/>
        </w:numPr>
        <w:jc w:val="both"/>
      </w:pPr>
      <w:r w:rsidRPr="00427940">
        <w:t>En ce qui concerne l’évaluation elle-même, voir le point « évaluation »</w:t>
      </w:r>
    </w:p>
    <w:p w14:paraId="737E9A13" w14:textId="2A2F3CF4" w:rsidR="0047275D" w:rsidRPr="00977073" w:rsidRDefault="0047275D" w:rsidP="00E46AA4">
      <w:pPr>
        <w:pStyle w:val="Paragraphedeliste"/>
        <w:numPr>
          <w:ilvl w:val="0"/>
          <w:numId w:val="12"/>
        </w:numPr>
        <w:jc w:val="both"/>
        <w:rPr>
          <w:rFonts w:cs="Calibri"/>
        </w:rPr>
      </w:pPr>
      <w:r>
        <w:t xml:space="preserve">Pour les projets qui relèvent de </w:t>
      </w:r>
      <w:r w:rsidRPr="00977073">
        <w:rPr>
          <w:rFonts w:cs="Calibri"/>
        </w:rPr>
        <w:t xml:space="preserve">l’optimisation ou de l’intégration de processus existants ayant déjà démontrés un certain intérêt, </w:t>
      </w:r>
      <w:r w:rsidR="00C80AA3" w:rsidRPr="00977073">
        <w:rPr>
          <w:rFonts w:cs="Calibri"/>
        </w:rPr>
        <w:t xml:space="preserve">ces derniers </w:t>
      </w:r>
      <w:r w:rsidRPr="00977073">
        <w:rPr>
          <w:rFonts w:cs="Calibri"/>
        </w:rPr>
        <w:t>pourraient être soutenus à condition que le caractère innovant ou de rupture soit clairement démontré.</w:t>
      </w:r>
    </w:p>
    <w:p w14:paraId="50F06075" w14:textId="19EF4544" w:rsidR="00FE3B79" w:rsidRDefault="00FE3B79" w:rsidP="00025EAA">
      <w:pPr>
        <w:jc w:val="both"/>
        <w:rPr>
          <w:b/>
          <w:bCs/>
          <w:u w:val="single"/>
        </w:rPr>
      </w:pPr>
    </w:p>
    <w:p w14:paraId="0B4111BB" w14:textId="77777777" w:rsidR="00E1694F" w:rsidRDefault="00E1694F" w:rsidP="00025EAA">
      <w:pPr>
        <w:jc w:val="both"/>
        <w:rPr>
          <w:b/>
          <w:bCs/>
          <w:u w:val="single"/>
        </w:rPr>
      </w:pPr>
    </w:p>
    <w:p w14:paraId="3D640D4B" w14:textId="00C90160" w:rsidR="00350DDA" w:rsidRDefault="00350DDA" w:rsidP="00CD6AE0">
      <w:pPr>
        <w:jc w:val="both"/>
      </w:pPr>
    </w:p>
    <w:p w14:paraId="3A467453" w14:textId="77777777" w:rsidR="002A63B6" w:rsidRDefault="002A63B6" w:rsidP="00CD6AE0">
      <w:pPr>
        <w:jc w:val="both"/>
      </w:pPr>
    </w:p>
    <w:p w14:paraId="1C5E0D74" w14:textId="3F920C60" w:rsidR="00A778FA" w:rsidRPr="00D8383A" w:rsidRDefault="00A778FA" w:rsidP="00E46AA4">
      <w:pPr>
        <w:pStyle w:val="Paragraphedeliste"/>
        <w:numPr>
          <w:ilvl w:val="0"/>
          <w:numId w:val="14"/>
        </w:numPr>
        <w:ind w:left="284" w:hanging="284"/>
        <w:jc w:val="both"/>
        <w:rPr>
          <w:b/>
          <w:bCs/>
          <w:u w:val="single"/>
        </w:rPr>
      </w:pPr>
      <w:r w:rsidRPr="00D8383A">
        <w:rPr>
          <w:b/>
          <w:bCs/>
          <w:u w:val="single"/>
        </w:rPr>
        <w:t>Références légales</w:t>
      </w:r>
    </w:p>
    <w:p w14:paraId="60F1A30D" w14:textId="77777777" w:rsidR="00350DDA" w:rsidRPr="00D8383A" w:rsidRDefault="00350DDA" w:rsidP="00025EAA">
      <w:pPr>
        <w:pStyle w:val="Paragraphedeliste"/>
        <w:ind w:left="284"/>
        <w:jc w:val="both"/>
        <w:rPr>
          <w:b/>
          <w:bCs/>
          <w:u w:val="single"/>
        </w:rPr>
      </w:pPr>
    </w:p>
    <w:p w14:paraId="0E5D280C" w14:textId="1D9E807B" w:rsidR="00107649" w:rsidRPr="008521D4" w:rsidRDefault="008521D4" w:rsidP="00070D20">
      <w:pPr>
        <w:jc w:val="both"/>
        <w:rPr>
          <w:rFonts w:cs="Calibri"/>
        </w:rPr>
      </w:pPr>
      <w:r w:rsidRPr="008521D4">
        <w:rPr>
          <w:rFonts w:cs="Calibri"/>
        </w:rPr>
        <w:t>Règlement (UE) n°2023/1315 modifiant le règlement (UE) n°651/2014 (UE) de la Commission du 23 juin 2023 déclarant certaines catégories d'aides compatibles avec le marché intérieur en application des articles 107 et 108 du traité (RGEC</w:t>
      </w:r>
      <w:proofErr w:type="gramStart"/>
      <w:r w:rsidRPr="008521D4">
        <w:rPr>
          <w:rFonts w:cs="Calibri"/>
        </w:rPr>
        <w:t>)</w:t>
      </w:r>
      <w:r w:rsidR="00107649" w:rsidRPr="008521D4">
        <w:rPr>
          <w:rFonts w:cs="Calibri"/>
        </w:rPr>
        <w:t>:</w:t>
      </w:r>
      <w:proofErr w:type="gramEnd"/>
    </w:p>
    <w:p w14:paraId="4E20597C" w14:textId="15120C50" w:rsidR="009B1C7B" w:rsidRPr="00D8383A" w:rsidRDefault="008521D4" w:rsidP="00025EAA">
      <w:pPr>
        <w:jc w:val="both"/>
        <w:rPr>
          <w:b/>
          <w:bCs/>
          <w:u w:val="single"/>
        </w:rPr>
      </w:pPr>
      <w:hyperlink r:id="rId13" w:history="1">
        <w:r>
          <w:rPr>
            <w:rStyle w:val="Lienhypertexte"/>
            <w:lang w:val="fr-FR"/>
          </w:rPr>
          <w:t>https://eur-lex.europa.eu/legal-content/FR/TXT/?uri=uriserv%3AOJ.L_.2023.167.01.0001.01.FRA&amp;toc=OJ%3AL%3A2023%3A167%3ATOC</w:t>
        </w:r>
      </w:hyperlink>
    </w:p>
    <w:p w14:paraId="4EFF0B25" w14:textId="77777777" w:rsidR="002A63B6" w:rsidRPr="00D8383A" w:rsidRDefault="002A63B6" w:rsidP="00025EAA">
      <w:pPr>
        <w:jc w:val="both"/>
        <w:rPr>
          <w:b/>
          <w:bCs/>
          <w:u w:val="single"/>
        </w:rPr>
      </w:pPr>
    </w:p>
    <w:p w14:paraId="737AA38D" w14:textId="77777777" w:rsidR="003456F9" w:rsidRDefault="003456F9">
      <w:pPr>
        <w:rPr>
          <w:b/>
          <w:bCs/>
          <w:u w:val="single"/>
        </w:rPr>
      </w:pPr>
      <w:r>
        <w:rPr>
          <w:b/>
          <w:bCs/>
          <w:u w:val="single"/>
        </w:rPr>
        <w:br w:type="page"/>
      </w:r>
    </w:p>
    <w:p w14:paraId="46530751" w14:textId="234043ED" w:rsidR="00CD6AE0" w:rsidRPr="00D8383A" w:rsidRDefault="00453985" w:rsidP="00E46AA4">
      <w:pPr>
        <w:pStyle w:val="Paragraphedeliste"/>
        <w:numPr>
          <w:ilvl w:val="0"/>
          <w:numId w:val="14"/>
        </w:numPr>
        <w:ind w:hanging="720"/>
        <w:jc w:val="both"/>
        <w:rPr>
          <w:b/>
          <w:bCs/>
          <w:u w:val="single"/>
        </w:rPr>
      </w:pPr>
      <w:r w:rsidRPr="00D8383A">
        <w:rPr>
          <w:b/>
          <w:bCs/>
          <w:u w:val="single"/>
        </w:rPr>
        <w:lastRenderedPageBreak/>
        <w:t xml:space="preserve">Annexe 1 : </w:t>
      </w:r>
      <w:r w:rsidR="00CD6AE0" w:rsidRPr="00D8383A">
        <w:rPr>
          <w:b/>
          <w:bCs/>
          <w:u w:val="single"/>
        </w:rPr>
        <w:t>Définitions</w:t>
      </w:r>
    </w:p>
    <w:p w14:paraId="7A4C7A7A" w14:textId="77777777" w:rsidR="00CD6AE0" w:rsidRPr="002B15A2" w:rsidRDefault="00CD6AE0" w:rsidP="00025EAA">
      <w:pPr>
        <w:jc w:val="both"/>
      </w:pPr>
    </w:p>
    <w:p w14:paraId="6303822B" w14:textId="40F5FDF9" w:rsidR="00CD6AE0" w:rsidRDefault="00CD6AE0" w:rsidP="00025EAA">
      <w:pPr>
        <w:jc w:val="both"/>
      </w:pPr>
      <w:r w:rsidRPr="002B15A2">
        <w:t xml:space="preserve">Au sens du </w:t>
      </w:r>
      <w:r w:rsidR="006B0FFF">
        <w:t>présent appel</w:t>
      </w:r>
      <w:r w:rsidRPr="002B15A2">
        <w:t>, on entend par</w:t>
      </w:r>
      <w:r w:rsidR="0026089F" w:rsidRPr="002B15A2">
        <w:t xml:space="preserve"> « développement</w:t>
      </w:r>
      <w:r w:rsidRPr="002B15A2">
        <w:t xml:space="preserve"> </w:t>
      </w:r>
      <w:r w:rsidR="006A3EA8" w:rsidRPr="002B15A2">
        <w:t>expérimental »</w:t>
      </w:r>
      <w:r w:rsidRPr="002B15A2">
        <w:t xml:space="preserve"> l'acquisition, l'association, la</w:t>
      </w:r>
      <w:r>
        <w:t xml:space="preserve"> </w:t>
      </w:r>
      <w:r w:rsidRPr="002B15A2">
        <w:t>mise en forme et l'utilisation de connaissances et de techniques scientifiques, technologiques,</w:t>
      </w:r>
      <w:r>
        <w:t xml:space="preserve"> </w:t>
      </w:r>
      <w:r w:rsidRPr="002B15A2">
        <w:t>commerciales et autres existantes en vue de produire des projets, des dispositifs ou des dessins pour la</w:t>
      </w:r>
      <w:r>
        <w:t xml:space="preserve"> </w:t>
      </w:r>
      <w:r w:rsidRPr="002B15A2">
        <w:t>conception de produits, de procédés ou de services nouveaux, modifiés ou améliorés.</w:t>
      </w:r>
      <w:r>
        <w:t xml:space="preserve"> </w:t>
      </w:r>
    </w:p>
    <w:p w14:paraId="4F6527B8" w14:textId="77777777" w:rsidR="00350DDA" w:rsidRDefault="00350DDA" w:rsidP="00025EAA">
      <w:pPr>
        <w:jc w:val="both"/>
      </w:pPr>
    </w:p>
    <w:p w14:paraId="18A5A289" w14:textId="5E481799" w:rsidR="00CD6AE0" w:rsidRPr="002B15A2" w:rsidRDefault="00CD6AE0" w:rsidP="00025EAA">
      <w:pPr>
        <w:jc w:val="both"/>
      </w:pPr>
      <w:r w:rsidRPr="002B15A2">
        <w:t xml:space="preserve">Relèvent également du développement </w:t>
      </w:r>
      <w:r w:rsidR="00CE407F" w:rsidRPr="002B15A2">
        <w:t>expérimental :</w:t>
      </w:r>
    </w:p>
    <w:p w14:paraId="25591F5D" w14:textId="2F2FDB6D" w:rsidR="00CD6AE0" w:rsidRPr="002B15A2" w:rsidRDefault="00CE407F" w:rsidP="00E46AA4">
      <w:pPr>
        <w:pStyle w:val="Paragraphedeliste"/>
        <w:numPr>
          <w:ilvl w:val="0"/>
          <w:numId w:val="2"/>
        </w:numPr>
        <w:jc w:val="both"/>
      </w:pPr>
      <w:r w:rsidRPr="002B15A2">
        <w:t>D’autres</w:t>
      </w:r>
      <w:r w:rsidR="00CD6AE0" w:rsidRPr="002B15A2">
        <w:t xml:space="preserve"> activités visant la définition théorique et la planification de produits, de procédés et de services</w:t>
      </w:r>
      <w:r w:rsidR="00CD6AE0">
        <w:t xml:space="preserve"> </w:t>
      </w:r>
      <w:r w:rsidR="00CD6AE0" w:rsidRPr="002B15A2">
        <w:t xml:space="preserve">nouveaux, ainsi que la consignation des </w:t>
      </w:r>
      <w:r w:rsidR="00CD6AE0">
        <w:t>i</w:t>
      </w:r>
      <w:r w:rsidR="00CD6AE0" w:rsidRPr="002B15A2">
        <w:t>nformations qui s'y rapportent, ces activités pouvant porter sur la</w:t>
      </w:r>
      <w:r w:rsidR="00CD6AE0">
        <w:t xml:space="preserve"> </w:t>
      </w:r>
      <w:r w:rsidR="00CD6AE0" w:rsidRPr="002B15A2">
        <w:t>production d'ébauches, de dessins, de plans et d'autres documents, à condition qu'ils ne soient pas destinés</w:t>
      </w:r>
      <w:r w:rsidR="00CD6AE0">
        <w:t xml:space="preserve"> </w:t>
      </w:r>
      <w:r w:rsidR="00CD6AE0" w:rsidRPr="002B15A2">
        <w:t xml:space="preserve">à un usage </w:t>
      </w:r>
      <w:r w:rsidRPr="002B15A2">
        <w:t>commercial ;</w:t>
      </w:r>
    </w:p>
    <w:p w14:paraId="6714F219" w14:textId="0C9B06E7" w:rsidR="00CD6AE0" w:rsidRPr="002B15A2" w:rsidRDefault="00CE407F" w:rsidP="00E46AA4">
      <w:pPr>
        <w:pStyle w:val="Paragraphedeliste"/>
        <w:numPr>
          <w:ilvl w:val="0"/>
          <w:numId w:val="2"/>
        </w:numPr>
        <w:jc w:val="both"/>
      </w:pPr>
      <w:r w:rsidRPr="002B15A2">
        <w:t>La</w:t>
      </w:r>
      <w:r w:rsidR="00CD6AE0" w:rsidRPr="002B15A2">
        <w:t xml:space="preserve"> création de prototypes et de projets pilotes commercialement exploitables, lorsque le prototype est</w:t>
      </w:r>
      <w:r w:rsidR="00CD6AE0">
        <w:t xml:space="preserve"> </w:t>
      </w:r>
      <w:r w:rsidR="00CD6AE0" w:rsidRPr="002B15A2">
        <w:t>nécessairement le produit fini commercial et lorsqu'il est trop onéreux à produire pour être utilisé</w:t>
      </w:r>
      <w:r w:rsidR="00CD6AE0">
        <w:t xml:space="preserve"> </w:t>
      </w:r>
      <w:r w:rsidR="00CD6AE0" w:rsidRPr="002B15A2">
        <w:t xml:space="preserve">uniquement à des fins de démonstration et de </w:t>
      </w:r>
      <w:r w:rsidRPr="002B15A2">
        <w:t>validation ;</w:t>
      </w:r>
    </w:p>
    <w:p w14:paraId="29989594" w14:textId="32647F65" w:rsidR="00CD6AE0" w:rsidRDefault="00CE407F" w:rsidP="00E46AA4">
      <w:pPr>
        <w:pStyle w:val="Paragraphedeliste"/>
        <w:numPr>
          <w:ilvl w:val="0"/>
          <w:numId w:val="2"/>
        </w:numPr>
        <w:jc w:val="both"/>
      </w:pPr>
      <w:r w:rsidRPr="002B15A2">
        <w:t>La</w:t>
      </w:r>
      <w:r w:rsidR="00CD6AE0" w:rsidRPr="002B15A2">
        <w:t xml:space="preserve"> production expérimentale et les essais de produits, de procédés et de services, à condition qu'ils ne</w:t>
      </w:r>
      <w:r w:rsidR="00CD6AE0">
        <w:t xml:space="preserve"> </w:t>
      </w:r>
      <w:r w:rsidR="00CD6AE0" w:rsidRPr="002B15A2">
        <w:t>puissent être utilisés ou transformés en vue d'une utilisation dans des applications industrielles ou</w:t>
      </w:r>
      <w:r w:rsidR="00CD6AE0">
        <w:t xml:space="preserve"> </w:t>
      </w:r>
      <w:r w:rsidR="00CD6AE0" w:rsidRPr="002B15A2">
        <w:t>commerciales.</w:t>
      </w:r>
      <w:r w:rsidR="00CD6AE0">
        <w:t xml:space="preserve"> </w:t>
      </w:r>
    </w:p>
    <w:p w14:paraId="5DAF2934" w14:textId="77777777" w:rsidR="00CD6AE0" w:rsidRDefault="00CD6AE0" w:rsidP="00E46AA4">
      <w:pPr>
        <w:pStyle w:val="Paragraphedeliste"/>
        <w:numPr>
          <w:ilvl w:val="0"/>
          <w:numId w:val="2"/>
        </w:numPr>
        <w:jc w:val="both"/>
      </w:pPr>
      <w:r w:rsidRPr="002B15A2">
        <w:t>Le développement expérimental ne comprend pas les modifications de routine ou périodiques apportées à</w:t>
      </w:r>
      <w:r>
        <w:t xml:space="preserve"> </w:t>
      </w:r>
      <w:r w:rsidRPr="002B15A2">
        <w:t>des produits, lignes de production, procédés de fabrication, services existants et autres opérations en</w:t>
      </w:r>
      <w:r>
        <w:t xml:space="preserve"> </w:t>
      </w:r>
      <w:r w:rsidRPr="002B15A2">
        <w:t>cours, même si ces modifications peuvent représenter des améliorations.</w:t>
      </w:r>
    </w:p>
    <w:p w14:paraId="398F3491" w14:textId="77777777" w:rsidR="00EA50EE" w:rsidRDefault="00EA50EE" w:rsidP="00EA50EE">
      <w:pPr>
        <w:jc w:val="both"/>
      </w:pPr>
    </w:p>
    <w:p w14:paraId="52642B63" w14:textId="77777777" w:rsidR="00CC56B1" w:rsidRPr="005778BF" w:rsidRDefault="00CC56B1" w:rsidP="005778BF">
      <w:pPr>
        <w:pStyle w:val="Paragraphedeliste"/>
        <w:jc w:val="both"/>
        <w:rPr>
          <w:b/>
          <w:bCs/>
          <w:u w:val="single"/>
        </w:rPr>
      </w:pPr>
    </w:p>
    <w:sectPr w:rsidR="00CC56B1" w:rsidRPr="005778BF" w:rsidSect="0050016D">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9CE79D" w14:textId="77777777" w:rsidR="007577C8" w:rsidRDefault="007577C8" w:rsidP="00A778FA">
      <w:r>
        <w:separator/>
      </w:r>
    </w:p>
  </w:endnote>
  <w:endnote w:type="continuationSeparator" w:id="0">
    <w:p w14:paraId="5957FD86" w14:textId="77777777" w:rsidR="007577C8" w:rsidRDefault="007577C8" w:rsidP="00A778FA">
      <w:r>
        <w:continuationSeparator/>
      </w:r>
    </w:p>
  </w:endnote>
  <w:endnote w:type="continuationNotice" w:id="1">
    <w:p w14:paraId="3A12E66D" w14:textId="77777777" w:rsidR="007577C8" w:rsidRDefault="007577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A969F" w14:textId="77777777" w:rsidR="00DC1BC2" w:rsidRDefault="00DC1BC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B6CE5" w14:textId="77777777" w:rsidR="00DC1BC2" w:rsidRDefault="00DC1BC2">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31D80" w14:textId="77777777" w:rsidR="00DC1BC2" w:rsidRDefault="00DC1BC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DAF0F8" w14:textId="77777777" w:rsidR="007577C8" w:rsidRDefault="007577C8" w:rsidP="00A778FA">
      <w:r>
        <w:separator/>
      </w:r>
    </w:p>
  </w:footnote>
  <w:footnote w:type="continuationSeparator" w:id="0">
    <w:p w14:paraId="7669BFA0" w14:textId="77777777" w:rsidR="007577C8" w:rsidRDefault="007577C8" w:rsidP="00A778FA">
      <w:r>
        <w:continuationSeparator/>
      </w:r>
    </w:p>
  </w:footnote>
  <w:footnote w:type="continuationNotice" w:id="1">
    <w:p w14:paraId="7DFC504C" w14:textId="77777777" w:rsidR="007577C8" w:rsidRDefault="007577C8"/>
  </w:footnote>
  <w:footnote w:id="2">
    <w:p w14:paraId="653E0DD2" w14:textId="77777777" w:rsidR="00995499" w:rsidRDefault="00995499" w:rsidP="00070D20">
      <w:pPr>
        <w:pStyle w:val="Notedebasdepage"/>
        <w:jc w:val="both"/>
      </w:pPr>
      <w:r>
        <w:rPr>
          <w:rStyle w:val="Appelnotedebasdep"/>
        </w:rPr>
        <w:footnoteRef/>
      </w:r>
      <w:r>
        <w:t xml:space="preserve"> </w:t>
      </w:r>
      <w:r w:rsidRPr="00243E13">
        <w:t>Le développement expérimental est une catégorie de recherche dont les projets prévoient l'acquisition, l'association, la mise en forme et l'utilisation de connaissances et de techniques scientifiques, technologiques, commerciales et autres existantes en vue de produire des dispositifs ou des dessins pour la conception de produits, de procédés ou de services nouveaux, modifiés ou améliorés. La réalisation d'un prototype/démonstrateur industriel peut être réalisée dans ce contexte. Le cas échéant, il peut y avoir recours aux équipements des plateformes technologiques.</w:t>
      </w:r>
    </w:p>
  </w:footnote>
  <w:footnote w:id="3">
    <w:p w14:paraId="000DE4C8" w14:textId="77777777" w:rsidR="002D642F" w:rsidRDefault="002D642F" w:rsidP="002D642F">
      <w:pPr>
        <w:pStyle w:val="Notedebasdepage"/>
      </w:pPr>
      <w:r>
        <w:rPr>
          <w:rStyle w:val="Appelnotedebasdep"/>
        </w:rPr>
        <w:footnoteRef/>
      </w:r>
      <w:r w:rsidRPr="003E383C">
        <w:t>L'Administration peut faire appel à des experts indépendants si nécessaire.</w:t>
      </w:r>
    </w:p>
  </w:footnote>
  <w:footnote w:id="4">
    <w:p w14:paraId="300E7F16" w14:textId="77777777" w:rsidR="002D642F" w:rsidRDefault="002D642F" w:rsidP="002D642F">
      <w:pPr>
        <w:pStyle w:val="Notedebasdepage"/>
      </w:pPr>
      <w:r>
        <w:rPr>
          <w:rStyle w:val="Appelnotedebasdep"/>
        </w:rPr>
        <w:footnoteRef/>
      </w:r>
      <w:r>
        <w:t xml:space="preserve"> </w:t>
      </w:r>
      <w:r w:rsidRPr="00C06341">
        <w:t>L'Administration peut faire appel à des experts indépendants si nécessaire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62B17" w14:textId="77777777" w:rsidR="00DC1BC2" w:rsidRDefault="00DC1BC2">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9CCE5" w14:textId="77777777" w:rsidR="00DC1BC2" w:rsidRDefault="00DC1BC2">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F04C9" w14:textId="77777777" w:rsidR="00DC1BC2" w:rsidRDefault="00DC1BC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9C40A4"/>
    <w:multiLevelType w:val="hybridMultilevel"/>
    <w:tmpl w:val="17F2F2FC"/>
    <w:lvl w:ilvl="0" w:tplc="CA1059E2">
      <w:numFmt w:val="bullet"/>
      <w:lvlText w:val="-"/>
      <w:lvlJc w:val="left"/>
      <w:pPr>
        <w:ind w:left="720" w:hanging="360"/>
      </w:pPr>
      <w:rPr>
        <w:rFonts w:ascii="Century Gothic" w:eastAsiaTheme="minorHAnsi" w:hAnsi="Century Gothic"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17F13D08"/>
    <w:multiLevelType w:val="hybridMultilevel"/>
    <w:tmpl w:val="32B8180E"/>
    <w:lvl w:ilvl="0" w:tplc="24985834">
      <w:numFmt w:val="bullet"/>
      <w:lvlText w:val="-"/>
      <w:lvlJc w:val="left"/>
      <w:pPr>
        <w:ind w:left="720" w:hanging="360"/>
      </w:pPr>
      <w:rPr>
        <w:rFonts w:ascii="Century Gothic" w:eastAsiaTheme="minorHAnsi" w:hAnsi="Century Gothic"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20081065"/>
    <w:multiLevelType w:val="hybridMultilevel"/>
    <w:tmpl w:val="67F8F2E4"/>
    <w:lvl w:ilvl="0" w:tplc="CA1059E2">
      <w:numFmt w:val="bullet"/>
      <w:lvlText w:val="-"/>
      <w:lvlJc w:val="left"/>
      <w:pPr>
        <w:ind w:left="720" w:hanging="360"/>
      </w:pPr>
      <w:rPr>
        <w:rFonts w:ascii="Century Gothic" w:eastAsiaTheme="minorHAnsi" w:hAnsi="Century Gothic"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26391D16"/>
    <w:multiLevelType w:val="hybridMultilevel"/>
    <w:tmpl w:val="2A0201C6"/>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2B173C93"/>
    <w:multiLevelType w:val="hybridMultilevel"/>
    <w:tmpl w:val="1DC0D24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35A65E71"/>
    <w:multiLevelType w:val="multilevel"/>
    <w:tmpl w:val="D0F87996"/>
    <w:lvl w:ilvl="0">
      <w:start w:val="1"/>
      <w:numFmt w:val="decimal"/>
      <w:pStyle w:val="Titre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37851786"/>
    <w:multiLevelType w:val="hybridMultilevel"/>
    <w:tmpl w:val="5F3C1A6A"/>
    <w:lvl w:ilvl="0" w:tplc="CA1059E2">
      <w:numFmt w:val="bullet"/>
      <w:lvlText w:val="-"/>
      <w:lvlJc w:val="left"/>
      <w:pPr>
        <w:ind w:left="720" w:hanging="360"/>
      </w:pPr>
      <w:rPr>
        <w:rFonts w:ascii="Century Gothic" w:eastAsiaTheme="minorHAnsi" w:hAnsi="Century Gothic"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41604245"/>
    <w:multiLevelType w:val="hybridMultilevel"/>
    <w:tmpl w:val="FCA4C078"/>
    <w:lvl w:ilvl="0" w:tplc="477CE6F2">
      <w:start w:val="1"/>
      <w:numFmt w:val="decimal"/>
      <w:lvlText w:val="%1."/>
      <w:lvlJc w:val="left"/>
      <w:pPr>
        <w:ind w:left="720" w:hanging="360"/>
      </w:pPr>
      <w:rPr>
        <w:rFonts w:hint="default"/>
        <w:b/>
        <w:bCs/>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15:restartNumberingAfterBreak="0">
    <w:nsid w:val="43D46F5A"/>
    <w:multiLevelType w:val="hybridMultilevel"/>
    <w:tmpl w:val="2B04ACC4"/>
    <w:lvl w:ilvl="0" w:tplc="CA1059E2">
      <w:numFmt w:val="bullet"/>
      <w:lvlText w:val="-"/>
      <w:lvlJc w:val="left"/>
      <w:pPr>
        <w:ind w:left="720" w:hanging="360"/>
      </w:pPr>
      <w:rPr>
        <w:rFonts w:ascii="Century Gothic" w:eastAsiaTheme="minorHAnsi" w:hAnsi="Century Gothic"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4BED1348"/>
    <w:multiLevelType w:val="hybridMultilevel"/>
    <w:tmpl w:val="DD2C936A"/>
    <w:lvl w:ilvl="0" w:tplc="6734BC1C">
      <w:start w:val="1"/>
      <w:numFmt w:val="bullet"/>
      <w:lvlText w:val="-"/>
      <w:lvlJc w:val="left"/>
      <w:pPr>
        <w:ind w:left="720" w:hanging="360"/>
      </w:pPr>
      <w:rPr>
        <w:rFonts w:ascii="Calibri" w:eastAsia="Calibr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63377824"/>
    <w:multiLevelType w:val="hybridMultilevel"/>
    <w:tmpl w:val="C370382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66452649"/>
    <w:multiLevelType w:val="hybridMultilevel"/>
    <w:tmpl w:val="0494015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6E5C1DF2"/>
    <w:multiLevelType w:val="hybridMultilevel"/>
    <w:tmpl w:val="E4D20AA4"/>
    <w:lvl w:ilvl="0" w:tplc="CA1059E2">
      <w:numFmt w:val="bullet"/>
      <w:lvlText w:val="-"/>
      <w:lvlJc w:val="left"/>
      <w:pPr>
        <w:ind w:left="720" w:hanging="360"/>
      </w:pPr>
      <w:rPr>
        <w:rFonts w:ascii="Century Gothic" w:eastAsiaTheme="minorHAnsi" w:hAnsi="Century Gothic"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72922D54"/>
    <w:multiLevelType w:val="hybridMultilevel"/>
    <w:tmpl w:val="CA385D06"/>
    <w:lvl w:ilvl="0" w:tplc="D9BEE7F2">
      <w:start w:val="4"/>
      <w:numFmt w:val="bullet"/>
      <w:lvlText w:val="-"/>
      <w:lvlJc w:val="left"/>
      <w:pPr>
        <w:ind w:left="1080" w:hanging="360"/>
      </w:pPr>
      <w:rPr>
        <w:rFonts w:ascii="Century Gothic" w:eastAsiaTheme="minorHAnsi" w:hAnsi="Century Gothic" w:cs="Calibri"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4" w15:restartNumberingAfterBreak="0">
    <w:nsid w:val="738D2F8E"/>
    <w:multiLevelType w:val="hybridMultilevel"/>
    <w:tmpl w:val="829E9134"/>
    <w:lvl w:ilvl="0" w:tplc="CA1059E2">
      <w:numFmt w:val="bullet"/>
      <w:lvlText w:val="-"/>
      <w:lvlJc w:val="left"/>
      <w:pPr>
        <w:ind w:left="720" w:hanging="360"/>
      </w:pPr>
      <w:rPr>
        <w:rFonts w:ascii="Century Gothic" w:eastAsiaTheme="minorHAnsi" w:hAnsi="Century Gothic"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673558519">
    <w:abstractNumId w:val="5"/>
  </w:num>
  <w:num w:numId="2" w16cid:durableId="58789098">
    <w:abstractNumId w:val="3"/>
  </w:num>
  <w:num w:numId="3" w16cid:durableId="58329554">
    <w:abstractNumId w:val="8"/>
  </w:num>
  <w:num w:numId="4" w16cid:durableId="790396921">
    <w:abstractNumId w:val="12"/>
  </w:num>
  <w:num w:numId="5" w16cid:durableId="664938125">
    <w:abstractNumId w:val="2"/>
  </w:num>
  <w:num w:numId="6" w16cid:durableId="860321577">
    <w:abstractNumId w:val="0"/>
  </w:num>
  <w:num w:numId="7" w16cid:durableId="766001117">
    <w:abstractNumId w:val="14"/>
  </w:num>
  <w:num w:numId="8" w16cid:durableId="1619028992">
    <w:abstractNumId w:val="6"/>
  </w:num>
  <w:num w:numId="9" w16cid:durableId="548734348">
    <w:abstractNumId w:val="13"/>
  </w:num>
  <w:num w:numId="10" w16cid:durableId="459686807">
    <w:abstractNumId w:val="1"/>
  </w:num>
  <w:num w:numId="11" w16cid:durableId="714624798">
    <w:abstractNumId w:val="10"/>
  </w:num>
  <w:num w:numId="12" w16cid:durableId="1899321303">
    <w:abstractNumId w:val="11"/>
  </w:num>
  <w:num w:numId="13" w16cid:durableId="2121681222">
    <w:abstractNumId w:val="9"/>
  </w:num>
  <w:num w:numId="14" w16cid:durableId="1053043675">
    <w:abstractNumId w:val="7"/>
  </w:num>
  <w:num w:numId="15" w16cid:durableId="519316623">
    <w:abstractNumId w:val="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BE" w:vendorID="64" w:dllVersion="0" w:nlCheck="1" w:checkStyle="0"/>
  <w:activeWritingStyle w:appName="MSWord" w:lang="en-GB" w:vendorID="64" w:dllVersion="0" w:nlCheck="1" w:checkStyle="0"/>
  <w:activeWritingStyle w:appName="MSWord" w:lang="fr-FR" w:vendorID="64" w:dllVersion="0" w:nlCheck="1" w:checkStyle="0"/>
  <w:activeWritingStyle w:appName="MSWord" w:lang="de-DE" w:vendorID="64" w:dllVersion="0" w:nlCheck="1" w:checkStyle="0"/>
  <w:activeWritingStyle w:appName="MSWord" w:lang="en-US" w:vendorID="64" w:dllVersion="0" w:nlCheck="1" w:checkStyle="0"/>
  <w:proofState w:spelling="clean" w:grammar="clean"/>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8FA"/>
    <w:rsid w:val="0000757A"/>
    <w:rsid w:val="00010754"/>
    <w:rsid w:val="00010EB6"/>
    <w:rsid w:val="00025EAA"/>
    <w:rsid w:val="00026FBD"/>
    <w:rsid w:val="000270CC"/>
    <w:rsid w:val="000306E0"/>
    <w:rsid w:val="000309DF"/>
    <w:rsid w:val="00036D7B"/>
    <w:rsid w:val="00046A3C"/>
    <w:rsid w:val="00055603"/>
    <w:rsid w:val="000561B9"/>
    <w:rsid w:val="00064C65"/>
    <w:rsid w:val="00070D20"/>
    <w:rsid w:val="000765F1"/>
    <w:rsid w:val="000832BC"/>
    <w:rsid w:val="00085C6B"/>
    <w:rsid w:val="00086F0E"/>
    <w:rsid w:val="000911E4"/>
    <w:rsid w:val="00093F8D"/>
    <w:rsid w:val="0009593B"/>
    <w:rsid w:val="000B1923"/>
    <w:rsid w:val="000F4964"/>
    <w:rsid w:val="000F7B0A"/>
    <w:rsid w:val="00107649"/>
    <w:rsid w:val="001153F4"/>
    <w:rsid w:val="001229E2"/>
    <w:rsid w:val="00122D4B"/>
    <w:rsid w:val="001256FC"/>
    <w:rsid w:val="0013435C"/>
    <w:rsid w:val="00134585"/>
    <w:rsid w:val="00136773"/>
    <w:rsid w:val="00137F91"/>
    <w:rsid w:val="00145124"/>
    <w:rsid w:val="00150413"/>
    <w:rsid w:val="001553FF"/>
    <w:rsid w:val="00167E38"/>
    <w:rsid w:val="00167EC9"/>
    <w:rsid w:val="0017334E"/>
    <w:rsid w:val="00181AD6"/>
    <w:rsid w:val="00183882"/>
    <w:rsid w:val="001844AC"/>
    <w:rsid w:val="00186869"/>
    <w:rsid w:val="00190338"/>
    <w:rsid w:val="00194266"/>
    <w:rsid w:val="001A1A77"/>
    <w:rsid w:val="001A5451"/>
    <w:rsid w:val="001B44BB"/>
    <w:rsid w:val="001C2DE3"/>
    <w:rsid w:val="001C7B04"/>
    <w:rsid w:val="001E1149"/>
    <w:rsid w:val="001E3E78"/>
    <w:rsid w:val="001E708C"/>
    <w:rsid w:val="00200CD3"/>
    <w:rsid w:val="00200ECD"/>
    <w:rsid w:val="002034C9"/>
    <w:rsid w:val="002078BC"/>
    <w:rsid w:val="00215C20"/>
    <w:rsid w:val="002175A4"/>
    <w:rsid w:val="00230364"/>
    <w:rsid w:val="0023290B"/>
    <w:rsid w:val="0023311A"/>
    <w:rsid w:val="0024620E"/>
    <w:rsid w:val="0025197E"/>
    <w:rsid w:val="0025535D"/>
    <w:rsid w:val="0026089F"/>
    <w:rsid w:val="00263455"/>
    <w:rsid w:val="002948B8"/>
    <w:rsid w:val="002A146D"/>
    <w:rsid w:val="002A28C2"/>
    <w:rsid w:val="002A5BC8"/>
    <w:rsid w:val="002A5E3D"/>
    <w:rsid w:val="002A63B6"/>
    <w:rsid w:val="002B15A2"/>
    <w:rsid w:val="002C4EEF"/>
    <w:rsid w:val="002C53C7"/>
    <w:rsid w:val="002D539E"/>
    <w:rsid w:val="002D642F"/>
    <w:rsid w:val="002F7379"/>
    <w:rsid w:val="00300B17"/>
    <w:rsid w:val="003025D6"/>
    <w:rsid w:val="00305CFA"/>
    <w:rsid w:val="003109E2"/>
    <w:rsid w:val="00314936"/>
    <w:rsid w:val="00320962"/>
    <w:rsid w:val="003227E9"/>
    <w:rsid w:val="00331206"/>
    <w:rsid w:val="0033171F"/>
    <w:rsid w:val="0033649E"/>
    <w:rsid w:val="003456F9"/>
    <w:rsid w:val="00346DCF"/>
    <w:rsid w:val="00347D27"/>
    <w:rsid w:val="00350DDA"/>
    <w:rsid w:val="00351987"/>
    <w:rsid w:val="0035352C"/>
    <w:rsid w:val="00355706"/>
    <w:rsid w:val="00355E21"/>
    <w:rsid w:val="00364B3F"/>
    <w:rsid w:val="00374748"/>
    <w:rsid w:val="003A3B74"/>
    <w:rsid w:val="003A7B82"/>
    <w:rsid w:val="003B0101"/>
    <w:rsid w:val="003B5960"/>
    <w:rsid w:val="003C2C55"/>
    <w:rsid w:val="003C2FA3"/>
    <w:rsid w:val="003C3098"/>
    <w:rsid w:val="003D06D9"/>
    <w:rsid w:val="003D0989"/>
    <w:rsid w:val="003D632C"/>
    <w:rsid w:val="003E21F9"/>
    <w:rsid w:val="003E2F72"/>
    <w:rsid w:val="003E383C"/>
    <w:rsid w:val="003E7794"/>
    <w:rsid w:val="003F1617"/>
    <w:rsid w:val="003F7245"/>
    <w:rsid w:val="00401A99"/>
    <w:rsid w:val="0041652E"/>
    <w:rsid w:val="0042260B"/>
    <w:rsid w:val="00423AFC"/>
    <w:rsid w:val="00427940"/>
    <w:rsid w:val="004314F4"/>
    <w:rsid w:val="00441A24"/>
    <w:rsid w:val="00442C18"/>
    <w:rsid w:val="00443130"/>
    <w:rsid w:val="004515E8"/>
    <w:rsid w:val="00453985"/>
    <w:rsid w:val="0047275D"/>
    <w:rsid w:val="00477B45"/>
    <w:rsid w:val="00484F89"/>
    <w:rsid w:val="00486EDF"/>
    <w:rsid w:val="004905DD"/>
    <w:rsid w:val="00491FAD"/>
    <w:rsid w:val="0049568C"/>
    <w:rsid w:val="004A1879"/>
    <w:rsid w:val="004A400D"/>
    <w:rsid w:val="004B0EE5"/>
    <w:rsid w:val="004B35EC"/>
    <w:rsid w:val="004C7F66"/>
    <w:rsid w:val="004D0A54"/>
    <w:rsid w:val="004D477E"/>
    <w:rsid w:val="004D687C"/>
    <w:rsid w:val="004E0AA7"/>
    <w:rsid w:val="004E0EFD"/>
    <w:rsid w:val="004F3CC3"/>
    <w:rsid w:val="0050016D"/>
    <w:rsid w:val="00500EBE"/>
    <w:rsid w:val="005073BB"/>
    <w:rsid w:val="00510C81"/>
    <w:rsid w:val="00510CC9"/>
    <w:rsid w:val="005228B9"/>
    <w:rsid w:val="00525076"/>
    <w:rsid w:val="00531794"/>
    <w:rsid w:val="0054373C"/>
    <w:rsid w:val="00544F94"/>
    <w:rsid w:val="0054650E"/>
    <w:rsid w:val="0055105C"/>
    <w:rsid w:val="0055264A"/>
    <w:rsid w:val="005610A3"/>
    <w:rsid w:val="005613B6"/>
    <w:rsid w:val="00562034"/>
    <w:rsid w:val="005778BF"/>
    <w:rsid w:val="00583BDA"/>
    <w:rsid w:val="00592D85"/>
    <w:rsid w:val="0059775E"/>
    <w:rsid w:val="005A209A"/>
    <w:rsid w:val="005A6FD3"/>
    <w:rsid w:val="005B11AA"/>
    <w:rsid w:val="005B246D"/>
    <w:rsid w:val="005F72F3"/>
    <w:rsid w:val="00606066"/>
    <w:rsid w:val="00615C92"/>
    <w:rsid w:val="00617330"/>
    <w:rsid w:val="006200E5"/>
    <w:rsid w:val="00641317"/>
    <w:rsid w:val="00642729"/>
    <w:rsid w:val="00643347"/>
    <w:rsid w:val="00650B23"/>
    <w:rsid w:val="00657FAD"/>
    <w:rsid w:val="00667784"/>
    <w:rsid w:val="00671BB7"/>
    <w:rsid w:val="006757DD"/>
    <w:rsid w:val="0068343B"/>
    <w:rsid w:val="006A3EA8"/>
    <w:rsid w:val="006A6B34"/>
    <w:rsid w:val="006B0FFF"/>
    <w:rsid w:val="006B181E"/>
    <w:rsid w:val="006B68D5"/>
    <w:rsid w:val="006B7633"/>
    <w:rsid w:val="006C153C"/>
    <w:rsid w:val="006C7C81"/>
    <w:rsid w:val="006D23AE"/>
    <w:rsid w:val="006D7EA6"/>
    <w:rsid w:val="006E3593"/>
    <w:rsid w:val="006E7A1B"/>
    <w:rsid w:val="006F6E65"/>
    <w:rsid w:val="00704DF7"/>
    <w:rsid w:val="0072308F"/>
    <w:rsid w:val="00724363"/>
    <w:rsid w:val="00725159"/>
    <w:rsid w:val="00735473"/>
    <w:rsid w:val="00740947"/>
    <w:rsid w:val="00744FBE"/>
    <w:rsid w:val="0075074B"/>
    <w:rsid w:val="007577C8"/>
    <w:rsid w:val="00773FC8"/>
    <w:rsid w:val="00781CF5"/>
    <w:rsid w:val="0078562B"/>
    <w:rsid w:val="00797BEE"/>
    <w:rsid w:val="007A5346"/>
    <w:rsid w:val="007A6510"/>
    <w:rsid w:val="007B5D72"/>
    <w:rsid w:val="007C7D55"/>
    <w:rsid w:val="007E3347"/>
    <w:rsid w:val="007E72FD"/>
    <w:rsid w:val="007F56B6"/>
    <w:rsid w:val="00814A9F"/>
    <w:rsid w:val="0081533D"/>
    <w:rsid w:val="008177E5"/>
    <w:rsid w:val="00835BB8"/>
    <w:rsid w:val="008521D4"/>
    <w:rsid w:val="00854661"/>
    <w:rsid w:val="00855D33"/>
    <w:rsid w:val="00862D57"/>
    <w:rsid w:val="00863E77"/>
    <w:rsid w:val="00870979"/>
    <w:rsid w:val="00892072"/>
    <w:rsid w:val="00893BF8"/>
    <w:rsid w:val="00896FCE"/>
    <w:rsid w:val="0089707E"/>
    <w:rsid w:val="008970A1"/>
    <w:rsid w:val="008A1C34"/>
    <w:rsid w:val="008A502A"/>
    <w:rsid w:val="008C5750"/>
    <w:rsid w:val="008C621D"/>
    <w:rsid w:val="008D1B5D"/>
    <w:rsid w:val="008D2F67"/>
    <w:rsid w:val="008D34D2"/>
    <w:rsid w:val="008D6A24"/>
    <w:rsid w:val="008D74EB"/>
    <w:rsid w:val="008F194A"/>
    <w:rsid w:val="00900307"/>
    <w:rsid w:val="009066D4"/>
    <w:rsid w:val="00914AD3"/>
    <w:rsid w:val="00915C95"/>
    <w:rsid w:val="00932DA9"/>
    <w:rsid w:val="00934D42"/>
    <w:rsid w:val="00934E6E"/>
    <w:rsid w:val="00940ED0"/>
    <w:rsid w:val="00941859"/>
    <w:rsid w:val="00946D31"/>
    <w:rsid w:val="009475DD"/>
    <w:rsid w:val="009557BA"/>
    <w:rsid w:val="00956E0F"/>
    <w:rsid w:val="00961ED4"/>
    <w:rsid w:val="0096287D"/>
    <w:rsid w:val="00964255"/>
    <w:rsid w:val="00966C6A"/>
    <w:rsid w:val="00977073"/>
    <w:rsid w:val="009827F7"/>
    <w:rsid w:val="009827FF"/>
    <w:rsid w:val="00986DBA"/>
    <w:rsid w:val="009906F0"/>
    <w:rsid w:val="00995499"/>
    <w:rsid w:val="00997D63"/>
    <w:rsid w:val="009B05FE"/>
    <w:rsid w:val="009B1C7B"/>
    <w:rsid w:val="009C0C95"/>
    <w:rsid w:val="009C1CBF"/>
    <w:rsid w:val="009E6108"/>
    <w:rsid w:val="009E7C77"/>
    <w:rsid w:val="009F6D2B"/>
    <w:rsid w:val="009F744C"/>
    <w:rsid w:val="00A10990"/>
    <w:rsid w:val="00A12C95"/>
    <w:rsid w:val="00A14BEA"/>
    <w:rsid w:val="00A16BC4"/>
    <w:rsid w:val="00A41486"/>
    <w:rsid w:val="00A47A6F"/>
    <w:rsid w:val="00A550CB"/>
    <w:rsid w:val="00A5724E"/>
    <w:rsid w:val="00A620D9"/>
    <w:rsid w:val="00A7119A"/>
    <w:rsid w:val="00A7781F"/>
    <w:rsid w:val="00A778FA"/>
    <w:rsid w:val="00A77DA6"/>
    <w:rsid w:val="00AB2D3F"/>
    <w:rsid w:val="00AB3C1B"/>
    <w:rsid w:val="00AC463C"/>
    <w:rsid w:val="00AC4C36"/>
    <w:rsid w:val="00AD17F5"/>
    <w:rsid w:val="00AD2A97"/>
    <w:rsid w:val="00AD3BD0"/>
    <w:rsid w:val="00AD5261"/>
    <w:rsid w:val="00AD63DD"/>
    <w:rsid w:val="00AD7997"/>
    <w:rsid w:val="00AE2538"/>
    <w:rsid w:val="00AF4A95"/>
    <w:rsid w:val="00AF4B48"/>
    <w:rsid w:val="00B1059F"/>
    <w:rsid w:val="00B10F30"/>
    <w:rsid w:val="00B1230F"/>
    <w:rsid w:val="00B12A49"/>
    <w:rsid w:val="00B141C5"/>
    <w:rsid w:val="00B14C41"/>
    <w:rsid w:val="00B14CA7"/>
    <w:rsid w:val="00B15A88"/>
    <w:rsid w:val="00B21A3C"/>
    <w:rsid w:val="00B30B02"/>
    <w:rsid w:val="00B62D89"/>
    <w:rsid w:val="00B630C4"/>
    <w:rsid w:val="00B63470"/>
    <w:rsid w:val="00B71106"/>
    <w:rsid w:val="00B72B6C"/>
    <w:rsid w:val="00B86C7C"/>
    <w:rsid w:val="00B966DA"/>
    <w:rsid w:val="00BA1C70"/>
    <w:rsid w:val="00BA591B"/>
    <w:rsid w:val="00BC4ED4"/>
    <w:rsid w:val="00BC5DF5"/>
    <w:rsid w:val="00BD1E36"/>
    <w:rsid w:val="00C006B4"/>
    <w:rsid w:val="00C03A84"/>
    <w:rsid w:val="00C06341"/>
    <w:rsid w:val="00C13251"/>
    <w:rsid w:val="00C13A90"/>
    <w:rsid w:val="00C14021"/>
    <w:rsid w:val="00C14770"/>
    <w:rsid w:val="00C257F5"/>
    <w:rsid w:val="00C36668"/>
    <w:rsid w:val="00C36CBB"/>
    <w:rsid w:val="00C421AF"/>
    <w:rsid w:val="00C572FF"/>
    <w:rsid w:val="00C77A32"/>
    <w:rsid w:val="00C807CE"/>
    <w:rsid w:val="00C8096C"/>
    <w:rsid w:val="00C80AA3"/>
    <w:rsid w:val="00C9213D"/>
    <w:rsid w:val="00CA6A5E"/>
    <w:rsid w:val="00CC56B1"/>
    <w:rsid w:val="00CD59B0"/>
    <w:rsid w:val="00CD6AE0"/>
    <w:rsid w:val="00CE176E"/>
    <w:rsid w:val="00CE1C52"/>
    <w:rsid w:val="00CE407F"/>
    <w:rsid w:val="00CF602A"/>
    <w:rsid w:val="00D0141E"/>
    <w:rsid w:val="00D02D47"/>
    <w:rsid w:val="00D05286"/>
    <w:rsid w:val="00D0550B"/>
    <w:rsid w:val="00D0678E"/>
    <w:rsid w:val="00D10236"/>
    <w:rsid w:val="00D16B3B"/>
    <w:rsid w:val="00D17F3B"/>
    <w:rsid w:val="00D25867"/>
    <w:rsid w:val="00D25BC1"/>
    <w:rsid w:val="00D279BA"/>
    <w:rsid w:val="00D36A23"/>
    <w:rsid w:val="00D4279C"/>
    <w:rsid w:val="00D57723"/>
    <w:rsid w:val="00D711CE"/>
    <w:rsid w:val="00D8383A"/>
    <w:rsid w:val="00D83B00"/>
    <w:rsid w:val="00D86B9A"/>
    <w:rsid w:val="00D92E44"/>
    <w:rsid w:val="00D9458F"/>
    <w:rsid w:val="00D945E6"/>
    <w:rsid w:val="00DA3921"/>
    <w:rsid w:val="00DA4594"/>
    <w:rsid w:val="00DA4A1A"/>
    <w:rsid w:val="00DB1AF1"/>
    <w:rsid w:val="00DB3BBB"/>
    <w:rsid w:val="00DC1BC2"/>
    <w:rsid w:val="00DD58FA"/>
    <w:rsid w:val="00DD757E"/>
    <w:rsid w:val="00DE365B"/>
    <w:rsid w:val="00DE6312"/>
    <w:rsid w:val="00E0054B"/>
    <w:rsid w:val="00E0173A"/>
    <w:rsid w:val="00E15425"/>
    <w:rsid w:val="00E156E1"/>
    <w:rsid w:val="00E1694F"/>
    <w:rsid w:val="00E2715D"/>
    <w:rsid w:val="00E33968"/>
    <w:rsid w:val="00E34AF0"/>
    <w:rsid w:val="00E40C10"/>
    <w:rsid w:val="00E40C39"/>
    <w:rsid w:val="00E4406C"/>
    <w:rsid w:val="00E447D7"/>
    <w:rsid w:val="00E46AA4"/>
    <w:rsid w:val="00E46BE2"/>
    <w:rsid w:val="00E523DE"/>
    <w:rsid w:val="00E60280"/>
    <w:rsid w:val="00E615DA"/>
    <w:rsid w:val="00E767FE"/>
    <w:rsid w:val="00E832EE"/>
    <w:rsid w:val="00E83A9F"/>
    <w:rsid w:val="00E85AD5"/>
    <w:rsid w:val="00E86795"/>
    <w:rsid w:val="00E92839"/>
    <w:rsid w:val="00EA125C"/>
    <w:rsid w:val="00EA1737"/>
    <w:rsid w:val="00EA50EE"/>
    <w:rsid w:val="00EC10EE"/>
    <w:rsid w:val="00EC2FA0"/>
    <w:rsid w:val="00EC31D0"/>
    <w:rsid w:val="00EC4CA4"/>
    <w:rsid w:val="00EC6392"/>
    <w:rsid w:val="00EE5E88"/>
    <w:rsid w:val="00F0510D"/>
    <w:rsid w:val="00F051BD"/>
    <w:rsid w:val="00F07179"/>
    <w:rsid w:val="00F1035D"/>
    <w:rsid w:val="00F141C4"/>
    <w:rsid w:val="00F24CF1"/>
    <w:rsid w:val="00F25307"/>
    <w:rsid w:val="00F33857"/>
    <w:rsid w:val="00F4034C"/>
    <w:rsid w:val="00F41E2F"/>
    <w:rsid w:val="00F53982"/>
    <w:rsid w:val="00F7156C"/>
    <w:rsid w:val="00F80549"/>
    <w:rsid w:val="00F860B3"/>
    <w:rsid w:val="00F94123"/>
    <w:rsid w:val="00F94356"/>
    <w:rsid w:val="00FB01CA"/>
    <w:rsid w:val="00FC06A2"/>
    <w:rsid w:val="00FC0731"/>
    <w:rsid w:val="00FC3EB1"/>
    <w:rsid w:val="00FE3B79"/>
    <w:rsid w:val="00FF0B68"/>
    <w:rsid w:val="00FF15F1"/>
    <w:rsid w:val="233A92EE"/>
  </w:rsids>
  <m:mathPr>
    <m:mathFont m:val="Cambria Math"/>
    <m:brkBin m:val="before"/>
    <m:brkBinSub m:val="--"/>
    <m:smallFrac m:val="0"/>
    <m:dispDef/>
    <m:lMargin m:val="0"/>
    <m:rMargin m:val="0"/>
    <m:defJc m:val="centerGroup"/>
    <m:wrapIndent m:val="1440"/>
    <m:intLim m:val="subSup"/>
    <m:naryLim m:val="undOvr"/>
  </m:mathPr>
  <w:themeFontLang w:val="fr-BE"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AABD76"/>
  <w15:chartTrackingRefBased/>
  <w15:docId w15:val="{A4FB315A-DB5F-4AC0-B029-76052E925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Theme="minorHAnsi" w:hAnsi="Century Gothic" w:cs="Times New Roman"/>
        <w:sz w:val="22"/>
        <w:szCs w:val="22"/>
        <w:lang w:val="fr-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06F0"/>
  </w:style>
  <w:style w:type="paragraph" w:styleId="Titre1">
    <w:name w:val="heading 1"/>
    <w:basedOn w:val="Normal"/>
    <w:next w:val="Normal"/>
    <w:link w:val="Titre1Car"/>
    <w:autoRedefine/>
    <w:uiPriority w:val="9"/>
    <w:qFormat/>
    <w:rsid w:val="003E2F72"/>
    <w:pPr>
      <w:keepNext/>
      <w:keepLines/>
      <w:numPr>
        <w:numId w:val="1"/>
      </w:numPr>
      <w:spacing w:before="120" w:after="120"/>
      <w:ind w:hanging="36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link w:val="Titre2Car"/>
    <w:uiPriority w:val="9"/>
    <w:qFormat/>
    <w:rsid w:val="00A778FA"/>
    <w:pPr>
      <w:spacing w:before="100" w:beforeAutospacing="1" w:after="100" w:afterAutospacing="1"/>
      <w:outlineLvl w:val="1"/>
    </w:pPr>
    <w:rPr>
      <w:rFonts w:ascii="Times New Roman" w:eastAsia="Times New Roman" w:hAnsi="Times New Roman"/>
      <w:b/>
      <w:bCs/>
      <w:sz w:val="36"/>
      <w:szCs w:val="36"/>
      <w:lang w:eastAsia="fr-BE"/>
    </w:rPr>
  </w:style>
  <w:style w:type="paragraph" w:styleId="Titre3">
    <w:name w:val="heading 3"/>
    <w:basedOn w:val="Normal"/>
    <w:next w:val="Normal"/>
    <w:link w:val="Titre3Car"/>
    <w:uiPriority w:val="9"/>
    <w:unhideWhenUsed/>
    <w:qFormat/>
    <w:rsid w:val="00D4279C"/>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semiHidden/>
    <w:unhideWhenUsed/>
    <w:qFormat/>
    <w:rsid w:val="00D4279C"/>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E2F72"/>
    <w:rPr>
      <w:rFonts w:asciiTheme="majorHAnsi" w:eastAsiaTheme="majorEastAsia" w:hAnsiTheme="majorHAnsi" w:cstheme="majorBidi"/>
      <w:color w:val="2F5496" w:themeColor="accent1" w:themeShade="BF"/>
      <w:sz w:val="32"/>
      <w:szCs w:val="32"/>
    </w:rPr>
  </w:style>
  <w:style w:type="paragraph" w:customStyle="1" w:styleId="N1">
    <w:name w:val="N1"/>
    <w:basedOn w:val="Titre3"/>
    <w:qFormat/>
    <w:rsid w:val="00D4279C"/>
    <w:pPr>
      <w:keepLines w:val="0"/>
      <w:spacing w:before="0"/>
      <w:jc w:val="center"/>
    </w:pPr>
    <w:rPr>
      <w:rFonts w:ascii="Century Gothic" w:eastAsia="Times New Roman" w:hAnsi="Century Gothic" w:cs="Tahoma"/>
      <w:b/>
      <w:color w:val="0070C0"/>
      <w:sz w:val="28"/>
      <w:szCs w:val="28"/>
      <w:lang w:eastAsia="de-DE"/>
    </w:rPr>
  </w:style>
  <w:style w:type="character" w:customStyle="1" w:styleId="Titre3Car">
    <w:name w:val="Titre 3 Car"/>
    <w:basedOn w:val="Policepardfaut"/>
    <w:link w:val="Titre3"/>
    <w:uiPriority w:val="9"/>
    <w:rsid w:val="00D4279C"/>
    <w:rPr>
      <w:rFonts w:asciiTheme="majorHAnsi" w:eastAsiaTheme="majorEastAsia" w:hAnsiTheme="majorHAnsi" w:cstheme="majorBidi"/>
      <w:color w:val="1F3763" w:themeColor="accent1" w:themeShade="7F"/>
      <w:sz w:val="24"/>
      <w:szCs w:val="24"/>
    </w:rPr>
  </w:style>
  <w:style w:type="paragraph" w:customStyle="1" w:styleId="N2">
    <w:name w:val="N2"/>
    <w:basedOn w:val="Titre3"/>
    <w:qFormat/>
    <w:rsid w:val="00D4279C"/>
    <w:pPr>
      <w:keepLines w:val="0"/>
      <w:spacing w:before="0"/>
      <w:jc w:val="center"/>
    </w:pPr>
    <w:rPr>
      <w:rFonts w:ascii="Century Gothic" w:eastAsia="Times New Roman" w:hAnsi="Century Gothic" w:cs="Tahoma"/>
      <w:b/>
      <w:color w:val="0070C0"/>
      <w:sz w:val="28"/>
      <w:szCs w:val="28"/>
      <w:lang w:eastAsia="de-DE"/>
    </w:rPr>
  </w:style>
  <w:style w:type="paragraph" w:customStyle="1" w:styleId="N3">
    <w:name w:val="N3"/>
    <w:basedOn w:val="Normal"/>
    <w:qFormat/>
    <w:rsid w:val="00D4279C"/>
    <w:pPr>
      <w:jc w:val="both"/>
    </w:pPr>
    <w:rPr>
      <w:rFonts w:eastAsia="Times New Roman" w:cs="Tahoma"/>
      <w:b/>
      <w:color w:val="0070C0"/>
      <w:lang w:eastAsia="de-DE"/>
    </w:rPr>
  </w:style>
  <w:style w:type="paragraph" w:customStyle="1" w:styleId="N4">
    <w:name w:val="N4"/>
    <w:basedOn w:val="Titre4"/>
    <w:qFormat/>
    <w:rsid w:val="00D4279C"/>
    <w:pPr>
      <w:keepLines w:val="0"/>
      <w:spacing w:before="0"/>
      <w:ind w:left="720"/>
      <w:jc w:val="both"/>
    </w:pPr>
    <w:rPr>
      <w:rFonts w:ascii="Century Gothic" w:eastAsia="Times New Roman" w:hAnsi="Century Gothic" w:cs="Times New Roman"/>
      <w:b/>
      <w:i w:val="0"/>
      <w:iCs w:val="0"/>
      <w:color w:val="0070C0"/>
      <w:lang w:eastAsia="de-DE"/>
    </w:rPr>
  </w:style>
  <w:style w:type="character" w:customStyle="1" w:styleId="Titre4Car">
    <w:name w:val="Titre 4 Car"/>
    <w:basedOn w:val="Policepardfaut"/>
    <w:link w:val="Titre4"/>
    <w:uiPriority w:val="9"/>
    <w:semiHidden/>
    <w:rsid w:val="00D4279C"/>
    <w:rPr>
      <w:rFonts w:asciiTheme="majorHAnsi" w:eastAsiaTheme="majorEastAsia" w:hAnsiTheme="majorHAnsi" w:cstheme="majorBidi"/>
      <w:i/>
      <w:iCs/>
      <w:color w:val="2F5496" w:themeColor="accent1" w:themeShade="BF"/>
    </w:rPr>
  </w:style>
  <w:style w:type="character" w:customStyle="1" w:styleId="Titre2Car">
    <w:name w:val="Titre 2 Car"/>
    <w:basedOn w:val="Policepardfaut"/>
    <w:link w:val="Titre2"/>
    <w:uiPriority w:val="9"/>
    <w:rsid w:val="00A778FA"/>
    <w:rPr>
      <w:rFonts w:ascii="Times New Roman" w:eastAsia="Times New Roman" w:hAnsi="Times New Roman"/>
      <w:b/>
      <w:bCs/>
      <w:sz w:val="36"/>
      <w:szCs w:val="36"/>
      <w:lang w:eastAsia="fr-BE"/>
    </w:rPr>
  </w:style>
  <w:style w:type="character" w:styleId="Lienhypertexte">
    <w:name w:val="Hyperlink"/>
    <w:basedOn w:val="Policepardfaut"/>
    <w:uiPriority w:val="99"/>
    <w:unhideWhenUsed/>
    <w:rsid w:val="00A778FA"/>
    <w:rPr>
      <w:color w:val="0000FF"/>
      <w:u w:val="single"/>
    </w:rPr>
  </w:style>
  <w:style w:type="paragraph" w:styleId="NormalWeb">
    <w:name w:val="Normal (Web)"/>
    <w:basedOn w:val="Normal"/>
    <w:uiPriority w:val="99"/>
    <w:semiHidden/>
    <w:unhideWhenUsed/>
    <w:rsid w:val="00A778FA"/>
    <w:pPr>
      <w:spacing w:before="100" w:beforeAutospacing="1" w:after="100" w:afterAutospacing="1"/>
    </w:pPr>
    <w:rPr>
      <w:rFonts w:ascii="Times New Roman" w:eastAsia="Times New Roman" w:hAnsi="Times New Roman"/>
      <w:sz w:val="24"/>
      <w:szCs w:val="24"/>
      <w:lang w:eastAsia="fr-BE"/>
    </w:rPr>
  </w:style>
  <w:style w:type="character" w:styleId="lev">
    <w:name w:val="Strong"/>
    <w:basedOn w:val="Policepardfaut"/>
    <w:uiPriority w:val="22"/>
    <w:qFormat/>
    <w:rsid w:val="00A778FA"/>
    <w:rPr>
      <w:b/>
      <w:bCs/>
    </w:rPr>
  </w:style>
  <w:style w:type="character" w:styleId="Accentuation">
    <w:name w:val="Emphasis"/>
    <w:basedOn w:val="Policepardfaut"/>
    <w:uiPriority w:val="20"/>
    <w:qFormat/>
    <w:rsid w:val="00A778FA"/>
    <w:rPr>
      <w:i/>
      <w:iCs/>
    </w:rPr>
  </w:style>
  <w:style w:type="paragraph" w:styleId="Paragraphedeliste">
    <w:name w:val="List Paragraph"/>
    <w:aliases w:val="TITRE,Lettre d'introduction,Paragraphe + puce,Paragraphe de liste1,Bullet 1,Liste Niveau 1,Normal1,texte de base,Puce1,liste à numéros,Titre  3,Paragraphe de liste3,Bulleted Lijst,Bullet List Paragraph,List Paragraph1"/>
    <w:basedOn w:val="Normal"/>
    <w:link w:val="ParagraphedelisteCar"/>
    <w:uiPriority w:val="34"/>
    <w:qFormat/>
    <w:rsid w:val="002B15A2"/>
    <w:pPr>
      <w:ind w:left="720"/>
      <w:contextualSpacing/>
    </w:pPr>
  </w:style>
  <w:style w:type="paragraph" w:styleId="Sansinterligne">
    <w:name w:val="No Spacing"/>
    <w:link w:val="SansinterligneCar"/>
    <w:uiPriority w:val="1"/>
    <w:qFormat/>
    <w:rsid w:val="00351987"/>
    <w:rPr>
      <w:rFonts w:ascii="Calibri" w:eastAsia="Calibri" w:hAnsi="Calibri"/>
    </w:rPr>
  </w:style>
  <w:style w:type="character" w:customStyle="1" w:styleId="SansinterligneCar">
    <w:name w:val="Sans interligne Car"/>
    <w:basedOn w:val="Policepardfaut"/>
    <w:link w:val="Sansinterligne"/>
    <w:uiPriority w:val="1"/>
    <w:rsid w:val="00351987"/>
    <w:rPr>
      <w:rFonts w:ascii="Calibri" w:eastAsia="Calibri" w:hAnsi="Calibri"/>
    </w:rPr>
  </w:style>
  <w:style w:type="character" w:styleId="Marquedecommentaire">
    <w:name w:val="annotation reference"/>
    <w:basedOn w:val="Policepardfaut"/>
    <w:uiPriority w:val="99"/>
    <w:semiHidden/>
    <w:unhideWhenUsed/>
    <w:rsid w:val="00351987"/>
    <w:rPr>
      <w:sz w:val="16"/>
      <w:szCs w:val="16"/>
    </w:rPr>
  </w:style>
  <w:style w:type="paragraph" w:styleId="Commentaire">
    <w:name w:val="annotation text"/>
    <w:basedOn w:val="Normal"/>
    <w:link w:val="CommentaireCar"/>
    <w:uiPriority w:val="99"/>
    <w:unhideWhenUsed/>
    <w:rsid w:val="00351987"/>
    <w:rPr>
      <w:sz w:val="20"/>
      <w:szCs w:val="20"/>
    </w:rPr>
  </w:style>
  <w:style w:type="character" w:customStyle="1" w:styleId="CommentaireCar">
    <w:name w:val="Commentaire Car"/>
    <w:basedOn w:val="Policepardfaut"/>
    <w:link w:val="Commentaire"/>
    <w:uiPriority w:val="99"/>
    <w:rsid w:val="00351987"/>
    <w:rPr>
      <w:sz w:val="20"/>
      <w:szCs w:val="20"/>
    </w:rPr>
  </w:style>
  <w:style w:type="paragraph" w:styleId="Objetducommentaire">
    <w:name w:val="annotation subject"/>
    <w:basedOn w:val="Commentaire"/>
    <w:next w:val="Commentaire"/>
    <w:link w:val="ObjetducommentaireCar"/>
    <w:uiPriority w:val="99"/>
    <w:semiHidden/>
    <w:unhideWhenUsed/>
    <w:rsid w:val="00351987"/>
    <w:rPr>
      <w:b/>
      <w:bCs/>
    </w:rPr>
  </w:style>
  <w:style w:type="character" w:customStyle="1" w:styleId="ObjetducommentaireCar">
    <w:name w:val="Objet du commentaire Car"/>
    <w:basedOn w:val="CommentaireCar"/>
    <w:link w:val="Objetducommentaire"/>
    <w:uiPriority w:val="99"/>
    <w:semiHidden/>
    <w:rsid w:val="00351987"/>
    <w:rPr>
      <w:b/>
      <w:bCs/>
      <w:sz w:val="20"/>
      <w:szCs w:val="20"/>
    </w:rPr>
  </w:style>
  <w:style w:type="table" w:styleId="Grilledutableau">
    <w:name w:val="Table Grid"/>
    <w:basedOn w:val="TableauNormal"/>
    <w:uiPriority w:val="39"/>
    <w:rsid w:val="00CC56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DC1BC2"/>
    <w:pPr>
      <w:tabs>
        <w:tab w:val="center" w:pos="4536"/>
        <w:tab w:val="right" w:pos="9072"/>
      </w:tabs>
    </w:pPr>
  </w:style>
  <w:style w:type="character" w:customStyle="1" w:styleId="En-tteCar">
    <w:name w:val="En-tête Car"/>
    <w:basedOn w:val="Policepardfaut"/>
    <w:link w:val="En-tte"/>
    <w:uiPriority w:val="99"/>
    <w:rsid w:val="00DC1BC2"/>
  </w:style>
  <w:style w:type="paragraph" w:styleId="Pieddepage">
    <w:name w:val="footer"/>
    <w:basedOn w:val="Normal"/>
    <w:link w:val="PieddepageCar"/>
    <w:uiPriority w:val="99"/>
    <w:unhideWhenUsed/>
    <w:rsid w:val="00DC1BC2"/>
    <w:pPr>
      <w:tabs>
        <w:tab w:val="center" w:pos="4536"/>
        <w:tab w:val="right" w:pos="9072"/>
      </w:tabs>
    </w:pPr>
  </w:style>
  <w:style w:type="character" w:customStyle="1" w:styleId="PieddepageCar">
    <w:name w:val="Pied de page Car"/>
    <w:basedOn w:val="Policepardfaut"/>
    <w:link w:val="Pieddepage"/>
    <w:uiPriority w:val="99"/>
    <w:rsid w:val="00DC1BC2"/>
  </w:style>
  <w:style w:type="paragraph" w:styleId="Rvision">
    <w:name w:val="Revision"/>
    <w:hidden/>
    <w:uiPriority w:val="99"/>
    <w:semiHidden/>
    <w:rsid w:val="0026089F"/>
  </w:style>
  <w:style w:type="character" w:styleId="Lienhypertextesuivivisit">
    <w:name w:val="FollowedHyperlink"/>
    <w:basedOn w:val="Policepardfaut"/>
    <w:uiPriority w:val="99"/>
    <w:semiHidden/>
    <w:unhideWhenUsed/>
    <w:rsid w:val="00896FCE"/>
    <w:rPr>
      <w:color w:val="954F72" w:themeColor="followedHyperlink"/>
      <w:u w:val="single"/>
    </w:rPr>
  </w:style>
  <w:style w:type="paragraph" w:styleId="Notedebasdepage">
    <w:name w:val="footnote text"/>
    <w:basedOn w:val="Normal"/>
    <w:link w:val="NotedebasdepageCar"/>
    <w:uiPriority w:val="99"/>
    <w:unhideWhenUsed/>
    <w:rsid w:val="00D86B9A"/>
    <w:rPr>
      <w:sz w:val="20"/>
      <w:szCs w:val="20"/>
    </w:rPr>
  </w:style>
  <w:style w:type="character" w:customStyle="1" w:styleId="NotedebasdepageCar">
    <w:name w:val="Note de bas de page Car"/>
    <w:basedOn w:val="Policepardfaut"/>
    <w:link w:val="Notedebasdepage"/>
    <w:uiPriority w:val="99"/>
    <w:rsid w:val="00D86B9A"/>
    <w:rPr>
      <w:sz w:val="20"/>
      <w:szCs w:val="20"/>
    </w:rPr>
  </w:style>
  <w:style w:type="character" w:styleId="Appelnotedebasdep">
    <w:name w:val="footnote reference"/>
    <w:basedOn w:val="Policepardfaut"/>
    <w:uiPriority w:val="99"/>
    <w:semiHidden/>
    <w:unhideWhenUsed/>
    <w:rsid w:val="00D86B9A"/>
    <w:rPr>
      <w:vertAlign w:val="superscript"/>
    </w:rPr>
  </w:style>
  <w:style w:type="character" w:styleId="Mentionnonrsolue">
    <w:name w:val="Unresolved Mention"/>
    <w:basedOn w:val="Policepardfaut"/>
    <w:uiPriority w:val="99"/>
    <w:semiHidden/>
    <w:unhideWhenUsed/>
    <w:rsid w:val="00977073"/>
    <w:rPr>
      <w:color w:val="605E5C"/>
      <w:shd w:val="clear" w:color="auto" w:fill="E1DFDD"/>
    </w:rPr>
  </w:style>
  <w:style w:type="paragraph" w:styleId="En-ttedetabledesmatires">
    <w:name w:val="TOC Heading"/>
    <w:basedOn w:val="Titre1"/>
    <w:next w:val="Normal"/>
    <w:uiPriority w:val="39"/>
    <w:unhideWhenUsed/>
    <w:qFormat/>
    <w:rsid w:val="00961ED4"/>
    <w:pPr>
      <w:numPr>
        <w:numId w:val="0"/>
      </w:numPr>
      <w:spacing w:before="240" w:after="0" w:line="259" w:lineRule="auto"/>
      <w:jc w:val="both"/>
      <w:outlineLvl w:val="9"/>
    </w:pPr>
    <w:rPr>
      <w:lang w:eastAsia="fr-BE"/>
    </w:rPr>
  </w:style>
  <w:style w:type="paragraph" w:styleId="TM1">
    <w:name w:val="toc 1"/>
    <w:basedOn w:val="Normal"/>
    <w:next w:val="Normal"/>
    <w:autoRedefine/>
    <w:uiPriority w:val="39"/>
    <w:unhideWhenUsed/>
    <w:rsid w:val="00961ED4"/>
    <w:pPr>
      <w:spacing w:after="100" w:line="276" w:lineRule="auto"/>
      <w:jc w:val="both"/>
    </w:pPr>
    <w:rPr>
      <w:rFonts w:ascii="Verdana" w:hAnsi="Verdana" w:cstheme="minorBidi"/>
    </w:rPr>
  </w:style>
  <w:style w:type="paragraph" w:styleId="TM2">
    <w:name w:val="toc 2"/>
    <w:basedOn w:val="Normal"/>
    <w:next w:val="Normal"/>
    <w:autoRedefine/>
    <w:uiPriority w:val="39"/>
    <w:unhideWhenUsed/>
    <w:rsid w:val="00961ED4"/>
    <w:pPr>
      <w:spacing w:after="100" w:line="276" w:lineRule="auto"/>
      <w:ind w:left="220"/>
      <w:jc w:val="both"/>
    </w:pPr>
    <w:rPr>
      <w:rFonts w:ascii="Verdana" w:hAnsi="Verdana" w:cstheme="minorBidi"/>
    </w:rPr>
  </w:style>
  <w:style w:type="paragraph" w:styleId="TM3">
    <w:name w:val="toc 3"/>
    <w:basedOn w:val="Normal"/>
    <w:next w:val="Normal"/>
    <w:autoRedefine/>
    <w:uiPriority w:val="39"/>
    <w:unhideWhenUsed/>
    <w:rsid w:val="00961ED4"/>
    <w:pPr>
      <w:spacing w:after="100" w:line="276" w:lineRule="auto"/>
      <w:ind w:left="440"/>
      <w:jc w:val="both"/>
    </w:pPr>
    <w:rPr>
      <w:rFonts w:ascii="Verdana" w:hAnsi="Verdana" w:cstheme="minorBidi"/>
    </w:rPr>
  </w:style>
  <w:style w:type="paragraph" w:styleId="Corpsdetexte">
    <w:name w:val="Body Text"/>
    <w:basedOn w:val="Normal"/>
    <w:link w:val="CorpsdetexteCar"/>
    <w:uiPriority w:val="1"/>
    <w:semiHidden/>
    <w:unhideWhenUsed/>
    <w:qFormat/>
    <w:rsid w:val="00194266"/>
    <w:pPr>
      <w:widowControl w:val="0"/>
      <w:autoSpaceDE w:val="0"/>
      <w:autoSpaceDN w:val="0"/>
    </w:pPr>
    <w:rPr>
      <w:rFonts w:ascii="Arial" w:eastAsia="Arial" w:hAnsi="Arial" w:cs="Arial"/>
      <w:lang w:eastAsia="fr-BE" w:bidi="fr-BE"/>
    </w:rPr>
  </w:style>
  <w:style w:type="character" w:customStyle="1" w:styleId="CorpsdetexteCar">
    <w:name w:val="Corps de texte Car"/>
    <w:basedOn w:val="Policepardfaut"/>
    <w:link w:val="Corpsdetexte"/>
    <w:uiPriority w:val="1"/>
    <w:semiHidden/>
    <w:rsid w:val="00194266"/>
    <w:rPr>
      <w:rFonts w:ascii="Arial" w:eastAsia="Arial" w:hAnsi="Arial" w:cs="Arial"/>
      <w:lang w:eastAsia="fr-BE" w:bidi="fr-BE"/>
    </w:rPr>
  </w:style>
  <w:style w:type="character" w:customStyle="1" w:styleId="ParagraphedelisteCar">
    <w:name w:val="Paragraphe de liste Car"/>
    <w:aliases w:val="TITRE Car,Lettre d'introduction Car,Paragraphe + puce Car,Paragraphe de liste1 Car,Bullet 1 Car,Liste Niveau 1 Car,Normal1 Car,texte de base Car,Puce1 Car,liste à numéros Car,Titre  3 Car,Paragraphe de liste3 Car"/>
    <w:link w:val="Paragraphedeliste"/>
    <w:uiPriority w:val="34"/>
    <w:qFormat/>
    <w:locked/>
    <w:rsid w:val="009C1CBF"/>
  </w:style>
  <w:style w:type="paragraph" w:customStyle="1" w:styleId="pf0">
    <w:name w:val="pf0"/>
    <w:basedOn w:val="Normal"/>
    <w:rsid w:val="007A6510"/>
    <w:pPr>
      <w:spacing w:before="100" w:beforeAutospacing="1" w:after="100" w:afterAutospacing="1"/>
    </w:pPr>
    <w:rPr>
      <w:rFonts w:ascii="Times New Roman" w:eastAsia="Times New Roman" w:hAnsi="Times New Roman"/>
      <w:sz w:val="24"/>
      <w:szCs w:val="24"/>
      <w:lang w:eastAsia="fr-BE"/>
    </w:rPr>
  </w:style>
  <w:style w:type="character" w:customStyle="1" w:styleId="cf01">
    <w:name w:val="cf01"/>
    <w:basedOn w:val="Policepardfaut"/>
    <w:rsid w:val="007A6510"/>
    <w:rPr>
      <w:rFonts w:ascii="Segoe UI" w:hAnsi="Segoe UI" w:cs="Segoe UI" w:hint="default"/>
      <w:sz w:val="18"/>
      <w:szCs w:val="18"/>
    </w:rPr>
  </w:style>
  <w:style w:type="paragraph" w:customStyle="1" w:styleId="Default">
    <w:name w:val="Default"/>
    <w:rsid w:val="003C3098"/>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281559">
      <w:bodyDiv w:val="1"/>
      <w:marLeft w:val="0"/>
      <w:marRight w:val="0"/>
      <w:marTop w:val="0"/>
      <w:marBottom w:val="0"/>
      <w:divBdr>
        <w:top w:val="none" w:sz="0" w:space="0" w:color="auto"/>
        <w:left w:val="none" w:sz="0" w:space="0" w:color="auto"/>
        <w:bottom w:val="none" w:sz="0" w:space="0" w:color="auto"/>
        <w:right w:val="none" w:sz="0" w:space="0" w:color="auto"/>
      </w:divBdr>
    </w:div>
    <w:div w:id="90443491">
      <w:bodyDiv w:val="1"/>
      <w:marLeft w:val="0"/>
      <w:marRight w:val="0"/>
      <w:marTop w:val="0"/>
      <w:marBottom w:val="0"/>
      <w:divBdr>
        <w:top w:val="none" w:sz="0" w:space="0" w:color="auto"/>
        <w:left w:val="none" w:sz="0" w:space="0" w:color="auto"/>
        <w:bottom w:val="none" w:sz="0" w:space="0" w:color="auto"/>
        <w:right w:val="none" w:sz="0" w:space="0" w:color="auto"/>
      </w:divBdr>
    </w:div>
    <w:div w:id="203250450">
      <w:bodyDiv w:val="1"/>
      <w:marLeft w:val="0"/>
      <w:marRight w:val="0"/>
      <w:marTop w:val="0"/>
      <w:marBottom w:val="0"/>
      <w:divBdr>
        <w:top w:val="none" w:sz="0" w:space="0" w:color="auto"/>
        <w:left w:val="none" w:sz="0" w:space="0" w:color="auto"/>
        <w:bottom w:val="none" w:sz="0" w:space="0" w:color="auto"/>
        <w:right w:val="none" w:sz="0" w:space="0" w:color="auto"/>
      </w:divBdr>
    </w:div>
    <w:div w:id="342050377">
      <w:bodyDiv w:val="1"/>
      <w:marLeft w:val="0"/>
      <w:marRight w:val="0"/>
      <w:marTop w:val="0"/>
      <w:marBottom w:val="0"/>
      <w:divBdr>
        <w:top w:val="none" w:sz="0" w:space="0" w:color="auto"/>
        <w:left w:val="none" w:sz="0" w:space="0" w:color="auto"/>
        <w:bottom w:val="none" w:sz="0" w:space="0" w:color="auto"/>
        <w:right w:val="none" w:sz="0" w:space="0" w:color="auto"/>
      </w:divBdr>
    </w:div>
    <w:div w:id="368846209">
      <w:bodyDiv w:val="1"/>
      <w:marLeft w:val="0"/>
      <w:marRight w:val="0"/>
      <w:marTop w:val="0"/>
      <w:marBottom w:val="0"/>
      <w:divBdr>
        <w:top w:val="none" w:sz="0" w:space="0" w:color="auto"/>
        <w:left w:val="none" w:sz="0" w:space="0" w:color="auto"/>
        <w:bottom w:val="none" w:sz="0" w:space="0" w:color="auto"/>
        <w:right w:val="none" w:sz="0" w:space="0" w:color="auto"/>
      </w:divBdr>
    </w:div>
    <w:div w:id="421727805">
      <w:bodyDiv w:val="1"/>
      <w:marLeft w:val="0"/>
      <w:marRight w:val="0"/>
      <w:marTop w:val="0"/>
      <w:marBottom w:val="0"/>
      <w:divBdr>
        <w:top w:val="none" w:sz="0" w:space="0" w:color="auto"/>
        <w:left w:val="none" w:sz="0" w:space="0" w:color="auto"/>
        <w:bottom w:val="none" w:sz="0" w:space="0" w:color="auto"/>
        <w:right w:val="none" w:sz="0" w:space="0" w:color="auto"/>
      </w:divBdr>
    </w:div>
    <w:div w:id="505247668">
      <w:bodyDiv w:val="1"/>
      <w:marLeft w:val="0"/>
      <w:marRight w:val="0"/>
      <w:marTop w:val="0"/>
      <w:marBottom w:val="0"/>
      <w:divBdr>
        <w:top w:val="none" w:sz="0" w:space="0" w:color="auto"/>
        <w:left w:val="none" w:sz="0" w:space="0" w:color="auto"/>
        <w:bottom w:val="none" w:sz="0" w:space="0" w:color="auto"/>
        <w:right w:val="none" w:sz="0" w:space="0" w:color="auto"/>
      </w:divBdr>
      <w:divsChild>
        <w:div w:id="1124931656">
          <w:marLeft w:val="0"/>
          <w:marRight w:val="0"/>
          <w:marTop w:val="0"/>
          <w:marBottom w:val="0"/>
          <w:divBdr>
            <w:top w:val="none" w:sz="0" w:space="0" w:color="auto"/>
            <w:left w:val="none" w:sz="0" w:space="0" w:color="auto"/>
            <w:bottom w:val="none" w:sz="0" w:space="0" w:color="auto"/>
            <w:right w:val="none" w:sz="0" w:space="0" w:color="auto"/>
          </w:divBdr>
          <w:divsChild>
            <w:div w:id="24647690">
              <w:marLeft w:val="0"/>
              <w:marRight w:val="0"/>
              <w:marTop w:val="0"/>
              <w:marBottom w:val="0"/>
              <w:divBdr>
                <w:top w:val="none" w:sz="0" w:space="0" w:color="auto"/>
                <w:left w:val="none" w:sz="0" w:space="0" w:color="auto"/>
                <w:bottom w:val="none" w:sz="0" w:space="0" w:color="auto"/>
                <w:right w:val="none" w:sz="0" w:space="0" w:color="auto"/>
              </w:divBdr>
              <w:divsChild>
                <w:div w:id="876501632">
                  <w:marLeft w:val="0"/>
                  <w:marRight w:val="0"/>
                  <w:marTop w:val="0"/>
                  <w:marBottom w:val="0"/>
                  <w:divBdr>
                    <w:top w:val="none" w:sz="0" w:space="0" w:color="auto"/>
                    <w:left w:val="none" w:sz="0" w:space="0" w:color="auto"/>
                    <w:bottom w:val="none" w:sz="0" w:space="0" w:color="auto"/>
                    <w:right w:val="none" w:sz="0" w:space="0" w:color="auto"/>
                  </w:divBdr>
                  <w:divsChild>
                    <w:div w:id="564949316">
                      <w:marLeft w:val="0"/>
                      <w:marRight w:val="0"/>
                      <w:marTop w:val="0"/>
                      <w:marBottom w:val="0"/>
                      <w:divBdr>
                        <w:top w:val="none" w:sz="0" w:space="0" w:color="auto"/>
                        <w:left w:val="none" w:sz="0" w:space="0" w:color="auto"/>
                        <w:bottom w:val="none" w:sz="0" w:space="0" w:color="auto"/>
                        <w:right w:val="none" w:sz="0" w:space="0" w:color="auto"/>
                      </w:divBdr>
                    </w:div>
                    <w:div w:id="652413274">
                      <w:marLeft w:val="0"/>
                      <w:marRight w:val="0"/>
                      <w:marTop w:val="0"/>
                      <w:marBottom w:val="0"/>
                      <w:divBdr>
                        <w:top w:val="none" w:sz="0" w:space="0" w:color="auto"/>
                        <w:left w:val="none" w:sz="0" w:space="0" w:color="auto"/>
                        <w:bottom w:val="single" w:sz="6" w:space="0" w:color="E1E1E1"/>
                        <w:right w:val="none" w:sz="0" w:space="0" w:color="auto"/>
                      </w:divBdr>
                      <w:divsChild>
                        <w:div w:id="1859346071">
                          <w:marLeft w:val="0"/>
                          <w:marRight w:val="0"/>
                          <w:marTop w:val="0"/>
                          <w:marBottom w:val="0"/>
                          <w:divBdr>
                            <w:top w:val="none" w:sz="0" w:space="0" w:color="auto"/>
                            <w:left w:val="none" w:sz="0" w:space="0" w:color="auto"/>
                            <w:bottom w:val="none" w:sz="0" w:space="0" w:color="auto"/>
                            <w:right w:val="none" w:sz="0" w:space="0" w:color="auto"/>
                          </w:divBdr>
                        </w:div>
                        <w:div w:id="1561555446">
                          <w:marLeft w:val="0"/>
                          <w:marRight w:val="0"/>
                          <w:marTop w:val="0"/>
                          <w:marBottom w:val="0"/>
                          <w:divBdr>
                            <w:top w:val="none" w:sz="0" w:space="0" w:color="auto"/>
                            <w:left w:val="none" w:sz="0" w:space="0" w:color="auto"/>
                            <w:bottom w:val="none" w:sz="0" w:space="0" w:color="auto"/>
                            <w:right w:val="none" w:sz="0" w:space="0" w:color="auto"/>
                          </w:divBdr>
                        </w:div>
                      </w:divsChild>
                    </w:div>
                    <w:div w:id="1517692">
                      <w:marLeft w:val="0"/>
                      <w:marRight w:val="0"/>
                      <w:marTop w:val="0"/>
                      <w:marBottom w:val="0"/>
                      <w:divBdr>
                        <w:top w:val="none" w:sz="0" w:space="0" w:color="auto"/>
                        <w:left w:val="none" w:sz="0" w:space="0" w:color="auto"/>
                        <w:bottom w:val="single" w:sz="6" w:space="0" w:color="E1E1E1"/>
                        <w:right w:val="none" w:sz="0" w:space="0" w:color="auto"/>
                      </w:divBdr>
                      <w:divsChild>
                        <w:div w:id="1255434116">
                          <w:marLeft w:val="0"/>
                          <w:marRight w:val="0"/>
                          <w:marTop w:val="0"/>
                          <w:marBottom w:val="0"/>
                          <w:divBdr>
                            <w:top w:val="none" w:sz="0" w:space="0" w:color="auto"/>
                            <w:left w:val="none" w:sz="0" w:space="0" w:color="auto"/>
                            <w:bottom w:val="none" w:sz="0" w:space="0" w:color="auto"/>
                            <w:right w:val="none" w:sz="0" w:space="0" w:color="auto"/>
                          </w:divBdr>
                        </w:div>
                        <w:div w:id="1496920521">
                          <w:marLeft w:val="0"/>
                          <w:marRight w:val="0"/>
                          <w:marTop w:val="0"/>
                          <w:marBottom w:val="0"/>
                          <w:divBdr>
                            <w:top w:val="none" w:sz="0" w:space="0" w:color="auto"/>
                            <w:left w:val="none" w:sz="0" w:space="0" w:color="auto"/>
                            <w:bottom w:val="none" w:sz="0" w:space="0" w:color="auto"/>
                            <w:right w:val="none" w:sz="0" w:space="0" w:color="auto"/>
                          </w:divBdr>
                        </w:div>
                      </w:divsChild>
                    </w:div>
                    <w:div w:id="1241478044">
                      <w:marLeft w:val="0"/>
                      <w:marRight w:val="0"/>
                      <w:marTop w:val="0"/>
                      <w:marBottom w:val="0"/>
                      <w:divBdr>
                        <w:top w:val="none" w:sz="0" w:space="0" w:color="auto"/>
                        <w:left w:val="none" w:sz="0" w:space="0" w:color="auto"/>
                        <w:bottom w:val="single" w:sz="6" w:space="0" w:color="E1E1E1"/>
                        <w:right w:val="none" w:sz="0" w:space="0" w:color="auto"/>
                      </w:divBdr>
                      <w:divsChild>
                        <w:div w:id="779109093">
                          <w:marLeft w:val="0"/>
                          <w:marRight w:val="0"/>
                          <w:marTop w:val="0"/>
                          <w:marBottom w:val="0"/>
                          <w:divBdr>
                            <w:top w:val="none" w:sz="0" w:space="0" w:color="auto"/>
                            <w:left w:val="none" w:sz="0" w:space="0" w:color="auto"/>
                            <w:bottom w:val="none" w:sz="0" w:space="0" w:color="auto"/>
                            <w:right w:val="none" w:sz="0" w:space="0" w:color="auto"/>
                          </w:divBdr>
                        </w:div>
                        <w:div w:id="1663658574">
                          <w:marLeft w:val="0"/>
                          <w:marRight w:val="0"/>
                          <w:marTop w:val="0"/>
                          <w:marBottom w:val="0"/>
                          <w:divBdr>
                            <w:top w:val="none" w:sz="0" w:space="0" w:color="auto"/>
                            <w:left w:val="none" w:sz="0" w:space="0" w:color="auto"/>
                            <w:bottom w:val="none" w:sz="0" w:space="0" w:color="auto"/>
                            <w:right w:val="none" w:sz="0" w:space="0" w:color="auto"/>
                          </w:divBdr>
                        </w:div>
                      </w:divsChild>
                    </w:div>
                    <w:div w:id="1822186378">
                      <w:marLeft w:val="0"/>
                      <w:marRight w:val="0"/>
                      <w:marTop w:val="0"/>
                      <w:marBottom w:val="0"/>
                      <w:divBdr>
                        <w:top w:val="none" w:sz="0" w:space="0" w:color="auto"/>
                        <w:left w:val="none" w:sz="0" w:space="0" w:color="auto"/>
                        <w:bottom w:val="single" w:sz="6" w:space="0" w:color="E1E1E1"/>
                        <w:right w:val="none" w:sz="0" w:space="0" w:color="auto"/>
                      </w:divBdr>
                      <w:divsChild>
                        <w:div w:id="1103653545">
                          <w:marLeft w:val="0"/>
                          <w:marRight w:val="0"/>
                          <w:marTop w:val="0"/>
                          <w:marBottom w:val="0"/>
                          <w:divBdr>
                            <w:top w:val="none" w:sz="0" w:space="0" w:color="auto"/>
                            <w:left w:val="none" w:sz="0" w:space="0" w:color="auto"/>
                            <w:bottom w:val="none" w:sz="0" w:space="0" w:color="auto"/>
                            <w:right w:val="none" w:sz="0" w:space="0" w:color="auto"/>
                          </w:divBdr>
                        </w:div>
                        <w:div w:id="1346126548">
                          <w:marLeft w:val="0"/>
                          <w:marRight w:val="0"/>
                          <w:marTop w:val="0"/>
                          <w:marBottom w:val="0"/>
                          <w:divBdr>
                            <w:top w:val="none" w:sz="0" w:space="0" w:color="auto"/>
                            <w:left w:val="none" w:sz="0" w:space="0" w:color="auto"/>
                            <w:bottom w:val="none" w:sz="0" w:space="0" w:color="auto"/>
                            <w:right w:val="none" w:sz="0" w:space="0" w:color="auto"/>
                          </w:divBdr>
                          <w:divsChild>
                            <w:div w:id="33072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722180">
                      <w:marLeft w:val="0"/>
                      <w:marRight w:val="0"/>
                      <w:marTop w:val="0"/>
                      <w:marBottom w:val="0"/>
                      <w:divBdr>
                        <w:top w:val="none" w:sz="0" w:space="0" w:color="auto"/>
                        <w:left w:val="none" w:sz="0" w:space="0" w:color="auto"/>
                        <w:bottom w:val="none" w:sz="0" w:space="0" w:color="auto"/>
                        <w:right w:val="none" w:sz="0" w:space="0" w:color="auto"/>
                      </w:divBdr>
                      <w:divsChild>
                        <w:div w:id="1528758868">
                          <w:marLeft w:val="0"/>
                          <w:marRight w:val="0"/>
                          <w:marTop w:val="0"/>
                          <w:marBottom w:val="0"/>
                          <w:divBdr>
                            <w:top w:val="none" w:sz="0" w:space="0" w:color="auto"/>
                            <w:left w:val="none" w:sz="0" w:space="0" w:color="auto"/>
                            <w:bottom w:val="none" w:sz="0" w:space="0" w:color="auto"/>
                            <w:right w:val="none" w:sz="0" w:space="0" w:color="auto"/>
                          </w:divBdr>
                        </w:div>
                        <w:div w:id="882865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2386568">
      <w:bodyDiv w:val="1"/>
      <w:marLeft w:val="0"/>
      <w:marRight w:val="0"/>
      <w:marTop w:val="0"/>
      <w:marBottom w:val="0"/>
      <w:divBdr>
        <w:top w:val="none" w:sz="0" w:space="0" w:color="auto"/>
        <w:left w:val="none" w:sz="0" w:space="0" w:color="auto"/>
        <w:bottom w:val="none" w:sz="0" w:space="0" w:color="auto"/>
        <w:right w:val="none" w:sz="0" w:space="0" w:color="auto"/>
      </w:divBdr>
    </w:div>
    <w:div w:id="1161316224">
      <w:bodyDiv w:val="1"/>
      <w:marLeft w:val="0"/>
      <w:marRight w:val="0"/>
      <w:marTop w:val="0"/>
      <w:marBottom w:val="0"/>
      <w:divBdr>
        <w:top w:val="none" w:sz="0" w:space="0" w:color="auto"/>
        <w:left w:val="none" w:sz="0" w:space="0" w:color="auto"/>
        <w:bottom w:val="none" w:sz="0" w:space="0" w:color="auto"/>
        <w:right w:val="none" w:sz="0" w:space="0" w:color="auto"/>
      </w:divBdr>
    </w:div>
    <w:div w:id="1458255393">
      <w:bodyDiv w:val="1"/>
      <w:marLeft w:val="0"/>
      <w:marRight w:val="0"/>
      <w:marTop w:val="0"/>
      <w:marBottom w:val="0"/>
      <w:divBdr>
        <w:top w:val="none" w:sz="0" w:space="0" w:color="auto"/>
        <w:left w:val="none" w:sz="0" w:space="0" w:color="auto"/>
        <w:bottom w:val="none" w:sz="0" w:space="0" w:color="auto"/>
        <w:right w:val="none" w:sz="0" w:space="0" w:color="auto"/>
      </w:divBdr>
    </w:div>
    <w:div w:id="1844512231">
      <w:bodyDiv w:val="1"/>
      <w:marLeft w:val="0"/>
      <w:marRight w:val="0"/>
      <w:marTop w:val="0"/>
      <w:marBottom w:val="0"/>
      <w:divBdr>
        <w:top w:val="none" w:sz="0" w:space="0" w:color="auto"/>
        <w:left w:val="none" w:sz="0" w:space="0" w:color="auto"/>
        <w:bottom w:val="none" w:sz="0" w:space="0" w:color="auto"/>
        <w:right w:val="none" w:sz="0" w:space="0" w:color="auto"/>
      </w:divBdr>
    </w:div>
    <w:div w:id="1974287112">
      <w:bodyDiv w:val="1"/>
      <w:marLeft w:val="0"/>
      <w:marRight w:val="0"/>
      <w:marTop w:val="0"/>
      <w:marBottom w:val="0"/>
      <w:divBdr>
        <w:top w:val="none" w:sz="0" w:space="0" w:color="auto"/>
        <w:left w:val="none" w:sz="0" w:space="0" w:color="auto"/>
        <w:bottom w:val="none" w:sz="0" w:space="0" w:color="auto"/>
        <w:right w:val="none" w:sz="0" w:space="0" w:color="auto"/>
      </w:divBdr>
    </w:div>
    <w:div w:id="2028284631">
      <w:bodyDiv w:val="1"/>
      <w:marLeft w:val="0"/>
      <w:marRight w:val="0"/>
      <w:marTop w:val="0"/>
      <w:marBottom w:val="0"/>
      <w:divBdr>
        <w:top w:val="none" w:sz="0" w:space="0" w:color="auto"/>
        <w:left w:val="none" w:sz="0" w:space="0" w:color="auto"/>
        <w:bottom w:val="none" w:sz="0" w:space="0" w:color="auto"/>
        <w:right w:val="none" w:sz="0" w:space="0" w:color="auto"/>
      </w:divBdr>
    </w:div>
    <w:div w:id="2092580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eur-lex.europa.eu/legal-content/FR/TXT/?uri=uriserv%3AOJ.L_.2023.167.01.0001.01.FRA&amp;toc=OJ%3AL%3A2023%3A167%3ATOC"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recherche.wallonie.be/home/je-dois-savoir/avant-de-recevoir-un-financement/analyse-financiere.htm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wac.be"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awac.be/"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francoise.marchal@spw.wallonie.be" TargetMode="External"/><Relationship Id="rId14"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450F3D-1107-4E6B-AE81-CA1848CEE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3506</Words>
  <Characters>19284</Characters>
  <Application>Microsoft Office Word</Application>
  <DocSecurity>0</DocSecurity>
  <Lines>160</Lines>
  <Paragraphs>45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Françoise MARCHAL</dc:creator>
  <cp:keywords/>
  <dc:description/>
  <cp:lastModifiedBy>LAURENT Damien</cp:lastModifiedBy>
  <cp:revision>2</cp:revision>
  <cp:lastPrinted>2023-05-25T08:48:00Z</cp:lastPrinted>
  <dcterms:created xsi:type="dcterms:W3CDTF">2023-07-26T13:10:00Z</dcterms:created>
  <dcterms:modified xsi:type="dcterms:W3CDTF">2023-07-26T13:10:00Z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etDate">
    <vt:lpwstr>2022-10-05T10:27:59Z</vt:lpwstr>
  </property>
  <property fmtid="{D5CDD505-2E9C-101B-9397-08002B2CF9AE}" pid="4" name="MSIP_Label_97a477d1-147d-4e34-b5e3-7b26d2f44870_Method">
    <vt:lpwstr>Standard</vt:lpwstr>
  </property>
  <property fmtid="{D5CDD505-2E9C-101B-9397-08002B2CF9AE}" pid="5" name="MSIP_Label_97a477d1-147d-4e34-b5e3-7b26d2f44870_Name">
    <vt:lpwstr>97a477d1-147d-4e34-b5e3-7b26d2f44870</vt:lpwstr>
  </property>
  <property fmtid="{D5CDD505-2E9C-101B-9397-08002B2CF9AE}" pid="6" name="MSIP_Label_97a477d1-147d-4e34-b5e3-7b26d2f44870_SiteId">
    <vt:lpwstr>1f816a84-7aa6-4a56-b22a-7b3452fa8681</vt:lpwstr>
  </property>
  <property fmtid="{D5CDD505-2E9C-101B-9397-08002B2CF9AE}" pid="7" name="MSIP_Label_97a477d1-147d-4e34-b5e3-7b26d2f44870_ActionId">
    <vt:lpwstr>d88e47b6-67ac-456f-9b68-bb1622f1e074</vt:lpwstr>
  </property>
  <property fmtid="{D5CDD505-2E9C-101B-9397-08002B2CF9AE}" pid="8" name="MSIP_Label_97a477d1-147d-4e34-b5e3-7b26d2f44870_ContentBits">
    <vt:lpwstr>0</vt:lpwstr>
  </property>
</Properties>
</file>