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3832"/>
        <w:gridCol w:w="2696"/>
      </w:tblGrid>
      <w:tr w:rsidR="001D2E58" w:rsidRPr="0068452F" w14:paraId="0159089B" w14:textId="77777777" w:rsidTr="00A42C7D">
        <w:trPr>
          <w:trHeight w:val="750"/>
        </w:trPr>
        <w:tc>
          <w:tcPr>
            <w:tcW w:w="2663" w:type="dxa"/>
            <w:tcBorders>
              <w:bottom w:val="single" w:sz="4" w:space="0" w:color="auto"/>
              <w:right w:val="single" w:sz="4" w:space="0" w:color="auto"/>
            </w:tcBorders>
          </w:tcPr>
          <w:p w14:paraId="21E25C60" w14:textId="77777777" w:rsidR="001D2E58" w:rsidRPr="0068452F" w:rsidRDefault="001D2E58" w:rsidP="0022143C">
            <w:pPr>
              <w:jc w:val="center"/>
              <w:rPr>
                <w:rFonts w:asciiTheme="minorHAnsi" w:hAnsiTheme="minorHAnsi" w:cstheme="minorHAnsi"/>
              </w:rPr>
            </w:pPr>
            <w:r w:rsidRPr="0068452F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 wp14:anchorId="0031A48C" wp14:editId="0B8230BB">
                  <wp:extent cx="1362075" cy="533400"/>
                  <wp:effectExtent l="19050" t="0" r="9525" b="0"/>
                  <wp:docPr id="10" name="Image 1" descr="logo Air lé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ir lé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341" w14:textId="77777777" w:rsidR="001D2E58" w:rsidRPr="0068452F" w:rsidRDefault="001D2E58" w:rsidP="0022143C">
            <w:pPr>
              <w:rPr>
                <w:rFonts w:asciiTheme="minorHAnsi" w:hAnsiTheme="minorHAnsi" w:cstheme="minorHAnsi"/>
              </w:rPr>
            </w:pPr>
          </w:p>
          <w:p w14:paraId="55FE06D0" w14:textId="77777777" w:rsidR="001D2E58" w:rsidRPr="0068452F" w:rsidRDefault="001D2E58" w:rsidP="002214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</w:tcPr>
          <w:p w14:paraId="0D584E3B" w14:textId="77777777" w:rsidR="001D2E58" w:rsidRPr="0068452F" w:rsidRDefault="001D2E58" w:rsidP="0022143C">
            <w:pPr>
              <w:rPr>
                <w:rFonts w:asciiTheme="minorHAnsi" w:hAnsiTheme="minorHAnsi" w:cstheme="minorHAnsi"/>
                <w:lang w:val="en-US"/>
              </w:rPr>
            </w:pPr>
          </w:p>
          <w:p w14:paraId="0FBDD9CB" w14:textId="26760D48" w:rsidR="001D2E58" w:rsidRPr="0068452F" w:rsidRDefault="00805CFF" w:rsidP="00A42C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26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Mars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2025</w:t>
            </w:r>
          </w:p>
        </w:tc>
      </w:tr>
      <w:tr w:rsidR="001D2E58" w:rsidRPr="0068452F" w14:paraId="3C8A4999" w14:textId="77777777" w:rsidTr="00A42C7D">
        <w:trPr>
          <w:trHeight w:val="785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14:paraId="0F51E4E4" w14:textId="77777777" w:rsidR="001D2E58" w:rsidRPr="0068452F" w:rsidRDefault="001D2E58" w:rsidP="00D83FAD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6CB54" w14:textId="384DF4D9" w:rsidR="001D2E58" w:rsidRPr="0068452F" w:rsidRDefault="001D2E58" w:rsidP="0022143C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68452F">
              <w:rPr>
                <w:rFonts w:asciiTheme="minorHAnsi" w:hAnsiTheme="minorHAnsi" w:cstheme="minorHAnsi"/>
                <w:b/>
                <w:smallCaps/>
              </w:rPr>
              <w:t>Emissions de GES en Wallonie 1990-</w:t>
            </w:r>
            <w:r w:rsidR="00861C3B" w:rsidRPr="0068452F">
              <w:rPr>
                <w:rFonts w:asciiTheme="minorHAnsi" w:hAnsiTheme="minorHAnsi" w:cstheme="minorHAnsi"/>
                <w:b/>
                <w:smallCaps/>
              </w:rPr>
              <w:t>20</w:t>
            </w:r>
            <w:r w:rsidR="00861C3B">
              <w:rPr>
                <w:rFonts w:asciiTheme="minorHAnsi" w:hAnsiTheme="minorHAnsi" w:cstheme="minorHAnsi"/>
                <w:b/>
                <w:smallCaps/>
              </w:rPr>
              <w:t>2</w:t>
            </w:r>
            <w:r w:rsidR="009A4834">
              <w:rPr>
                <w:rFonts w:asciiTheme="minorHAnsi" w:hAnsiTheme="minorHAnsi" w:cstheme="minorHAnsi"/>
                <w:b/>
                <w:smallCaps/>
              </w:rPr>
              <w:t>3</w:t>
            </w:r>
          </w:p>
          <w:p w14:paraId="0C7340D1" w14:textId="732E979C" w:rsidR="001D2E58" w:rsidRPr="0068452F" w:rsidRDefault="001D2E58" w:rsidP="0057103B">
            <w:pPr>
              <w:jc w:val="center"/>
              <w:rPr>
                <w:rFonts w:asciiTheme="minorHAnsi" w:hAnsiTheme="minorHAnsi" w:cstheme="minorHAnsi"/>
              </w:rPr>
            </w:pPr>
            <w:r w:rsidRPr="0068452F">
              <w:rPr>
                <w:rFonts w:asciiTheme="minorHAnsi" w:hAnsiTheme="minorHAnsi" w:cstheme="minorHAnsi"/>
                <w:smallCaps/>
              </w:rPr>
              <w:t>Soumission d</w:t>
            </w:r>
            <w:r w:rsidR="002B43BC" w:rsidRPr="0068452F">
              <w:rPr>
                <w:rFonts w:asciiTheme="minorHAnsi" w:hAnsiTheme="minorHAnsi" w:cstheme="minorHAnsi"/>
                <w:smallCaps/>
              </w:rPr>
              <w:t xml:space="preserve">u </w:t>
            </w:r>
            <w:r w:rsidR="00805CFF">
              <w:rPr>
                <w:rFonts w:asciiTheme="minorHAnsi" w:hAnsiTheme="minorHAnsi" w:cstheme="minorHAnsi"/>
                <w:smallCaps/>
              </w:rPr>
              <w:t>15 Mars 2025</w:t>
            </w:r>
          </w:p>
        </w:tc>
      </w:tr>
    </w:tbl>
    <w:p w14:paraId="0028D038" w14:textId="2E5D7FA3" w:rsidR="00361D2D" w:rsidRPr="00805CFF" w:rsidRDefault="00F259F3" w:rsidP="001D2E5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>L</w:t>
      </w:r>
      <w:r w:rsidR="001D2E58" w:rsidRPr="0068452F">
        <w:rPr>
          <w:rFonts w:asciiTheme="minorHAnsi" w:hAnsiTheme="minorHAnsi" w:cstheme="minorHAnsi"/>
        </w:rPr>
        <w:t xml:space="preserve">a Wallonie a émis </w:t>
      </w:r>
      <w:r w:rsidR="00DB1FB9">
        <w:rPr>
          <w:rFonts w:asciiTheme="minorHAnsi" w:hAnsiTheme="minorHAnsi" w:cstheme="minorHAnsi"/>
        </w:rPr>
        <w:t>29.4</w:t>
      </w:r>
      <w:r w:rsidR="00A22E64">
        <w:rPr>
          <w:rFonts w:asciiTheme="minorHAnsi" w:hAnsiTheme="minorHAnsi" w:cstheme="minorHAnsi"/>
        </w:rPr>
        <w:t xml:space="preserve"> </w:t>
      </w:r>
      <w:r w:rsidR="001D2E58" w:rsidRPr="0068452F">
        <w:rPr>
          <w:rFonts w:asciiTheme="minorHAnsi" w:hAnsiTheme="minorHAnsi" w:cstheme="minorHAnsi"/>
        </w:rPr>
        <w:t>millions de tonnes de CO</w:t>
      </w:r>
      <w:r w:rsidR="001D2E58" w:rsidRPr="0068452F">
        <w:rPr>
          <w:rFonts w:asciiTheme="minorHAnsi" w:hAnsiTheme="minorHAnsi" w:cstheme="minorHAnsi"/>
          <w:snapToGrid w:val="0"/>
          <w:vertAlign w:val="subscript"/>
        </w:rPr>
        <w:t>2</w:t>
      </w:r>
      <w:r w:rsidR="001D2E58" w:rsidRPr="0068452F">
        <w:rPr>
          <w:rFonts w:asciiTheme="minorHAnsi" w:hAnsiTheme="minorHAnsi" w:cstheme="minorHAnsi"/>
        </w:rPr>
        <w:t>-équivalents</w:t>
      </w:r>
      <w:r w:rsidR="001B57EB" w:rsidRPr="0068452F">
        <w:rPr>
          <w:rFonts w:asciiTheme="minorHAnsi" w:hAnsiTheme="minorHAnsi" w:cstheme="minorHAnsi"/>
        </w:rPr>
        <w:t xml:space="preserve"> en </w:t>
      </w:r>
      <w:r w:rsidR="00A22E64" w:rsidRPr="0068452F">
        <w:rPr>
          <w:rFonts w:asciiTheme="minorHAnsi" w:hAnsiTheme="minorHAnsi" w:cstheme="minorHAnsi"/>
        </w:rPr>
        <w:t>20</w:t>
      </w:r>
      <w:r w:rsidR="00A22E64">
        <w:rPr>
          <w:rFonts w:asciiTheme="minorHAnsi" w:hAnsiTheme="minorHAnsi" w:cstheme="minorHAnsi"/>
        </w:rPr>
        <w:t>2</w:t>
      </w:r>
      <w:r w:rsidR="00DB1FB9">
        <w:rPr>
          <w:rFonts w:asciiTheme="minorHAnsi" w:hAnsiTheme="minorHAnsi" w:cstheme="minorHAnsi"/>
        </w:rPr>
        <w:t>3</w:t>
      </w:r>
      <w:r w:rsidR="001D2E58" w:rsidRPr="0068452F">
        <w:rPr>
          <w:rFonts w:asciiTheme="minorHAnsi" w:hAnsiTheme="minorHAnsi" w:cstheme="minorHAnsi"/>
        </w:rPr>
        <w:t xml:space="preserve">, soit </w:t>
      </w:r>
      <w:r w:rsidR="00A22E64" w:rsidRPr="0068452F">
        <w:rPr>
          <w:rFonts w:asciiTheme="minorHAnsi" w:hAnsiTheme="minorHAnsi" w:cstheme="minorHAnsi"/>
        </w:rPr>
        <w:t>3</w:t>
      </w:r>
      <w:r w:rsidR="00D07550">
        <w:rPr>
          <w:rFonts w:asciiTheme="minorHAnsi" w:hAnsiTheme="minorHAnsi" w:cstheme="minorHAnsi"/>
        </w:rPr>
        <w:t>0</w:t>
      </w:r>
      <w:r w:rsidR="001D2E58" w:rsidRPr="0068452F">
        <w:rPr>
          <w:rFonts w:asciiTheme="minorHAnsi" w:hAnsiTheme="minorHAnsi" w:cstheme="minorHAnsi"/>
        </w:rPr>
        <w:t xml:space="preserve">% des émissions annuelles de la </w:t>
      </w:r>
      <w:hyperlink r:id="rId9" w:history="1">
        <w:r w:rsidR="00FC0CFB" w:rsidRPr="00BA1259">
          <w:rPr>
            <w:rStyle w:val="Lienhypertexte"/>
            <w:rFonts w:asciiTheme="minorHAnsi" w:hAnsiTheme="minorHAnsi" w:cstheme="minorHAnsi"/>
          </w:rPr>
          <w:t>Belgique</w:t>
        </w:r>
      </w:hyperlink>
      <w:r w:rsidR="00FC0CFB" w:rsidRPr="0068452F">
        <w:rPr>
          <w:rFonts w:asciiTheme="minorHAnsi" w:hAnsiTheme="minorHAnsi" w:cstheme="minorHAnsi"/>
        </w:rPr>
        <w:t xml:space="preserve"> (hors secteur </w:t>
      </w:r>
      <w:r w:rsidR="007F2853">
        <w:rPr>
          <w:rFonts w:asciiTheme="minorHAnsi" w:hAnsiTheme="minorHAnsi" w:cstheme="minorHAnsi"/>
        </w:rPr>
        <w:t>LULUCF</w:t>
      </w:r>
      <w:r w:rsidR="00FC0CFB" w:rsidRPr="0068452F">
        <w:rPr>
          <w:rFonts w:asciiTheme="minorHAnsi" w:hAnsiTheme="minorHAnsi" w:cstheme="minorHAnsi"/>
        </w:rPr>
        <w:t>)</w:t>
      </w:r>
      <w:r w:rsidR="001D2E58" w:rsidRPr="0068452F">
        <w:rPr>
          <w:rFonts w:asciiTheme="minorHAnsi" w:hAnsiTheme="minorHAnsi" w:cstheme="minorHAnsi"/>
        </w:rPr>
        <w:t xml:space="preserve">.  </w:t>
      </w:r>
      <w:r w:rsidR="007B1055" w:rsidRPr="0068452F">
        <w:rPr>
          <w:rFonts w:asciiTheme="minorHAnsi" w:hAnsiTheme="minorHAnsi" w:cstheme="minorHAnsi"/>
        </w:rPr>
        <w:t xml:space="preserve">Cet inventaire est élaboré selon les </w:t>
      </w:r>
      <w:hyperlink r:id="rId10" w:history="1">
        <w:r w:rsidR="007B1055" w:rsidRPr="00A81EA2">
          <w:rPr>
            <w:rStyle w:val="Lienhypertexte"/>
            <w:rFonts w:asciiTheme="minorHAnsi" w:hAnsiTheme="minorHAnsi" w:cstheme="minorHAnsi"/>
          </w:rPr>
          <w:t>lignes directrices du GIEC de 2006</w:t>
        </w:r>
      </w:hyperlink>
      <w:r w:rsidR="00E12B6F">
        <w:rPr>
          <w:rFonts w:asciiTheme="minorHAnsi" w:hAnsiTheme="minorHAnsi" w:cstheme="minorHAnsi"/>
        </w:rPr>
        <w:t xml:space="preserve"> (hormis le secteur agricole</w:t>
      </w:r>
      <w:r w:rsidR="00707463">
        <w:rPr>
          <w:rFonts w:asciiTheme="minorHAnsi" w:hAnsiTheme="minorHAnsi" w:cstheme="minorHAnsi"/>
        </w:rPr>
        <w:t xml:space="preserve"> suivant </w:t>
      </w:r>
      <w:r w:rsidR="00094C6B">
        <w:rPr>
          <w:rFonts w:asciiTheme="minorHAnsi" w:hAnsiTheme="minorHAnsi" w:cstheme="minorHAnsi"/>
        </w:rPr>
        <w:t xml:space="preserve">la </w:t>
      </w:r>
      <w:hyperlink r:id="rId11" w:history="1">
        <w:r w:rsidR="00094C6B" w:rsidRPr="00A81EA2">
          <w:rPr>
            <w:rStyle w:val="Lienhypertexte"/>
            <w:rFonts w:asciiTheme="minorHAnsi" w:hAnsiTheme="minorHAnsi" w:cstheme="minorHAnsi"/>
          </w:rPr>
          <w:t>consolidation de</w:t>
        </w:r>
        <w:r w:rsidR="00707463" w:rsidRPr="00A81EA2">
          <w:rPr>
            <w:rStyle w:val="Lienhypertexte"/>
            <w:rFonts w:asciiTheme="minorHAnsi" w:hAnsiTheme="minorHAnsi" w:cstheme="minorHAnsi"/>
          </w:rPr>
          <w:t xml:space="preserve"> 2019</w:t>
        </w:r>
      </w:hyperlink>
      <w:r w:rsidR="00E12B6F">
        <w:rPr>
          <w:rFonts w:asciiTheme="minorHAnsi" w:hAnsiTheme="minorHAnsi" w:cstheme="minorHAnsi"/>
        </w:rPr>
        <w:t>)</w:t>
      </w:r>
      <w:r w:rsidR="007B1055" w:rsidRPr="0068452F">
        <w:rPr>
          <w:rFonts w:asciiTheme="minorHAnsi" w:hAnsiTheme="minorHAnsi" w:cstheme="minorHAnsi"/>
        </w:rPr>
        <w:t xml:space="preserve"> et les </w:t>
      </w:r>
      <w:hyperlink r:id="rId12" w:history="1">
        <w:r w:rsidR="007B1055" w:rsidRPr="007F5219">
          <w:rPr>
            <w:rStyle w:val="Lienhypertexte"/>
            <w:rFonts w:asciiTheme="minorHAnsi" w:hAnsiTheme="minorHAnsi" w:cstheme="minorHAnsi"/>
          </w:rPr>
          <w:t>potentiels de réchauffement global</w:t>
        </w:r>
      </w:hyperlink>
      <w:r w:rsidR="007B1055" w:rsidRPr="0068452F">
        <w:rPr>
          <w:rFonts w:asciiTheme="minorHAnsi" w:hAnsiTheme="minorHAnsi" w:cstheme="minorHAnsi"/>
        </w:rPr>
        <w:t xml:space="preserve"> (PRG) applicables pour la période </w:t>
      </w:r>
      <w:r w:rsidR="00A22E64" w:rsidRPr="0068452F">
        <w:rPr>
          <w:rFonts w:asciiTheme="minorHAnsi" w:hAnsiTheme="minorHAnsi" w:cstheme="minorHAnsi"/>
        </w:rPr>
        <w:t>20</w:t>
      </w:r>
      <w:r w:rsidR="00A22E64">
        <w:rPr>
          <w:rFonts w:asciiTheme="minorHAnsi" w:hAnsiTheme="minorHAnsi" w:cstheme="minorHAnsi"/>
        </w:rPr>
        <w:t>21</w:t>
      </w:r>
      <w:r w:rsidR="007B1055" w:rsidRPr="0068452F">
        <w:rPr>
          <w:rFonts w:asciiTheme="minorHAnsi" w:hAnsiTheme="minorHAnsi" w:cstheme="minorHAnsi"/>
        </w:rPr>
        <w:t>-20</w:t>
      </w:r>
      <w:r w:rsidR="00A22E64">
        <w:rPr>
          <w:rFonts w:asciiTheme="minorHAnsi" w:hAnsiTheme="minorHAnsi" w:cstheme="minorHAnsi"/>
        </w:rPr>
        <w:t>30</w:t>
      </w:r>
      <w:r w:rsidR="007B1055" w:rsidRPr="0068452F">
        <w:rPr>
          <w:rStyle w:val="Appelnotedebasdep"/>
          <w:rFonts w:asciiTheme="minorHAnsi" w:hAnsiTheme="minorHAnsi" w:cstheme="minorHAnsi"/>
        </w:rPr>
        <w:footnoteReference w:id="1"/>
      </w:r>
      <w:r w:rsidR="007B1055" w:rsidRPr="0068452F">
        <w:rPr>
          <w:rFonts w:asciiTheme="minorHAnsi" w:hAnsiTheme="minorHAnsi" w:cstheme="minorHAnsi"/>
        </w:rPr>
        <w:t>.</w:t>
      </w:r>
    </w:p>
    <w:p w14:paraId="7DCBF216" w14:textId="157C09FD" w:rsidR="00861C3B" w:rsidRDefault="001D2E58" w:rsidP="00180F55">
      <w:pPr>
        <w:tabs>
          <w:tab w:val="left" w:pos="576"/>
        </w:tabs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L’inventaire wallon des émissions de gaz à effet de serre, additionné aux inventaires de la Région flamande et de la Région de Bruxelles-Capitale, forme l’inventaire belge rapporté annuellement par la Belgique dans le cadre d</w:t>
      </w:r>
      <w:r w:rsidR="00A22E64">
        <w:rPr>
          <w:rFonts w:asciiTheme="minorHAnsi" w:hAnsiTheme="minorHAnsi" w:cstheme="minorHAnsi"/>
        </w:rPr>
        <w:t xml:space="preserve">es </w:t>
      </w:r>
      <w:r w:rsidR="00B470B8">
        <w:rPr>
          <w:rFonts w:asciiTheme="minorHAnsi" w:hAnsiTheme="minorHAnsi" w:cstheme="minorHAnsi"/>
        </w:rPr>
        <w:t>A</w:t>
      </w:r>
      <w:r w:rsidR="00A22E64">
        <w:rPr>
          <w:rFonts w:asciiTheme="minorHAnsi" w:hAnsiTheme="minorHAnsi" w:cstheme="minorHAnsi"/>
        </w:rPr>
        <w:t>ccords de Paris</w:t>
      </w:r>
      <w:r w:rsidRPr="0068452F">
        <w:rPr>
          <w:rFonts w:asciiTheme="minorHAnsi" w:hAnsiTheme="minorHAnsi" w:cstheme="minorHAnsi"/>
        </w:rPr>
        <w:t xml:space="preserve"> </w:t>
      </w:r>
      <w:r w:rsidR="00B470B8">
        <w:rPr>
          <w:rFonts w:asciiTheme="minorHAnsi" w:hAnsiTheme="minorHAnsi" w:cstheme="minorHAnsi"/>
        </w:rPr>
        <w:t xml:space="preserve">(le Protocole de Kyoto a pris fin en 2020) </w:t>
      </w:r>
      <w:r w:rsidRPr="0068452F">
        <w:rPr>
          <w:rFonts w:asciiTheme="minorHAnsi" w:hAnsiTheme="minorHAnsi" w:cstheme="minorHAnsi"/>
        </w:rPr>
        <w:t>et de</w:t>
      </w:r>
      <w:r w:rsidR="00D07C3A" w:rsidRPr="0068452F">
        <w:rPr>
          <w:rFonts w:asciiTheme="minorHAnsi" w:hAnsiTheme="minorHAnsi" w:cstheme="minorHAnsi"/>
        </w:rPr>
        <w:t>s engagements européens (</w:t>
      </w:r>
      <w:r w:rsidR="00D07C3A" w:rsidRPr="00FD7D0F">
        <w:rPr>
          <w:rFonts w:asciiTheme="minorHAnsi" w:hAnsiTheme="minorHAnsi" w:cstheme="minorHAnsi"/>
          <w:i/>
          <w:iCs/>
        </w:rPr>
        <w:t xml:space="preserve">Effort Sharing </w:t>
      </w:r>
      <w:proofErr w:type="spellStart"/>
      <w:r w:rsidR="00A22E64" w:rsidRPr="00FD7D0F">
        <w:rPr>
          <w:rFonts w:asciiTheme="minorHAnsi" w:hAnsiTheme="minorHAnsi" w:cstheme="minorHAnsi"/>
          <w:i/>
          <w:iCs/>
        </w:rPr>
        <w:t>Regulation</w:t>
      </w:r>
      <w:proofErr w:type="spellEnd"/>
      <w:r w:rsidR="00D07C3A" w:rsidRPr="0068452F">
        <w:rPr>
          <w:rFonts w:asciiTheme="minorHAnsi" w:hAnsiTheme="minorHAnsi" w:cstheme="minorHAnsi"/>
        </w:rPr>
        <w:t>, EC/</w:t>
      </w:r>
      <w:r w:rsidR="00237684">
        <w:rPr>
          <w:rFonts w:asciiTheme="minorHAnsi" w:hAnsiTheme="minorHAnsi" w:cstheme="minorHAnsi"/>
        </w:rPr>
        <w:t xml:space="preserve">2018/842 et </w:t>
      </w:r>
      <w:r w:rsidR="00286991">
        <w:rPr>
          <w:rFonts w:asciiTheme="minorHAnsi" w:hAnsiTheme="minorHAnsi" w:cstheme="minorHAnsi"/>
        </w:rPr>
        <w:t>EC/</w:t>
      </w:r>
      <w:r w:rsidR="00237684">
        <w:rPr>
          <w:rFonts w:asciiTheme="minorHAnsi" w:hAnsiTheme="minorHAnsi" w:cstheme="minorHAnsi"/>
        </w:rPr>
        <w:t>2023/857</w:t>
      </w:r>
      <w:r w:rsidR="00D07C3A" w:rsidRPr="0068452F">
        <w:rPr>
          <w:rFonts w:asciiTheme="minorHAnsi" w:hAnsiTheme="minorHAnsi" w:cstheme="minorHAnsi"/>
        </w:rPr>
        <w:t>)</w:t>
      </w:r>
      <w:r w:rsidRPr="0068452F">
        <w:rPr>
          <w:rFonts w:asciiTheme="minorHAnsi" w:hAnsiTheme="minorHAnsi" w:cstheme="minorHAnsi"/>
        </w:rPr>
        <w:t xml:space="preserve">. </w:t>
      </w:r>
      <w:r w:rsidR="000E6EC5" w:rsidRPr="0068452F">
        <w:rPr>
          <w:rFonts w:asciiTheme="minorHAnsi" w:hAnsiTheme="minorHAnsi" w:cstheme="minorHAnsi"/>
        </w:rPr>
        <w:t xml:space="preserve">La </w:t>
      </w:r>
      <w:r w:rsidR="00CD6D8E">
        <w:fldChar w:fldCharType="begin"/>
      </w:r>
      <w:r w:rsidR="00CD6D8E">
        <w:instrText xml:space="preserve"> REF _Ref325528777 \h  \* MERGEFORMAT </w:instrText>
      </w:r>
      <w:r w:rsidR="00CD6D8E">
        <w:fldChar w:fldCharType="separate"/>
      </w:r>
      <w:r w:rsidR="00F74337" w:rsidRPr="0068452F">
        <w:rPr>
          <w:rFonts w:asciiTheme="minorHAnsi" w:hAnsiTheme="minorHAnsi" w:cstheme="minorHAnsi"/>
        </w:rPr>
        <w:t xml:space="preserve">Figure </w:t>
      </w:r>
      <w:r w:rsidR="00F74337" w:rsidRPr="00F74337">
        <w:rPr>
          <w:rFonts w:asciiTheme="minorHAnsi" w:hAnsiTheme="minorHAnsi" w:cstheme="minorHAnsi"/>
        </w:rPr>
        <w:t>1</w:t>
      </w:r>
      <w:r w:rsidR="00CD6D8E">
        <w:fldChar w:fldCharType="end"/>
      </w:r>
      <w:r w:rsidR="000E6EC5" w:rsidRPr="0068452F">
        <w:rPr>
          <w:rFonts w:asciiTheme="minorHAnsi" w:hAnsiTheme="minorHAnsi" w:cstheme="minorHAnsi"/>
        </w:rPr>
        <w:t xml:space="preserve"> présente la répartition des émissions totales de GES par type de gaz et entre les principaux secteurs. </w:t>
      </w:r>
    </w:p>
    <w:p w14:paraId="20FE5EC2" w14:textId="72323EC4" w:rsidR="00B470B8" w:rsidRPr="0068452F" w:rsidRDefault="00977EA2" w:rsidP="009E14FB">
      <w:pPr>
        <w:jc w:val="center"/>
        <w:rPr>
          <w:rFonts w:asciiTheme="minorHAnsi" w:hAnsiTheme="minorHAnsi" w:cstheme="minorHAnsi"/>
        </w:rPr>
      </w:pPr>
      <w:r w:rsidRPr="00977EA2">
        <w:rPr>
          <w:rFonts w:asciiTheme="minorHAnsi" w:hAnsiTheme="minorHAnsi" w:cstheme="minorHAnsi"/>
          <w:noProof/>
        </w:rPr>
        <w:drawing>
          <wp:inline distT="0" distB="0" distL="0" distR="0" wp14:anchorId="0C9EDC1E" wp14:editId="05D980DF">
            <wp:extent cx="3511496" cy="3124200"/>
            <wp:effectExtent l="0" t="0" r="0" b="0"/>
            <wp:docPr id="1805000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0023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7628" cy="313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487F3" w14:textId="71CB98C2" w:rsidR="000E6EC5" w:rsidRPr="0068452F" w:rsidRDefault="000E6EC5" w:rsidP="000E6EC5">
      <w:pPr>
        <w:pStyle w:val="Lgende"/>
        <w:rPr>
          <w:rFonts w:asciiTheme="minorHAnsi" w:hAnsiTheme="minorHAnsi" w:cstheme="minorHAnsi"/>
          <w:b w:val="0"/>
          <w:sz w:val="22"/>
          <w:szCs w:val="22"/>
        </w:rPr>
      </w:pPr>
      <w:bookmarkStart w:id="0" w:name="_Ref325528777"/>
      <w:bookmarkStart w:id="1" w:name="_Toc377722755"/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Figure </w:t>
      </w:r>
      <w:r w:rsidR="00561066" w:rsidRPr="0068452F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876DD6" w:rsidRPr="0068452F">
        <w:rPr>
          <w:rFonts w:asciiTheme="minorHAnsi" w:hAnsiTheme="minorHAnsi" w:cstheme="minorHAnsi"/>
          <w:b w:val="0"/>
          <w:sz w:val="22"/>
          <w:szCs w:val="22"/>
        </w:rPr>
        <w:instrText xml:space="preserve"> SEQ Figure \* ARABIC </w:instrText>
      </w:r>
      <w:r w:rsidR="00561066" w:rsidRPr="0068452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F74337">
        <w:rPr>
          <w:rFonts w:asciiTheme="minorHAnsi" w:hAnsiTheme="minorHAnsi" w:cstheme="minorHAnsi"/>
          <w:b w:val="0"/>
          <w:noProof/>
          <w:sz w:val="22"/>
          <w:szCs w:val="22"/>
        </w:rPr>
        <w:t>1</w:t>
      </w:r>
      <w:r w:rsidR="00561066" w:rsidRPr="0068452F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0"/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: Répartition des émissions de GES par secteur en Wallonie en </w:t>
      </w:r>
      <w:r w:rsidR="00B470B8" w:rsidRPr="0068452F">
        <w:rPr>
          <w:rFonts w:asciiTheme="minorHAnsi" w:hAnsiTheme="minorHAnsi" w:cstheme="minorHAnsi"/>
          <w:b w:val="0"/>
          <w:sz w:val="22"/>
          <w:szCs w:val="22"/>
        </w:rPr>
        <w:t>20</w:t>
      </w:r>
      <w:r w:rsidR="00B470B8">
        <w:rPr>
          <w:rFonts w:asciiTheme="minorHAnsi" w:hAnsiTheme="minorHAnsi" w:cstheme="minorHAnsi"/>
          <w:b w:val="0"/>
          <w:sz w:val="22"/>
          <w:szCs w:val="22"/>
        </w:rPr>
        <w:t>2</w:t>
      </w:r>
      <w:r w:rsidR="00D52105">
        <w:rPr>
          <w:rFonts w:asciiTheme="minorHAnsi" w:hAnsiTheme="minorHAnsi" w:cstheme="minorHAnsi"/>
          <w:b w:val="0"/>
          <w:sz w:val="22"/>
          <w:szCs w:val="22"/>
        </w:rPr>
        <w:t>3</w:t>
      </w:r>
      <w:r w:rsidR="00B470B8" w:rsidRPr="006845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>(</w:t>
      </w:r>
      <w:r w:rsidRPr="0068452F">
        <w:rPr>
          <w:rFonts w:asciiTheme="minorHAnsi" w:hAnsiTheme="minorHAnsi" w:cstheme="minorHAnsi"/>
          <w:b w:val="0"/>
          <w:i/>
          <w:sz w:val="22"/>
          <w:szCs w:val="22"/>
        </w:rPr>
        <w:t>Source AwAC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>)</w:t>
      </w:r>
      <w:bookmarkEnd w:id="1"/>
    </w:p>
    <w:p w14:paraId="19B096E2" w14:textId="6071AACC" w:rsidR="000E6EC5" w:rsidRPr="006505D8" w:rsidRDefault="000E6EC5" w:rsidP="001C7512">
      <w:p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Le CO</w:t>
      </w:r>
      <w:r w:rsidRPr="0068452F">
        <w:rPr>
          <w:rFonts w:asciiTheme="minorHAnsi" w:hAnsiTheme="minorHAnsi" w:cstheme="minorHAnsi"/>
          <w:vertAlign w:val="subscript"/>
        </w:rPr>
        <w:t>2</w:t>
      </w:r>
      <w:r w:rsidRPr="0068452F">
        <w:rPr>
          <w:rFonts w:asciiTheme="minorHAnsi" w:hAnsiTheme="minorHAnsi" w:cstheme="minorHAnsi"/>
        </w:rPr>
        <w:t xml:space="preserve">, qui représente </w:t>
      </w:r>
      <w:r w:rsidR="00B63798" w:rsidRPr="0068452F">
        <w:rPr>
          <w:rFonts w:asciiTheme="minorHAnsi" w:hAnsiTheme="minorHAnsi" w:cstheme="minorHAnsi"/>
        </w:rPr>
        <w:t>8</w:t>
      </w:r>
      <w:r w:rsidR="001C12AE">
        <w:rPr>
          <w:rFonts w:asciiTheme="minorHAnsi" w:hAnsiTheme="minorHAnsi" w:cstheme="minorHAnsi"/>
        </w:rPr>
        <w:t>3</w:t>
      </w:r>
      <w:r w:rsidR="00B63798" w:rsidRPr="0068452F">
        <w:rPr>
          <w:rFonts w:asciiTheme="minorHAnsi" w:hAnsiTheme="minorHAnsi" w:cstheme="minorHAnsi"/>
        </w:rPr>
        <w:t xml:space="preserve"> </w:t>
      </w:r>
      <w:r w:rsidRPr="0068452F">
        <w:rPr>
          <w:rFonts w:asciiTheme="minorHAnsi" w:hAnsiTheme="minorHAnsi" w:cstheme="minorHAnsi"/>
        </w:rPr>
        <w:t>% des émissions totales de GES, est surtout émis lors des processus de combustion dans différents secteurs : industrie, transports, chauffage résidentiel et tertiaire, centrales électriques. Le CH</w:t>
      </w:r>
      <w:r w:rsidRPr="0068452F">
        <w:rPr>
          <w:rFonts w:asciiTheme="minorHAnsi" w:hAnsiTheme="minorHAnsi" w:cstheme="minorHAnsi"/>
          <w:vertAlign w:val="subscript"/>
        </w:rPr>
        <w:t>4</w:t>
      </w:r>
      <w:r w:rsidRPr="0068452F">
        <w:rPr>
          <w:rFonts w:asciiTheme="minorHAnsi" w:hAnsiTheme="minorHAnsi" w:cstheme="minorHAnsi"/>
        </w:rPr>
        <w:t xml:space="preserve">, qui représente </w:t>
      </w:r>
      <w:r w:rsidR="002F5907">
        <w:rPr>
          <w:rFonts w:asciiTheme="minorHAnsi" w:hAnsiTheme="minorHAnsi" w:cstheme="minorHAnsi"/>
        </w:rPr>
        <w:t>9</w:t>
      </w:r>
      <w:r w:rsidRPr="0068452F">
        <w:rPr>
          <w:rFonts w:asciiTheme="minorHAnsi" w:hAnsiTheme="minorHAnsi" w:cstheme="minorHAnsi"/>
        </w:rPr>
        <w:t>% des émissions totales, provient à</w:t>
      </w:r>
      <w:r w:rsidR="00B63798">
        <w:rPr>
          <w:rFonts w:asciiTheme="minorHAnsi" w:hAnsiTheme="minorHAnsi" w:cstheme="minorHAnsi"/>
        </w:rPr>
        <w:t xml:space="preserve"> 78</w:t>
      </w:r>
      <w:r w:rsidRPr="0068452F">
        <w:rPr>
          <w:rFonts w:asciiTheme="minorHAnsi" w:hAnsiTheme="minorHAnsi" w:cstheme="minorHAnsi"/>
        </w:rPr>
        <w:t xml:space="preserve">% de l’agriculture, à </w:t>
      </w:r>
      <w:r w:rsidR="009603E8">
        <w:rPr>
          <w:rFonts w:asciiTheme="minorHAnsi" w:hAnsiTheme="minorHAnsi" w:cstheme="minorHAnsi"/>
        </w:rPr>
        <w:t>9</w:t>
      </w:r>
      <w:r w:rsidRPr="0068452F">
        <w:rPr>
          <w:rFonts w:asciiTheme="minorHAnsi" w:hAnsiTheme="minorHAnsi" w:cstheme="minorHAnsi"/>
        </w:rPr>
        <w:t xml:space="preserve">% du secteur des déchets et à </w:t>
      </w:r>
      <w:r w:rsidR="001F10E2">
        <w:rPr>
          <w:rFonts w:asciiTheme="minorHAnsi" w:hAnsiTheme="minorHAnsi" w:cstheme="minorHAnsi"/>
        </w:rPr>
        <w:t>7</w:t>
      </w:r>
      <w:r w:rsidRPr="0068452F">
        <w:rPr>
          <w:rFonts w:asciiTheme="minorHAnsi" w:hAnsiTheme="minorHAnsi" w:cstheme="minorHAnsi"/>
        </w:rPr>
        <w:t xml:space="preserve">% </w:t>
      </w:r>
      <w:r w:rsidR="001F2728">
        <w:rPr>
          <w:rFonts w:asciiTheme="minorHAnsi" w:hAnsiTheme="minorHAnsi" w:cstheme="minorHAnsi"/>
        </w:rPr>
        <w:t xml:space="preserve">des émissions diffuses (émanations des mines abandonnées et fuites </w:t>
      </w:r>
      <w:r w:rsidRPr="0068452F">
        <w:rPr>
          <w:rFonts w:asciiTheme="minorHAnsi" w:hAnsiTheme="minorHAnsi" w:cstheme="minorHAnsi"/>
        </w:rPr>
        <w:t>des réseaux de distribution de gaz naturel), le reste provenant de l’ensemble des processus de combustion. Le N</w:t>
      </w:r>
      <w:r w:rsidRPr="0068452F">
        <w:rPr>
          <w:rFonts w:asciiTheme="minorHAnsi" w:hAnsiTheme="minorHAnsi" w:cstheme="minorHAnsi"/>
          <w:vertAlign w:val="subscript"/>
        </w:rPr>
        <w:t>2</w:t>
      </w:r>
      <w:r w:rsidRPr="0068452F">
        <w:rPr>
          <w:rFonts w:asciiTheme="minorHAnsi" w:hAnsiTheme="minorHAnsi" w:cstheme="minorHAnsi"/>
        </w:rPr>
        <w:t xml:space="preserve">O représente </w:t>
      </w:r>
      <w:r w:rsidR="00503E91">
        <w:rPr>
          <w:rFonts w:asciiTheme="minorHAnsi" w:hAnsiTheme="minorHAnsi" w:cstheme="minorHAnsi"/>
        </w:rPr>
        <w:t>6</w:t>
      </w:r>
      <w:r w:rsidRPr="0068452F">
        <w:rPr>
          <w:rFonts w:asciiTheme="minorHAnsi" w:hAnsiTheme="minorHAnsi" w:cstheme="minorHAnsi"/>
        </w:rPr>
        <w:t>% des émissions totales et est principalement émis par l’agriculture (</w:t>
      </w:r>
      <w:r w:rsidR="00B63798" w:rsidRPr="0068452F">
        <w:rPr>
          <w:rFonts w:asciiTheme="minorHAnsi" w:hAnsiTheme="minorHAnsi" w:cstheme="minorHAnsi"/>
        </w:rPr>
        <w:t>8</w:t>
      </w:r>
      <w:r w:rsidR="007E71A4">
        <w:rPr>
          <w:rFonts w:asciiTheme="minorHAnsi" w:hAnsiTheme="minorHAnsi" w:cstheme="minorHAnsi"/>
        </w:rPr>
        <w:t>2</w:t>
      </w:r>
      <w:r w:rsidRPr="0068452F">
        <w:rPr>
          <w:rFonts w:asciiTheme="minorHAnsi" w:hAnsiTheme="minorHAnsi" w:cstheme="minorHAnsi"/>
        </w:rPr>
        <w:t>%)</w:t>
      </w:r>
      <w:r w:rsidR="00032D7A">
        <w:rPr>
          <w:rFonts w:asciiTheme="minorHAnsi" w:hAnsiTheme="minorHAnsi" w:cstheme="minorHAnsi"/>
        </w:rPr>
        <w:t xml:space="preserve"> </w:t>
      </w:r>
      <w:r w:rsidRPr="0068452F">
        <w:rPr>
          <w:rFonts w:asciiTheme="minorHAnsi" w:hAnsiTheme="minorHAnsi" w:cstheme="minorHAnsi"/>
        </w:rPr>
        <w:t xml:space="preserve">et les </w:t>
      </w:r>
      <w:r w:rsidR="008F52A1" w:rsidRPr="0068452F">
        <w:rPr>
          <w:rFonts w:asciiTheme="minorHAnsi" w:hAnsiTheme="minorHAnsi" w:cstheme="minorHAnsi"/>
        </w:rPr>
        <w:lastRenderedPageBreak/>
        <w:t>processus de combustion (</w:t>
      </w:r>
      <w:r w:rsidR="00B63798">
        <w:rPr>
          <w:rFonts w:asciiTheme="minorHAnsi" w:hAnsiTheme="minorHAnsi" w:cstheme="minorHAnsi"/>
        </w:rPr>
        <w:t>1</w:t>
      </w:r>
      <w:r w:rsidR="006629F9">
        <w:rPr>
          <w:rFonts w:asciiTheme="minorHAnsi" w:hAnsiTheme="minorHAnsi" w:cstheme="minorHAnsi"/>
        </w:rPr>
        <w:t>0.5</w:t>
      </w:r>
      <w:r w:rsidRPr="0068452F">
        <w:rPr>
          <w:rFonts w:asciiTheme="minorHAnsi" w:hAnsiTheme="minorHAnsi" w:cstheme="minorHAnsi"/>
        </w:rPr>
        <w:t xml:space="preserve">%). Enfin, les gaz fluorés représentent </w:t>
      </w:r>
      <w:r w:rsidR="005910B2" w:rsidRPr="0068452F">
        <w:rPr>
          <w:rFonts w:asciiTheme="minorHAnsi" w:hAnsiTheme="minorHAnsi" w:cstheme="minorHAnsi"/>
        </w:rPr>
        <w:t>2</w:t>
      </w:r>
      <w:r w:rsidRPr="0068452F">
        <w:rPr>
          <w:rFonts w:asciiTheme="minorHAnsi" w:hAnsiTheme="minorHAnsi" w:cstheme="minorHAnsi"/>
        </w:rPr>
        <w:t xml:space="preserve">% des émissions totales et sont émis lors de la </w:t>
      </w:r>
      <w:r w:rsidRPr="002F5907">
        <w:rPr>
          <w:rFonts w:asciiTheme="minorHAnsi" w:hAnsiTheme="minorHAnsi" w:cstheme="minorHAnsi"/>
        </w:rPr>
        <w:t>fabrication et l’utilisation de certains produits (réfrigération, mousses isolantes, etc.).</w:t>
      </w:r>
    </w:p>
    <w:p w14:paraId="089D623D" w14:textId="44EA76CC" w:rsidR="00462DD2" w:rsidRPr="006505D8" w:rsidRDefault="00C0483A" w:rsidP="000E6EC5">
      <w:pPr>
        <w:jc w:val="center"/>
        <w:rPr>
          <w:rFonts w:asciiTheme="minorHAnsi" w:hAnsiTheme="minorHAnsi" w:cstheme="minorHAnsi"/>
        </w:rPr>
      </w:pPr>
      <w:r w:rsidRPr="00C0483A">
        <w:rPr>
          <w:rFonts w:asciiTheme="minorHAnsi" w:hAnsiTheme="minorHAnsi" w:cstheme="minorHAnsi"/>
          <w:noProof/>
        </w:rPr>
        <w:drawing>
          <wp:inline distT="0" distB="0" distL="0" distR="0" wp14:anchorId="71DC52B6" wp14:editId="335DEE92">
            <wp:extent cx="3265830" cy="2971800"/>
            <wp:effectExtent l="0" t="0" r="0" b="0"/>
            <wp:docPr id="16578805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805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0456" cy="29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1A98" w14:textId="336825AD" w:rsidR="00B273E2" w:rsidRPr="0068452F" w:rsidRDefault="000E6EC5" w:rsidP="004050FC">
      <w:pPr>
        <w:pStyle w:val="Lgende"/>
        <w:rPr>
          <w:rFonts w:asciiTheme="minorHAnsi" w:hAnsiTheme="minorHAnsi" w:cstheme="minorHAnsi"/>
          <w:b w:val="0"/>
          <w:sz w:val="22"/>
          <w:szCs w:val="22"/>
        </w:rPr>
      </w:pPr>
      <w:bookmarkStart w:id="2" w:name="_Toc377722756"/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Figure </w:t>
      </w:r>
      <w:r w:rsidR="00561066" w:rsidRPr="0068452F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876DD6" w:rsidRPr="0068452F">
        <w:rPr>
          <w:rFonts w:asciiTheme="minorHAnsi" w:hAnsiTheme="minorHAnsi" w:cstheme="minorHAnsi"/>
          <w:b w:val="0"/>
          <w:sz w:val="22"/>
          <w:szCs w:val="22"/>
        </w:rPr>
        <w:instrText xml:space="preserve"> SEQ Figure \* ARABIC </w:instrText>
      </w:r>
      <w:r w:rsidR="00561066" w:rsidRPr="0068452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F74337">
        <w:rPr>
          <w:rFonts w:asciiTheme="minorHAnsi" w:hAnsiTheme="minorHAnsi" w:cstheme="minorHAnsi"/>
          <w:b w:val="0"/>
          <w:noProof/>
          <w:sz w:val="22"/>
          <w:szCs w:val="22"/>
        </w:rPr>
        <w:t>2</w:t>
      </w:r>
      <w:r w:rsidR="00561066" w:rsidRPr="0068452F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: Répartition des émissions de GES par type de gaz en </w:t>
      </w:r>
      <w:r w:rsidR="00B63798" w:rsidRPr="0068452F">
        <w:rPr>
          <w:rFonts w:asciiTheme="minorHAnsi" w:hAnsiTheme="minorHAnsi" w:cstheme="minorHAnsi"/>
          <w:b w:val="0"/>
          <w:sz w:val="22"/>
          <w:szCs w:val="22"/>
        </w:rPr>
        <w:t>20</w:t>
      </w:r>
      <w:r w:rsidR="00B63798">
        <w:rPr>
          <w:rFonts w:asciiTheme="minorHAnsi" w:hAnsiTheme="minorHAnsi" w:cstheme="minorHAnsi"/>
          <w:b w:val="0"/>
          <w:sz w:val="22"/>
          <w:szCs w:val="22"/>
        </w:rPr>
        <w:t>2</w:t>
      </w:r>
      <w:r w:rsidR="001032FF">
        <w:rPr>
          <w:rFonts w:asciiTheme="minorHAnsi" w:hAnsiTheme="minorHAnsi" w:cstheme="minorHAnsi"/>
          <w:b w:val="0"/>
          <w:sz w:val="22"/>
          <w:szCs w:val="22"/>
        </w:rPr>
        <w:t>3</w:t>
      </w:r>
      <w:r w:rsidR="00B63798" w:rsidRPr="006845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>(</w:t>
      </w:r>
      <w:r w:rsidRPr="0068452F">
        <w:rPr>
          <w:rFonts w:asciiTheme="minorHAnsi" w:hAnsiTheme="minorHAnsi" w:cstheme="minorHAnsi"/>
          <w:b w:val="0"/>
          <w:i/>
          <w:sz w:val="22"/>
          <w:szCs w:val="22"/>
        </w:rPr>
        <w:t>Source, AwAC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>)</w:t>
      </w:r>
      <w:bookmarkEnd w:id="2"/>
    </w:p>
    <w:p w14:paraId="5A9DFF6D" w14:textId="0B149817" w:rsidR="00D07C3A" w:rsidRPr="0068452F" w:rsidRDefault="000E6EC5" w:rsidP="00D07C3A">
      <w:p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 xml:space="preserve">Sur base des dernières estimations disponibles, les émissions anthropiques de GES </w:t>
      </w:r>
      <w:r w:rsidR="00FC0CFB" w:rsidRPr="0068452F">
        <w:rPr>
          <w:rFonts w:asciiTheme="minorHAnsi" w:hAnsiTheme="minorHAnsi" w:cstheme="minorHAnsi"/>
        </w:rPr>
        <w:t xml:space="preserve">(hors secteur forestier) </w:t>
      </w:r>
      <w:r w:rsidRPr="0068452F">
        <w:rPr>
          <w:rFonts w:asciiTheme="minorHAnsi" w:hAnsiTheme="minorHAnsi" w:cstheme="minorHAnsi"/>
        </w:rPr>
        <w:t xml:space="preserve">en Wallonie en </w:t>
      </w:r>
      <w:r w:rsidR="00B63798" w:rsidRPr="0068452F">
        <w:rPr>
          <w:rFonts w:asciiTheme="minorHAnsi" w:hAnsiTheme="minorHAnsi" w:cstheme="minorHAnsi"/>
        </w:rPr>
        <w:t>20</w:t>
      </w:r>
      <w:r w:rsidR="00B63798">
        <w:rPr>
          <w:rFonts w:asciiTheme="minorHAnsi" w:hAnsiTheme="minorHAnsi" w:cstheme="minorHAnsi"/>
        </w:rPr>
        <w:t>2</w:t>
      </w:r>
      <w:r w:rsidR="001032FF">
        <w:rPr>
          <w:rFonts w:asciiTheme="minorHAnsi" w:hAnsiTheme="minorHAnsi" w:cstheme="minorHAnsi"/>
        </w:rPr>
        <w:t>3</w:t>
      </w:r>
      <w:r w:rsidR="00B63798" w:rsidRPr="0068452F">
        <w:rPr>
          <w:rFonts w:asciiTheme="minorHAnsi" w:hAnsiTheme="minorHAnsi" w:cstheme="minorHAnsi"/>
        </w:rPr>
        <w:t xml:space="preserve"> </w:t>
      </w:r>
      <w:r w:rsidRPr="0068452F">
        <w:rPr>
          <w:rFonts w:asciiTheme="minorHAnsi" w:hAnsiTheme="minorHAnsi" w:cstheme="minorHAnsi"/>
        </w:rPr>
        <w:t xml:space="preserve">étaient de </w:t>
      </w:r>
      <w:r w:rsidR="00032D7A">
        <w:rPr>
          <w:rFonts w:asciiTheme="minorHAnsi" w:hAnsiTheme="minorHAnsi" w:cstheme="minorHAnsi"/>
        </w:rPr>
        <w:t>4</w:t>
      </w:r>
      <w:r w:rsidR="0094745D">
        <w:rPr>
          <w:rFonts w:asciiTheme="minorHAnsi" w:hAnsiTheme="minorHAnsi" w:cstheme="minorHAnsi"/>
        </w:rPr>
        <w:t>6</w:t>
      </w:r>
      <w:r w:rsidR="00462DD2">
        <w:rPr>
          <w:rFonts w:asciiTheme="minorHAnsi" w:hAnsiTheme="minorHAnsi" w:cstheme="minorHAnsi"/>
        </w:rPr>
        <w:t>,</w:t>
      </w:r>
      <w:r w:rsidR="00B63798">
        <w:rPr>
          <w:rFonts w:asciiTheme="minorHAnsi" w:hAnsiTheme="minorHAnsi" w:cstheme="minorHAnsi"/>
        </w:rPr>
        <w:t>2</w:t>
      </w:r>
      <w:r w:rsidRPr="0068452F">
        <w:rPr>
          <w:rFonts w:asciiTheme="minorHAnsi" w:hAnsiTheme="minorHAnsi" w:cstheme="minorHAnsi"/>
        </w:rPr>
        <w:t xml:space="preserve">% inférieures à celles de 1990. </w:t>
      </w:r>
    </w:p>
    <w:p w14:paraId="22FE65E8" w14:textId="7165553A" w:rsidR="0057103B" w:rsidRDefault="00DA0430" w:rsidP="00F00F32">
      <w:pPr>
        <w:pStyle w:val="Default"/>
        <w:jc w:val="both"/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  <w:sz w:val="22"/>
          <w:szCs w:val="22"/>
        </w:rPr>
        <w:t xml:space="preserve">Dans le cadre du </w:t>
      </w:r>
      <w:proofErr w:type="spellStart"/>
      <w:r w:rsidRPr="0068452F">
        <w:rPr>
          <w:rFonts w:asciiTheme="minorHAnsi" w:hAnsiTheme="minorHAnsi" w:cstheme="minorHAnsi"/>
          <w:sz w:val="22"/>
          <w:szCs w:val="22"/>
        </w:rPr>
        <w:t>burden</w:t>
      </w:r>
      <w:proofErr w:type="spellEnd"/>
      <w:r w:rsidRPr="0068452F">
        <w:rPr>
          <w:rFonts w:asciiTheme="minorHAnsi" w:hAnsiTheme="minorHAnsi" w:cstheme="minorHAnsi"/>
          <w:sz w:val="22"/>
          <w:szCs w:val="22"/>
        </w:rPr>
        <w:t>-sharing</w:t>
      </w:r>
      <w:r w:rsidR="005910B2" w:rsidRPr="0068452F">
        <w:rPr>
          <w:rFonts w:asciiTheme="minorHAnsi" w:hAnsiTheme="minorHAnsi" w:cstheme="minorHAnsi"/>
          <w:sz w:val="22"/>
          <w:szCs w:val="22"/>
        </w:rPr>
        <w:t xml:space="preserve"> 2013-2020</w:t>
      </w:r>
      <w:r w:rsidRPr="0068452F">
        <w:rPr>
          <w:rFonts w:asciiTheme="minorHAnsi" w:hAnsiTheme="minorHAnsi" w:cstheme="minorHAnsi"/>
          <w:sz w:val="22"/>
          <w:szCs w:val="22"/>
        </w:rPr>
        <w:t>, l</w:t>
      </w:r>
      <w:r w:rsidR="00D07C3A" w:rsidRPr="0068452F">
        <w:rPr>
          <w:rFonts w:asciiTheme="minorHAnsi" w:hAnsiTheme="minorHAnsi" w:cstheme="minorHAnsi"/>
          <w:sz w:val="22"/>
          <w:szCs w:val="22"/>
        </w:rPr>
        <w:t xml:space="preserve">’objectif </w:t>
      </w:r>
      <w:r w:rsidR="006611A3" w:rsidRPr="0068452F">
        <w:rPr>
          <w:rFonts w:asciiTheme="minorHAnsi" w:hAnsiTheme="minorHAnsi" w:cstheme="minorHAnsi"/>
          <w:sz w:val="22"/>
          <w:szCs w:val="22"/>
        </w:rPr>
        <w:t xml:space="preserve">wallon </w:t>
      </w:r>
      <w:r w:rsidR="00D07C3A" w:rsidRPr="0068452F">
        <w:rPr>
          <w:rFonts w:asciiTheme="minorHAnsi" w:hAnsiTheme="minorHAnsi" w:cstheme="minorHAnsi"/>
          <w:sz w:val="22"/>
          <w:szCs w:val="22"/>
        </w:rPr>
        <w:t xml:space="preserve">pour </w:t>
      </w:r>
      <w:r w:rsidR="00256D9E" w:rsidRPr="0068452F">
        <w:rPr>
          <w:rFonts w:asciiTheme="minorHAnsi" w:hAnsiTheme="minorHAnsi" w:cstheme="minorHAnsi"/>
          <w:sz w:val="22"/>
          <w:szCs w:val="22"/>
        </w:rPr>
        <w:t xml:space="preserve">l’année </w:t>
      </w:r>
      <w:r w:rsidR="00D07C3A" w:rsidRPr="0068452F">
        <w:rPr>
          <w:rFonts w:asciiTheme="minorHAnsi" w:hAnsiTheme="minorHAnsi" w:cstheme="minorHAnsi"/>
          <w:sz w:val="22"/>
          <w:szCs w:val="22"/>
        </w:rPr>
        <w:t xml:space="preserve">2020 </w:t>
      </w:r>
      <w:r w:rsidR="00B63798">
        <w:rPr>
          <w:rFonts w:asciiTheme="minorHAnsi" w:hAnsiTheme="minorHAnsi" w:cstheme="minorHAnsi"/>
          <w:sz w:val="22"/>
          <w:szCs w:val="22"/>
        </w:rPr>
        <w:t>était</w:t>
      </w:r>
      <w:r w:rsidR="00B63798" w:rsidRPr="0068452F">
        <w:rPr>
          <w:rFonts w:asciiTheme="minorHAnsi" w:hAnsiTheme="minorHAnsi" w:cstheme="minorHAnsi"/>
          <w:sz w:val="22"/>
          <w:szCs w:val="22"/>
        </w:rPr>
        <w:t xml:space="preserve"> </w:t>
      </w:r>
      <w:r w:rsidR="00D07C3A" w:rsidRPr="0068452F">
        <w:rPr>
          <w:rFonts w:asciiTheme="minorHAnsi" w:hAnsiTheme="minorHAnsi" w:cstheme="minorHAnsi"/>
          <w:sz w:val="22"/>
          <w:szCs w:val="22"/>
        </w:rPr>
        <w:t>de -1</w:t>
      </w:r>
      <w:r w:rsidR="006611A3" w:rsidRPr="0068452F">
        <w:rPr>
          <w:rFonts w:asciiTheme="minorHAnsi" w:hAnsiTheme="minorHAnsi" w:cstheme="minorHAnsi"/>
          <w:sz w:val="22"/>
          <w:szCs w:val="22"/>
        </w:rPr>
        <w:t>4,7</w:t>
      </w:r>
      <w:r w:rsidR="00256D9E" w:rsidRPr="0068452F">
        <w:rPr>
          <w:rFonts w:asciiTheme="minorHAnsi" w:hAnsiTheme="minorHAnsi" w:cstheme="minorHAnsi"/>
          <w:sz w:val="22"/>
          <w:szCs w:val="22"/>
        </w:rPr>
        <w:t>% par rapport aux émissions de 2005</w:t>
      </w:r>
      <w:r w:rsidRPr="0068452F">
        <w:rPr>
          <w:rFonts w:asciiTheme="minorHAnsi" w:hAnsiTheme="minorHAnsi" w:cstheme="minorHAnsi"/>
          <w:sz w:val="22"/>
          <w:szCs w:val="22"/>
        </w:rPr>
        <w:t xml:space="preserve"> pour les secteurs </w:t>
      </w:r>
      <w:r w:rsidR="002C3C73" w:rsidRPr="0068452F">
        <w:rPr>
          <w:rFonts w:asciiTheme="minorHAnsi" w:hAnsiTheme="minorHAnsi" w:cstheme="minorHAnsi"/>
          <w:sz w:val="22"/>
          <w:szCs w:val="22"/>
        </w:rPr>
        <w:t>ESD</w:t>
      </w:r>
      <w:r w:rsidRPr="0068452F">
        <w:rPr>
          <w:rFonts w:asciiTheme="minorHAnsi" w:hAnsiTheme="minorHAnsi" w:cstheme="minorHAnsi"/>
          <w:sz w:val="22"/>
          <w:szCs w:val="22"/>
        </w:rPr>
        <w:t xml:space="preserve"> (</w:t>
      </w:r>
      <w:r w:rsidR="002C3C73" w:rsidRPr="00286991">
        <w:rPr>
          <w:rFonts w:asciiTheme="minorHAnsi" w:hAnsiTheme="minorHAnsi" w:cstheme="minorHAnsi"/>
          <w:i/>
          <w:iCs/>
          <w:sz w:val="22"/>
          <w:szCs w:val="22"/>
        </w:rPr>
        <w:t xml:space="preserve">Effort Sharing </w:t>
      </w:r>
      <w:proofErr w:type="spellStart"/>
      <w:r w:rsidR="002C3C73" w:rsidRPr="00286991">
        <w:rPr>
          <w:rFonts w:asciiTheme="minorHAnsi" w:hAnsiTheme="minorHAnsi" w:cstheme="minorHAnsi"/>
          <w:i/>
          <w:iCs/>
          <w:sz w:val="22"/>
          <w:szCs w:val="22"/>
        </w:rPr>
        <w:t>Decision</w:t>
      </w:r>
      <w:proofErr w:type="spellEnd"/>
      <w:r w:rsidR="002C3C73" w:rsidRPr="0068452F">
        <w:rPr>
          <w:rFonts w:asciiTheme="minorHAnsi" w:hAnsiTheme="minorHAnsi" w:cstheme="minorHAnsi"/>
          <w:sz w:val="22"/>
          <w:szCs w:val="22"/>
        </w:rPr>
        <w:t xml:space="preserve"> CE/406/2009</w:t>
      </w:r>
      <w:r w:rsidR="00A42C7D">
        <w:rPr>
          <w:rFonts w:asciiTheme="minorHAnsi" w:hAnsiTheme="minorHAnsi" w:cstheme="minorHAnsi"/>
          <w:sz w:val="22"/>
          <w:szCs w:val="22"/>
        </w:rPr>
        <w:t>)</w:t>
      </w:r>
      <w:r w:rsidR="00177E62">
        <w:rPr>
          <w:rFonts w:asciiTheme="minorHAnsi" w:hAnsiTheme="minorHAnsi" w:cstheme="minorHAnsi"/>
          <w:sz w:val="22"/>
          <w:szCs w:val="22"/>
        </w:rPr>
        <w:t xml:space="preserve">. </w:t>
      </w:r>
      <w:r w:rsidR="00221860">
        <w:rPr>
          <w:rFonts w:asciiTheme="minorHAnsi" w:hAnsiTheme="minorHAnsi" w:cstheme="minorHAnsi"/>
        </w:rPr>
        <w:t xml:space="preserve"> </w:t>
      </w:r>
      <w:r w:rsidR="0097689D" w:rsidRPr="00796F57">
        <w:rPr>
          <w:rFonts w:asciiTheme="minorHAnsi" w:hAnsiTheme="minorHAnsi" w:cstheme="minorHAnsi"/>
          <w:sz w:val="22"/>
          <w:szCs w:val="22"/>
        </w:rPr>
        <w:t xml:space="preserve">La Région wallonne a </w:t>
      </w:r>
      <w:r w:rsidR="00BB6352" w:rsidRPr="00796F57">
        <w:rPr>
          <w:rFonts w:asciiTheme="minorHAnsi" w:hAnsiTheme="minorHAnsi" w:cstheme="minorHAnsi"/>
          <w:sz w:val="22"/>
          <w:szCs w:val="22"/>
        </w:rPr>
        <w:t xml:space="preserve">pleinement </w:t>
      </w:r>
      <w:r w:rsidR="0097689D" w:rsidRPr="00796F57">
        <w:rPr>
          <w:rFonts w:asciiTheme="minorHAnsi" w:hAnsiTheme="minorHAnsi" w:cstheme="minorHAnsi"/>
          <w:sz w:val="22"/>
          <w:szCs w:val="22"/>
        </w:rPr>
        <w:t>respecté ses objectifs de réduction pour la période 2013-2020</w:t>
      </w:r>
      <w:r w:rsidR="00FB5251" w:rsidRPr="00796F57">
        <w:rPr>
          <w:rFonts w:asciiTheme="minorHAnsi" w:hAnsiTheme="minorHAnsi" w:cstheme="minorHAnsi"/>
          <w:sz w:val="22"/>
          <w:szCs w:val="22"/>
        </w:rPr>
        <w:t>, via des réductions internes et sans recourir à des achats de crédits</w:t>
      </w:r>
      <w:r w:rsidR="0097689D" w:rsidRPr="00796F57">
        <w:rPr>
          <w:rFonts w:asciiTheme="minorHAnsi" w:hAnsiTheme="minorHAnsi" w:cstheme="minorHAnsi"/>
          <w:sz w:val="22"/>
          <w:szCs w:val="22"/>
        </w:rPr>
        <w:t>.</w:t>
      </w:r>
    </w:p>
    <w:p w14:paraId="6F837144" w14:textId="77777777" w:rsidR="00F00F32" w:rsidRPr="00F00F32" w:rsidRDefault="00F00F32" w:rsidP="00F00F3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BDC43A" w14:textId="473742A2" w:rsidR="000604F2" w:rsidRDefault="00EB4CAB" w:rsidP="00180F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Vu qu’il n’y a pas </w:t>
      </w:r>
      <w:r w:rsidR="00FA634D">
        <w:rPr>
          <w:rFonts w:asciiTheme="minorHAnsi" w:hAnsiTheme="minorHAnsi" w:cstheme="minorHAnsi"/>
        </w:rPr>
        <w:t xml:space="preserve">encore </w:t>
      </w:r>
      <w:r>
        <w:rPr>
          <w:rFonts w:asciiTheme="minorHAnsi" w:hAnsiTheme="minorHAnsi" w:cstheme="minorHAnsi"/>
        </w:rPr>
        <w:t xml:space="preserve">d’accord politique sur le </w:t>
      </w:r>
      <w:proofErr w:type="spellStart"/>
      <w:r>
        <w:rPr>
          <w:rFonts w:asciiTheme="minorHAnsi" w:hAnsiTheme="minorHAnsi" w:cstheme="minorHAnsi"/>
        </w:rPr>
        <w:t>burden</w:t>
      </w:r>
      <w:proofErr w:type="spellEnd"/>
      <w:r>
        <w:rPr>
          <w:rFonts w:asciiTheme="minorHAnsi" w:hAnsiTheme="minorHAnsi" w:cstheme="minorHAnsi"/>
        </w:rPr>
        <w:t>-sharing belge 2021-2030 (répartition de l’effort de réduction entre les entités)</w:t>
      </w:r>
      <w:r w:rsidR="00FA634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que l</w:t>
      </w:r>
      <w:r w:rsidR="009B0771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Règlement européen </w:t>
      </w:r>
      <w:r w:rsidRPr="00F6529B">
        <w:rPr>
          <w:rFonts w:asciiTheme="minorHAnsi" w:hAnsiTheme="minorHAnsi" w:cstheme="minorHAnsi"/>
          <w:i/>
          <w:iCs/>
        </w:rPr>
        <w:t xml:space="preserve">Effort Sharing </w:t>
      </w:r>
      <w:proofErr w:type="spellStart"/>
      <w:r w:rsidRPr="00F6529B">
        <w:rPr>
          <w:rFonts w:asciiTheme="minorHAnsi" w:hAnsiTheme="minorHAnsi" w:cstheme="minorHAnsi"/>
          <w:i/>
          <w:iCs/>
        </w:rPr>
        <w:t>Regulation</w:t>
      </w:r>
      <w:proofErr w:type="spellEnd"/>
      <w:r>
        <w:rPr>
          <w:rFonts w:asciiTheme="minorHAnsi" w:hAnsiTheme="minorHAnsi" w:cstheme="minorHAnsi"/>
        </w:rPr>
        <w:t xml:space="preserve"> 842/21018 </w:t>
      </w:r>
      <w:r w:rsidR="009B0771">
        <w:rPr>
          <w:rFonts w:asciiTheme="minorHAnsi" w:hAnsiTheme="minorHAnsi" w:cstheme="minorHAnsi"/>
        </w:rPr>
        <w:t>a été révisé récemment</w:t>
      </w:r>
      <w:r>
        <w:rPr>
          <w:rStyle w:val="Appelnotedebasdep"/>
          <w:rFonts w:asciiTheme="minorHAnsi" w:hAnsiTheme="minorHAnsi" w:cstheme="minorHAnsi"/>
        </w:rPr>
        <w:footnoteReference w:id="2"/>
      </w:r>
      <w:r w:rsidR="00FA634D">
        <w:rPr>
          <w:rFonts w:asciiTheme="minorHAnsi" w:hAnsiTheme="minorHAnsi" w:cstheme="minorHAnsi"/>
        </w:rPr>
        <w:t xml:space="preserve"> et enfin que le PACE wallon (Plan Air Climat Energie, adopté le 21/3/2023) fixe un objectif de réduction en 2030 de -47% par rapport à 2005 pour les secteurs non-ETS mais ne détermine pas les trajectoires annuelles, </w:t>
      </w:r>
      <w:r>
        <w:rPr>
          <w:rFonts w:asciiTheme="minorHAnsi" w:hAnsiTheme="minorHAnsi" w:cstheme="minorHAnsi"/>
        </w:rPr>
        <w:t xml:space="preserve">il n’est actuellement </w:t>
      </w:r>
      <w:r w:rsidR="00FA634D">
        <w:rPr>
          <w:rFonts w:asciiTheme="minorHAnsi" w:hAnsiTheme="minorHAnsi" w:cstheme="minorHAnsi"/>
        </w:rPr>
        <w:t xml:space="preserve">pas possible </w:t>
      </w:r>
      <w:r>
        <w:rPr>
          <w:rFonts w:asciiTheme="minorHAnsi" w:hAnsiTheme="minorHAnsi" w:cstheme="minorHAnsi"/>
        </w:rPr>
        <w:t>de comparer les émissions 202</w:t>
      </w:r>
      <w:r w:rsidR="002D57D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à </w:t>
      </w:r>
      <w:r w:rsidR="00FA634D">
        <w:rPr>
          <w:rFonts w:asciiTheme="minorHAnsi" w:hAnsiTheme="minorHAnsi" w:cstheme="minorHAnsi"/>
        </w:rPr>
        <w:t>une trajectoire précise.</w:t>
      </w:r>
      <w:r w:rsidR="004F7C85">
        <w:rPr>
          <w:rFonts w:asciiTheme="minorHAnsi" w:hAnsiTheme="minorHAnsi" w:cstheme="minorHAnsi"/>
        </w:rPr>
        <w:t xml:space="preserve"> Néanmoins, l</w:t>
      </w:r>
      <w:r w:rsidR="000B6F0D">
        <w:rPr>
          <w:rFonts w:asciiTheme="minorHAnsi" w:hAnsiTheme="minorHAnsi" w:cstheme="minorHAnsi"/>
        </w:rPr>
        <w:t>a répartition des émissions de gaz à effet de serre, le</w:t>
      </w:r>
      <w:r w:rsidR="004F7C85">
        <w:rPr>
          <w:rFonts w:asciiTheme="minorHAnsi" w:hAnsiTheme="minorHAnsi" w:cstheme="minorHAnsi"/>
        </w:rPr>
        <w:t xml:space="preserve"> chemin parcouru entre 2005 et 2023 </w:t>
      </w:r>
      <w:r w:rsidR="000B6F0D">
        <w:rPr>
          <w:rFonts w:asciiTheme="minorHAnsi" w:hAnsiTheme="minorHAnsi" w:cstheme="minorHAnsi"/>
        </w:rPr>
        <w:t>ainsi que l’objectif décrit dans le PACE 2030</w:t>
      </w:r>
      <w:r w:rsidR="002D57D1">
        <w:rPr>
          <w:rFonts w:asciiTheme="minorHAnsi" w:hAnsiTheme="minorHAnsi" w:cstheme="minorHAnsi"/>
        </w:rPr>
        <w:t xml:space="preserve"> so</w:t>
      </w:r>
      <w:r w:rsidR="002B00F6">
        <w:rPr>
          <w:rFonts w:asciiTheme="minorHAnsi" w:hAnsiTheme="minorHAnsi" w:cstheme="minorHAnsi"/>
        </w:rPr>
        <w:t xml:space="preserve">nt </w:t>
      </w:r>
      <w:r w:rsidR="00B524A2">
        <w:rPr>
          <w:rFonts w:asciiTheme="minorHAnsi" w:hAnsiTheme="minorHAnsi" w:cstheme="minorHAnsi"/>
        </w:rPr>
        <w:t>décrits</w:t>
      </w:r>
      <w:r w:rsidR="002B00F6">
        <w:rPr>
          <w:rFonts w:asciiTheme="minorHAnsi" w:hAnsiTheme="minorHAnsi" w:cstheme="minorHAnsi"/>
        </w:rPr>
        <w:t xml:space="preserve"> dans le tableau </w:t>
      </w:r>
      <w:r w:rsidR="00B524A2">
        <w:rPr>
          <w:rFonts w:asciiTheme="minorHAnsi" w:hAnsiTheme="minorHAnsi" w:cstheme="minorHAnsi"/>
        </w:rPr>
        <w:t xml:space="preserve">1. En outre, </w:t>
      </w:r>
      <w:r w:rsidR="00ED6B19">
        <w:rPr>
          <w:rFonts w:asciiTheme="minorHAnsi" w:hAnsiTheme="minorHAnsi" w:cstheme="minorHAnsi"/>
        </w:rPr>
        <w:t>les émissions du secteur non-ETS ont augment</w:t>
      </w:r>
      <w:r w:rsidR="00A42C7D">
        <w:rPr>
          <w:rFonts w:asciiTheme="minorHAnsi" w:hAnsiTheme="minorHAnsi" w:cstheme="minorHAnsi"/>
        </w:rPr>
        <w:t>é</w:t>
      </w:r>
      <w:r w:rsidR="00ED6B19">
        <w:rPr>
          <w:rFonts w:asciiTheme="minorHAnsi" w:hAnsiTheme="minorHAnsi" w:cstheme="minorHAnsi"/>
        </w:rPr>
        <w:t xml:space="preserve"> de 0.</w:t>
      </w:r>
      <w:r w:rsidR="003B63C4">
        <w:rPr>
          <w:rFonts w:asciiTheme="minorHAnsi" w:hAnsiTheme="minorHAnsi" w:cstheme="minorHAnsi"/>
        </w:rPr>
        <w:t>7</w:t>
      </w:r>
      <w:r w:rsidR="00ED6B19">
        <w:rPr>
          <w:rFonts w:asciiTheme="minorHAnsi" w:hAnsiTheme="minorHAnsi" w:cstheme="minorHAnsi"/>
        </w:rPr>
        <w:t>% entre 2022 et 2023</w:t>
      </w:r>
      <w:r w:rsidR="00D36DF6">
        <w:rPr>
          <w:rFonts w:asciiTheme="minorHAnsi" w:hAnsiTheme="minorHAnsi" w:cstheme="minorHAnsi"/>
        </w:rPr>
        <w:t>. L’augmentation principale se situe dans le secteur du transport</w:t>
      </w:r>
      <w:r w:rsidR="00455300">
        <w:rPr>
          <w:rFonts w:asciiTheme="minorHAnsi" w:hAnsiTheme="minorHAnsi" w:cstheme="minorHAnsi"/>
        </w:rPr>
        <w:t xml:space="preserve"> (+8%)</w:t>
      </w:r>
      <w:r w:rsidR="00D36DF6">
        <w:rPr>
          <w:rFonts w:asciiTheme="minorHAnsi" w:hAnsiTheme="minorHAnsi" w:cstheme="minorHAnsi"/>
        </w:rPr>
        <w:t>.</w:t>
      </w:r>
    </w:p>
    <w:p w14:paraId="547FB921" w14:textId="77777777" w:rsidR="00E71C62" w:rsidRDefault="00E71C62" w:rsidP="00180F55">
      <w:pPr>
        <w:rPr>
          <w:rFonts w:asciiTheme="minorHAnsi" w:hAnsiTheme="minorHAnsi" w:cstheme="minorHAnsi"/>
        </w:rPr>
      </w:pPr>
    </w:p>
    <w:p w14:paraId="426E567C" w14:textId="77777777" w:rsidR="00E71C62" w:rsidRDefault="00E71C62" w:rsidP="00180F55">
      <w:pPr>
        <w:rPr>
          <w:rFonts w:asciiTheme="minorHAnsi" w:hAnsiTheme="minorHAnsi" w:cstheme="minorHAnsi"/>
        </w:rPr>
      </w:pPr>
    </w:p>
    <w:p w14:paraId="2B104369" w14:textId="77777777" w:rsidR="00E71C62" w:rsidRDefault="00E71C62" w:rsidP="00180F55">
      <w:pPr>
        <w:rPr>
          <w:rFonts w:asciiTheme="minorHAnsi" w:hAnsiTheme="minorHAnsi" w:cstheme="minorHAnsi"/>
        </w:rPr>
      </w:pPr>
    </w:p>
    <w:tbl>
      <w:tblPr>
        <w:tblStyle w:val="Tableausimple3"/>
        <w:tblW w:w="9072" w:type="dxa"/>
        <w:jc w:val="center"/>
        <w:tblLook w:val="04A0" w:firstRow="1" w:lastRow="0" w:firstColumn="1" w:lastColumn="0" w:noHBand="0" w:noVBand="1"/>
      </w:tblPr>
      <w:tblGrid>
        <w:gridCol w:w="2167"/>
        <w:gridCol w:w="1401"/>
        <w:gridCol w:w="1909"/>
        <w:gridCol w:w="1816"/>
        <w:gridCol w:w="1779"/>
      </w:tblGrid>
      <w:tr w:rsidR="008715A4" w:rsidRPr="005D173C" w14:paraId="53146784" w14:textId="57E01880" w:rsidTr="00871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7" w:type="dxa"/>
            <w:hideMark/>
          </w:tcPr>
          <w:p w14:paraId="230FFDFE" w14:textId="77777777" w:rsidR="008715A4" w:rsidRPr="005D173C" w:rsidRDefault="008715A4" w:rsidP="005D173C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bookmarkStart w:id="3" w:name="_Hlk188535789"/>
            <w:r w:rsidRPr="005D173C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924" w:type="dxa"/>
            <w:hideMark/>
          </w:tcPr>
          <w:p w14:paraId="4EF00471" w14:textId="77777777" w:rsidR="008715A4" w:rsidRDefault="008715A4" w:rsidP="005D173C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aps w:val="0"/>
                <w:sz w:val="20"/>
                <w:szCs w:val="20"/>
                <w:lang w:eastAsia="fr-BE"/>
              </w:rPr>
            </w:pPr>
            <w:r w:rsidRPr="005D173C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En %</w:t>
            </w:r>
          </w:p>
          <w:p w14:paraId="378FB13F" w14:textId="6D27BFB9" w:rsidR="00F10905" w:rsidRPr="005D173C" w:rsidRDefault="00F10905" w:rsidP="005D173C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(Répartition sectorielle de 2023)</w:t>
            </w:r>
          </w:p>
        </w:tc>
        <w:tc>
          <w:tcPr>
            <w:tcW w:w="2020" w:type="dxa"/>
            <w:hideMark/>
          </w:tcPr>
          <w:p w14:paraId="1E8F8BAA" w14:textId="433591B1" w:rsidR="008715A4" w:rsidRPr="005D173C" w:rsidRDefault="008715A4" w:rsidP="005D173C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5D173C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En </w:t>
            </w:r>
            <w:r w:rsidRPr="00B44115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kT</w:t>
            </w:r>
            <w:r w:rsidRPr="005D173C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CO</w:t>
            </w:r>
            <w:r w:rsidRPr="00B44115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fr-BE"/>
              </w:rPr>
              <w:t>2</w:t>
            </w:r>
            <w:r w:rsidRPr="00B44115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- équivalent</w:t>
            </w:r>
            <w:r w:rsidR="00F10905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 xml:space="preserve"> (inventaire 2023)</w:t>
            </w:r>
          </w:p>
        </w:tc>
        <w:tc>
          <w:tcPr>
            <w:tcW w:w="1932" w:type="dxa"/>
            <w:hideMark/>
          </w:tcPr>
          <w:p w14:paraId="03EDC111" w14:textId="77777777" w:rsidR="008715A4" w:rsidRPr="005D173C" w:rsidRDefault="008715A4" w:rsidP="005D173C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5D17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Chemin parcouru entre 2005 et 2023</w:t>
            </w:r>
          </w:p>
        </w:tc>
        <w:tc>
          <w:tcPr>
            <w:tcW w:w="1889" w:type="dxa"/>
          </w:tcPr>
          <w:p w14:paraId="4B18CC41" w14:textId="3CE23DA5" w:rsidR="008715A4" w:rsidRPr="005D173C" w:rsidRDefault="008715A4" w:rsidP="005D173C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Chemin parcouru entre 2022 et 2023</w:t>
            </w:r>
          </w:p>
        </w:tc>
      </w:tr>
      <w:tr w:rsidR="00565179" w:rsidRPr="005D173C" w14:paraId="1DB124FE" w14:textId="4C07C58A" w:rsidTr="0040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bottom"/>
            <w:hideMark/>
          </w:tcPr>
          <w:p w14:paraId="50D41196" w14:textId="65386781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sz w:val="20"/>
                <w:szCs w:val="20"/>
              </w:rPr>
              <w:t>Energie (non-ETS)</w:t>
            </w:r>
          </w:p>
        </w:tc>
        <w:tc>
          <w:tcPr>
            <w:tcW w:w="924" w:type="dxa"/>
            <w:vAlign w:val="bottom"/>
            <w:hideMark/>
          </w:tcPr>
          <w:p w14:paraId="72B39123" w14:textId="37644D7F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020" w:type="dxa"/>
            <w:vAlign w:val="bottom"/>
            <w:hideMark/>
          </w:tcPr>
          <w:p w14:paraId="6DD3F043" w14:textId="2EB25B66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678.38</w:t>
            </w:r>
          </w:p>
        </w:tc>
        <w:tc>
          <w:tcPr>
            <w:tcW w:w="1932" w:type="dxa"/>
            <w:vAlign w:val="bottom"/>
            <w:hideMark/>
          </w:tcPr>
          <w:p w14:paraId="76B5209D" w14:textId="5C375412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889" w:type="dxa"/>
            <w:vAlign w:val="bottom"/>
          </w:tcPr>
          <w:p w14:paraId="61321A65" w14:textId="7ACB3F16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1%</w:t>
            </w:r>
          </w:p>
        </w:tc>
      </w:tr>
      <w:tr w:rsidR="00565179" w:rsidRPr="005D173C" w14:paraId="264BF487" w14:textId="5F8F3450" w:rsidTr="00404DF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bottom"/>
            <w:hideMark/>
          </w:tcPr>
          <w:p w14:paraId="2FE4E4CA" w14:textId="634F721A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color w:val="000000"/>
                <w:sz w:val="20"/>
                <w:szCs w:val="20"/>
              </w:rPr>
              <w:t>Industrie (non-ETS)</w:t>
            </w:r>
          </w:p>
        </w:tc>
        <w:tc>
          <w:tcPr>
            <w:tcW w:w="924" w:type="dxa"/>
            <w:vAlign w:val="bottom"/>
            <w:hideMark/>
          </w:tcPr>
          <w:p w14:paraId="7B29DBEA" w14:textId="1FE88F74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2020" w:type="dxa"/>
            <w:vAlign w:val="bottom"/>
            <w:hideMark/>
          </w:tcPr>
          <w:p w14:paraId="0FE6AB9A" w14:textId="7FD3D540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1015.</w:t>
            </w:r>
            <w:r w:rsidR="00B557F5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2" w:type="dxa"/>
            <w:vAlign w:val="bottom"/>
            <w:hideMark/>
          </w:tcPr>
          <w:p w14:paraId="1F51F5B5" w14:textId="2B5FE684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-69%</w:t>
            </w:r>
          </w:p>
        </w:tc>
        <w:tc>
          <w:tcPr>
            <w:tcW w:w="1889" w:type="dxa"/>
            <w:vAlign w:val="bottom"/>
          </w:tcPr>
          <w:p w14:paraId="13D6DCFF" w14:textId="6240369C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565179" w:rsidRPr="005D173C" w14:paraId="20AF684E" w14:textId="386AE65F" w:rsidTr="0040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bottom"/>
            <w:hideMark/>
          </w:tcPr>
          <w:p w14:paraId="4AF0955E" w14:textId="59C87C28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24" w:type="dxa"/>
            <w:vAlign w:val="bottom"/>
            <w:hideMark/>
          </w:tcPr>
          <w:p w14:paraId="0A9F0514" w14:textId="45AAC325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2020" w:type="dxa"/>
            <w:vAlign w:val="bottom"/>
            <w:hideMark/>
          </w:tcPr>
          <w:p w14:paraId="11928026" w14:textId="41AB18C4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  <w:r w:rsidR="00C133ED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C133ED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32" w:type="dxa"/>
            <w:vAlign w:val="bottom"/>
            <w:hideMark/>
          </w:tcPr>
          <w:p w14:paraId="3C4AE7E7" w14:textId="3F33FC64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-6%</w:t>
            </w:r>
          </w:p>
        </w:tc>
        <w:tc>
          <w:tcPr>
            <w:tcW w:w="1889" w:type="dxa"/>
            <w:vAlign w:val="bottom"/>
          </w:tcPr>
          <w:p w14:paraId="78149F2D" w14:textId="547BF62E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565179" w:rsidRPr="005D173C" w14:paraId="3BAC31C2" w14:textId="199A033E" w:rsidTr="00404DF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bottom"/>
            <w:hideMark/>
          </w:tcPr>
          <w:p w14:paraId="04413495" w14:textId="633C4772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color w:val="000000"/>
                <w:sz w:val="20"/>
                <w:szCs w:val="20"/>
              </w:rPr>
              <w:t>Residentiel</w:t>
            </w:r>
          </w:p>
        </w:tc>
        <w:tc>
          <w:tcPr>
            <w:tcW w:w="924" w:type="dxa"/>
            <w:vAlign w:val="bottom"/>
            <w:hideMark/>
          </w:tcPr>
          <w:p w14:paraId="548AED1A" w14:textId="4CDE2260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2020" w:type="dxa"/>
            <w:vAlign w:val="bottom"/>
            <w:hideMark/>
          </w:tcPr>
          <w:p w14:paraId="70B6E864" w14:textId="38468755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4331.45</w:t>
            </w:r>
          </w:p>
        </w:tc>
        <w:tc>
          <w:tcPr>
            <w:tcW w:w="1932" w:type="dxa"/>
            <w:vAlign w:val="bottom"/>
            <w:hideMark/>
          </w:tcPr>
          <w:p w14:paraId="33FE3E63" w14:textId="18023DA1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-39%</w:t>
            </w:r>
          </w:p>
        </w:tc>
        <w:tc>
          <w:tcPr>
            <w:tcW w:w="1889" w:type="dxa"/>
            <w:vAlign w:val="bottom"/>
          </w:tcPr>
          <w:p w14:paraId="447B0F9B" w14:textId="32A0380D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-2%</w:t>
            </w:r>
          </w:p>
        </w:tc>
      </w:tr>
      <w:tr w:rsidR="00565179" w:rsidRPr="005D173C" w14:paraId="2DBEEFC5" w14:textId="36861600" w:rsidTr="0040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bottom"/>
            <w:hideMark/>
          </w:tcPr>
          <w:p w14:paraId="57FDB87E" w14:textId="49423DA1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color w:val="000000"/>
                <w:sz w:val="20"/>
                <w:szCs w:val="20"/>
              </w:rPr>
              <w:t>Tertiaire (non-ETS)</w:t>
            </w:r>
          </w:p>
        </w:tc>
        <w:tc>
          <w:tcPr>
            <w:tcW w:w="924" w:type="dxa"/>
            <w:vAlign w:val="bottom"/>
            <w:hideMark/>
          </w:tcPr>
          <w:p w14:paraId="3B9B8B85" w14:textId="66C87B7E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  <w:tc>
          <w:tcPr>
            <w:tcW w:w="2020" w:type="dxa"/>
            <w:vAlign w:val="bottom"/>
            <w:hideMark/>
          </w:tcPr>
          <w:p w14:paraId="456A25D9" w14:textId="77777777" w:rsidR="00565179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525AC6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525AC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  <w:p w14:paraId="59444DAC" w14:textId="7E3CE3C7" w:rsidR="00525AC6" w:rsidRPr="00F10905" w:rsidRDefault="00525AC6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32" w:type="dxa"/>
            <w:vAlign w:val="bottom"/>
            <w:hideMark/>
          </w:tcPr>
          <w:p w14:paraId="2C64AFF4" w14:textId="71C96BBF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-24%</w:t>
            </w:r>
          </w:p>
        </w:tc>
        <w:tc>
          <w:tcPr>
            <w:tcW w:w="1889" w:type="dxa"/>
            <w:vAlign w:val="bottom"/>
          </w:tcPr>
          <w:p w14:paraId="5106E121" w14:textId="47930F6F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565179" w:rsidRPr="005D173C" w14:paraId="3CD5FFDE" w14:textId="571B43F1" w:rsidTr="00404DF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bottom"/>
            <w:hideMark/>
          </w:tcPr>
          <w:p w14:paraId="11012106" w14:textId="333F6E13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color w:val="000000"/>
                <w:sz w:val="20"/>
                <w:szCs w:val="20"/>
              </w:rPr>
              <w:t>Agriculture</w:t>
            </w:r>
          </w:p>
        </w:tc>
        <w:tc>
          <w:tcPr>
            <w:tcW w:w="924" w:type="dxa"/>
            <w:vAlign w:val="bottom"/>
            <w:hideMark/>
          </w:tcPr>
          <w:p w14:paraId="735CAF74" w14:textId="6574F367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020" w:type="dxa"/>
            <w:vAlign w:val="bottom"/>
            <w:hideMark/>
          </w:tcPr>
          <w:p w14:paraId="45C3F1E5" w14:textId="2280F3AD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C4629B"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C4629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2" w:type="dxa"/>
            <w:vAlign w:val="bottom"/>
            <w:hideMark/>
          </w:tcPr>
          <w:p w14:paraId="0923C8AB" w14:textId="04991448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-17%</w:t>
            </w:r>
          </w:p>
        </w:tc>
        <w:tc>
          <w:tcPr>
            <w:tcW w:w="1889" w:type="dxa"/>
            <w:vAlign w:val="bottom"/>
          </w:tcPr>
          <w:p w14:paraId="4C0A57FB" w14:textId="6FC3DE74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565179" w:rsidRPr="005D173C" w14:paraId="2A89F740" w14:textId="5232FD82" w:rsidTr="0040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bottom"/>
            <w:hideMark/>
          </w:tcPr>
          <w:p w14:paraId="78C5C6E1" w14:textId="5D93ECE3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color w:val="000000"/>
                <w:sz w:val="20"/>
                <w:szCs w:val="20"/>
              </w:rPr>
              <w:t>Déchets</w:t>
            </w:r>
          </w:p>
        </w:tc>
        <w:tc>
          <w:tcPr>
            <w:tcW w:w="924" w:type="dxa"/>
            <w:vAlign w:val="bottom"/>
            <w:hideMark/>
          </w:tcPr>
          <w:p w14:paraId="566BA0C5" w14:textId="33146CC4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20" w:type="dxa"/>
            <w:vAlign w:val="bottom"/>
            <w:hideMark/>
          </w:tcPr>
          <w:p w14:paraId="7A03894B" w14:textId="0077BA7C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429.33</w:t>
            </w:r>
          </w:p>
        </w:tc>
        <w:tc>
          <w:tcPr>
            <w:tcW w:w="1932" w:type="dxa"/>
            <w:vAlign w:val="bottom"/>
            <w:hideMark/>
          </w:tcPr>
          <w:p w14:paraId="74B6F961" w14:textId="7C190B0B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-60%</w:t>
            </w:r>
          </w:p>
        </w:tc>
        <w:tc>
          <w:tcPr>
            <w:tcW w:w="1889" w:type="dxa"/>
            <w:vAlign w:val="bottom"/>
          </w:tcPr>
          <w:p w14:paraId="09343993" w14:textId="4839ECC5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4%</w:t>
            </w:r>
          </w:p>
        </w:tc>
      </w:tr>
      <w:tr w:rsidR="00565179" w:rsidRPr="005D173C" w14:paraId="180D3FF9" w14:textId="02CFEDC5" w:rsidTr="0052636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tcBorders>
              <w:bottom w:val="single" w:sz="4" w:space="0" w:color="auto"/>
            </w:tcBorders>
            <w:vAlign w:val="bottom"/>
            <w:hideMark/>
          </w:tcPr>
          <w:p w14:paraId="09DF1337" w14:textId="52B0F7A5" w:rsidR="00565179" w:rsidRPr="005D173C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B44115">
              <w:rPr>
                <w:rFonts w:ascii="Calibri" w:hAnsi="Calibri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  <w:hideMark/>
          </w:tcPr>
          <w:p w14:paraId="4DF0EAF7" w14:textId="6ADE5E92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bottom"/>
            <w:hideMark/>
          </w:tcPr>
          <w:p w14:paraId="2E72D23C" w14:textId="59DDCA94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830.65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  <w:hideMark/>
          </w:tcPr>
          <w:p w14:paraId="05F80CBC" w14:textId="3F7CD422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-9%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7DE1576F" w14:textId="713D194E" w:rsidR="00565179" w:rsidRPr="00F10905" w:rsidRDefault="00565179" w:rsidP="005651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905">
              <w:rPr>
                <w:rFonts w:ascii="Calibri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565179" w:rsidRPr="005D173C" w14:paraId="16745613" w14:textId="67A95494" w:rsidTr="0052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sz="4" w:space="0" w:color="auto"/>
            </w:tcBorders>
            <w:vAlign w:val="bottom"/>
            <w:hideMark/>
          </w:tcPr>
          <w:p w14:paraId="4F5BE55C" w14:textId="60DCA7AE" w:rsidR="00565179" w:rsidRPr="00F10905" w:rsidRDefault="00565179" w:rsidP="0056517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bottom"/>
            <w:hideMark/>
          </w:tcPr>
          <w:p w14:paraId="137AD337" w14:textId="517FC7A1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bottom"/>
            <w:hideMark/>
          </w:tcPr>
          <w:p w14:paraId="6A05A1D2" w14:textId="194E0227" w:rsidR="00565179" w:rsidRPr="00F10905" w:rsidRDefault="006C42F3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hAnsi="Calibri" w:cs="Calibri"/>
                <w:color w:val="000000"/>
              </w:rPr>
              <w:t>20028.22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bottom"/>
            <w:hideMark/>
          </w:tcPr>
          <w:p w14:paraId="751DE202" w14:textId="701F1B5A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10905">
              <w:rPr>
                <w:rFonts w:ascii="Calibri" w:hAnsi="Calibri" w:cs="Calibri"/>
                <w:color w:val="000000"/>
              </w:rPr>
              <w:t>-2</w:t>
            </w:r>
            <w:r w:rsidR="00BE13A3">
              <w:rPr>
                <w:rFonts w:ascii="Calibri" w:hAnsi="Calibri" w:cs="Calibri"/>
                <w:color w:val="000000"/>
              </w:rPr>
              <w:t>6</w:t>
            </w:r>
            <w:r w:rsidRPr="00F10905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661EAF91" w14:textId="08F04E6F" w:rsidR="00565179" w:rsidRPr="00F10905" w:rsidRDefault="00565179" w:rsidP="0056517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10905">
              <w:rPr>
                <w:rFonts w:ascii="Calibri" w:hAnsi="Calibri" w:cs="Calibri"/>
                <w:color w:val="000000"/>
              </w:rPr>
              <w:t>0.</w:t>
            </w:r>
            <w:r w:rsidR="00BE13A3">
              <w:rPr>
                <w:rFonts w:ascii="Calibri" w:hAnsi="Calibri" w:cs="Calibri"/>
                <w:color w:val="000000"/>
              </w:rPr>
              <w:t>7</w:t>
            </w:r>
            <w:r w:rsidRPr="00F10905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bookmarkEnd w:id="3"/>
    <w:p w14:paraId="7C9CDD8B" w14:textId="60457B5D" w:rsidR="008D3F75" w:rsidRPr="004D1042" w:rsidRDefault="004D1042" w:rsidP="00180F55">
      <w:pPr>
        <w:rPr>
          <w:rFonts w:asciiTheme="minorHAnsi" w:hAnsiTheme="minorHAnsi" w:cstheme="minorHAnsi"/>
          <w:bCs/>
          <w:caps/>
        </w:rPr>
      </w:pPr>
      <w:r>
        <w:rPr>
          <w:rFonts w:asciiTheme="minorHAnsi" w:hAnsiTheme="minorHAnsi" w:cstheme="minorHAnsi"/>
          <w:bCs/>
          <w:caps/>
        </w:rPr>
        <w:t xml:space="preserve">Table 1 : </w:t>
      </w:r>
      <w:r w:rsidRPr="005D173C">
        <w:rPr>
          <w:rFonts w:asciiTheme="minorHAnsi" w:hAnsiTheme="minorHAnsi" w:cstheme="minorHAnsi"/>
          <w:bCs/>
          <w:caps/>
        </w:rPr>
        <w:t xml:space="preserve">Répartition des émissions de </w:t>
      </w:r>
      <w:r w:rsidRPr="004D1042">
        <w:rPr>
          <w:rFonts w:asciiTheme="minorHAnsi" w:hAnsiTheme="minorHAnsi" w:cstheme="minorHAnsi"/>
          <w:bCs/>
          <w:caps/>
        </w:rPr>
        <w:t>Gaz à effet de serre</w:t>
      </w:r>
      <w:r w:rsidRPr="005D173C">
        <w:rPr>
          <w:rFonts w:asciiTheme="minorHAnsi" w:hAnsiTheme="minorHAnsi" w:cstheme="minorHAnsi"/>
          <w:bCs/>
          <w:caps/>
        </w:rPr>
        <w:t xml:space="preserve"> non-ETS par secteur (inventaire AWAC, 202</w:t>
      </w:r>
      <w:r w:rsidRPr="004D1042">
        <w:rPr>
          <w:rFonts w:asciiTheme="minorHAnsi" w:hAnsiTheme="minorHAnsi" w:cstheme="minorHAnsi"/>
          <w:bCs/>
          <w:caps/>
        </w:rPr>
        <w:t>3</w:t>
      </w:r>
      <w:r w:rsidRPr="005D173C">
        <w:rPr>
          <w:rFonts w:asciiTheme="minorHAnsi" w:hAnsiTheme="minorHAnsi" w:cstheme="minorHAnsi"/>
          <w:bCs/>
          <w:caps/>
        </w:rPr>
        <w:t xml:space="preserve">, Soumission </w:t>
      </w:r>
      <w:r w:rsidR="002C0FBB">
        <w:rPr>
          <w:rFonts w:asciiTheme="minorHAnsi" w:hAnsiTheme="minorHAnsi" w:cstheme="minorHAnsi"/>
          <w:bCs/>
          <w:caps/>
        </w:rPr>
        <w:t>Mars</w:t>
      </w:r>
      <w:r w:rsidRPr="004D1042">
        <w:rPr>
          <w:rFonts w:asciiTheme="minorHAnsi" w:hAnsiTheme="minorHAnsi" w:cstheme="minorHAnsi"/>
          <w:bCs/>
          <w:caps/>
        </w:rPr>
        <w:t xml:space="preserve"> </w:t>
      </w:r>
      <w:r w:rsidRPr="005D173C">
        <w:rPr>
          <w:rFonts w:asciiTheme="minorHAnsi" w:hAnsiTheme="minorHAnsi" w:cstheme="minorHAnsi"/>
          <w:bCs/>
          <w:caps/>
        </w:rPr>
        <w:t>202</w:t>
      </w:r>
      <w:r w:rsidRPr="004D1042">
        <w:rPr>
          <w:rFonts w:asciiTheme="minorHAnsi" w:hAnsiTheme="minorHAnsi" w:cstheme="minorHAnsi"/>
          <w:bCs/>
          <w:caps/>
        </w:rPr>
        <w:t>5</w:t>
      </w:r>
      <w:r w:rsidRPr="005D173C">
        <w:rPr>
          <w:rFonts w:asciiTheme="minorHAnsi" w:hAnsiTheme="minorHAnsi" w:cstheme="minorHAnsi"/>
          <w:bCs/>
          <w:caps/>
        </w:rPr>
        <w:t>)</w:t>
      </w:r>
      <w:r w:rsidR="002647CF">
        <w:rPr>
          <w:rStyle w:val="Appelnotedebasdep"/>
          <w:rFonts w:asciiTheme="minorHAnsi" w:hAnsiTheme="minorHAnsi" w:cstheme="minorHAnsi"/>
          <w:bCs/>
          <w:caps/>
        </w:rPr>
        <w:footnoteReference w:id="3"/>
      </w:r>
    </w:p>
    <w:p w14:paraId="05F7054C" w14:textId="6416BACE" w:rsidR="008D3F75" w:rsidRDefault="00177E62" w:rsidP="00180F55">
      <w:p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 xml:space="preserve">L’objectif ETS </w:t>
      </w:r>
      <w:r>
        <w:rPr>
          <w:rFonts w:asciiTheme="minorHAnsi" w:hAnsiTheme="minorHAnsi" w:cstheme="minorHAnsi"/>
        </w:rPr>
        <w:t>(</w:t>
      </w:r>
      <w:r w:rsidRPr="00286991">
        <w:rPr>
          <w:rFonts w:asciiTheme="minorHAnsi" w:hAnsiTheme="minorHAnsi" w:cstheme="minorHAnsi"/>
          <w:i/>
          <w:iCs/>
        </w:rPr>
        <w:t>Emission Trading Scheme</w:t>
      </w:r>
      <w:r>
        <w:rPr>
          <w:rFonts w:asciiTheme="minorHAnsi" w:hAnsiTheme="minorHAnsi" w:cstheme="minorHAnsi"/>
        </w:rPr>
        <w:t xml:space="preserve">, qui couvre 90 % des émissions de l‘industrie et de la production d’électricité en Wallonie) </w:t>
      </w:r>
      <w:r w:rsidRPr="0068452F">
        <w:rPr>
          <w:rFonts w:asciiTheme="minorHAnsi" w:hAnsiTheme="minorHAnsi" w:cstheme="minorHAnsi"/>
        </w:rPr>
        <w:t xml:space="preserve">est directement géré au niveau </w:t>
      </w:r>
      <w:r w:rsidRPr="003A0165">
        <w:rPr>
          <w:rFonts w:asciiTheme="minorHAnsi" w:hAnsiTheme="minorHAnsi" w:cstheme="minorHAnsi"/>
        </w:rPr>
        <w:t>européen, sans objectif défini au niveau national ou régional.</w:t>
      </w:r>
      <w:r w:rsidR="00B6141B">
        <w:rPr>
          <w:rFonts w:asciiTheme="minorHAnsi" w:hAnsiTheme="minorHAnsi" w:cstheme="minorHAnsi"/>
        </w:rPr>
        <w:t xml:space="preserve"> </w:t>
      </w:r>
    </w:p>
    <w:p w14:paraId="5464F7E6" w14:textId="378009C3" w:rsidR="000A10B2" w:rsidRDefault="005823FC" w:rsidP="000F4BA2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603623E" wp14:editId="6B0A5096">
            <wp:extent cx="5157470" cy="2554605"/>
            <wp:effectExtent l="0" t="0" r="5080" b="17145"/>
            <wp:docPr id="156318710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FF7302FF-CD53-4BA7-AFA0-2E6A8F6E5F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20A0DA" w14:textId="147F0913" w:rsidR="006B4406" w:rsidRPr="0068452F" w:rsidRDefault="006B4406" w:rsidP="006B4406">
      <w:pPr>
        <w:pStyle w:val="Lgende"/>
        <w:rPr>
          <w:rFonts w:asciiTheme="minorHAnsi" w:hAnsiTheme="minorHAnsi" w:cstheme="minorHAnsi"/>
          <w:b w:val="0"/>
          <w:i/>
          <w:sz w:val="22"/>
          <w:szCs w:val="22"/>
        </w:rPr>
      </w:pPr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Figure 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68452F">
        <w:rPr>
          <w:rFonts w:asciiTheme="minorHAnsi" w:hAnsiTheme="minorHAnsi" w:cstheme="minorHAnsi"/>
          <w:b w:val="0"/>
          <w:sz w:val="22"/>
          <w:szCs w:val="22"/>
        </w:rPr>
        <w:instrText xml:space="preserve"> SEQ Figure \* ARABIC </w:instrText>
      </w:r>
      <w:r w:rsidRPr="0068452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  <w:szCs w:val="22"/>
        </w:rPr>
        <w:t>3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68452F">
        <w:rPr>
          <w:rFonts w:asciiTheme="minorHAnsi" w:hAnsiTheme="minorHAnsi" w:cstheme="minorHAnsi"/>
          <w:b w:val="0"/>
          <w:sz w:val="22"/>
          <w:szCs w:val="22"/>
        </w:rPr>
        <w:t>: Evolution des émissions</w:t>
      </w:r>
      <w:r w:rsidR="00D8671C">
        <w:rPr>
          <w:rFonts w:asciiTheme="minorHAnsi" w:hAnsiTheme="minorHAnsi" w:cstheme="minorHAnsi"/>
          <w:b w:val="0"/>
          <w:sz w:val="22"/>
          <w:szCs w:val="22"/>
        </w:rPr>
        <w:t xml:space="preserve"> des secteurs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8671C">
        <w:rPr>
          <w:rFonts w:asciiTheme="minorHAnsi" w:hAnsiTheme="minorHAnsi" w:cstheme="minorHAnsi"/>
          <w:b w:val="0"/>
          <w:sz w:val="22"/>
          <w:szCs w:val="22"/>
        </w:rPr>
        <w:t>ETS depuis 2005 en Wallonie (source : awac)</w:t>
      </w:r>
    </w:p>
    <w:p w14:paraId="537D35D8" w14:textId="04707651" w:rsidR="00027084" w:rsidRDefault="00EA7A84" w:rsidP="00027084">
      <w:pPr>
        <w:jc w:val="left"/>
        <w:rPr>
          <w:rFonts w:asciiTheme="minorHAnsi" w:hAnsiTheme="minorHAnsi" w:cstheme="minorHAnsi"/>
        </w:rPr>
      </w:pPr>
      <w:r w:rsidRPr="00027084">
        <w:rPr>
          <w:rFonts w:asciiTheme="minorHAnsi" w:hAnsiTheme="minorHAnsi" w:cstheme="minorHAnsi"/>
        </w:rPr>
        <w:t>On observe une diminution de 13% des émissions vérifiées du secteur ETS entre 2022 et 2023</w:t>
      </w:r>
      <w:r w:rsidR="00027084" w:rsidRPr="00027084">
        <w:rPr>
          <w:rFonts w:asciiTheme="minorHAnsi" w:hAnsiTheme="minorHAnsi" w:cstheme="minorHAnsi"/>
        </w:rPr>
        <w:t xml:space="preserve">. Cela </w:t>
      </w:r>
      <w:r w:rsidR="00874329" w:rsidRPr="00027084">
        <w:rPr>
          <w:rFonts w:asciiTheme="minorHAnsi" w:hAnsiTheme="minorHAnsi" w:cstheme="minorHAnsi"/>
        </w:rPr>
        <w:t>peut être</w:t>
      </w:r>
      <w:r w:rsidR="00027084" w:rsidRPr="00027084">
        <w:rPr>
          <w:rFonts w:asciiTheme="minorHAnsi" w:hAnsiTheme="minorHAnsi" w:cstheme="minorHAnsi"/>
        </w:rPr>
        <w:t xml:space="preserve"> expliqué principalement par : </w:t>
      </w:r>
    </w:p>
    <w:p w14:paraId="59EEEE98" w14:textId="27DA6CB9" w:rsidR="00825861" w:rsidRPr="00825861" w:rsidRDefault="00B6141B" w:rsidP="00825861">
      <w:pPr>
        <w:pStyle w:val="Paragraphedeliste"/>
        <w:numPr>
          <w:ilvl w:val="0"/>
          <w:numId w:val="23"/>
        </w:numPr>
        <w:jc w:val="left"/>
        <w:rPr>
          <w:rFonts w:asciiTheme="minorHAnsi" w:hAnsiTheme="minorHAnsi" w:cstheme="minorHAnsi"/>
        </w:rPr>
      </w:pPr>
      <w:r w:rsidRPr="00027084">
        <w:rPr>
          <w:rFonts w:asciiTheme="minorHAnsi" w:hAnsiTheme="minorHAnsi" w:cstheme="minorHAnsi"/>
        </w:rPr>
        <w:t xml:space="preserve">Ciment et </w:t>
      </w:r>
      <w:r w:rsidR="00825861" w:rsidRPr="00027084">
        <w:rPr>
          <w:rFonts w:asciiTheme="minorHAnsi" w:hAnsiTheme="minorHAnsi" w:cstheme="minorHAnsi"/>
        </w:rPr>
        <w:t>chaux :</w:t>
      </w:r>
      <w:r w:rsidRPr="00027084">
        <w:rPr>
          <w:rFonts w:asciiTheme="minorHAnsi" w:hAnsiTheme="minorHAnsi" w:cstheme="minorHAnsi"/>
        </w:rPr>
        <w:t xml:space="preserve"> diminution des émissions de 350 </w:t>
      </w:r>
      <w:r w:rsidR="00AF14F6">
        <w:rPr>
          <w:rFonts w:asciiTheme="minorHAnsi" w:hAnsiTheme="minorHAnsi" w:cstheme="minorHAnsi"/>
        </w:rPr>
        <w:t>k</w:t>
      </w:r>
      <w:r w:rsidRPr="00027084">
        <w:rPr>
          <w:rFonts w:asciiTheme="minorHAnsi" w:hAnsiTheme="minorHAnsi" w:cstheme="minorHAnsi"/>
        </w:rPr>
        <w:t>t</w:t>
      </w:r>
      <w:r w:rsidR="00AF14F6">
        <w:rPr>
          <w:rFonts w:asciiTheme="minorHAnsi" w:hAnsiTheme="minorHAnsi" w:cstheme="minorHAnsi"/>
        </w:rPr>
        <w:t xml:space="preserve"> </w:t>
      </w:r>
      <w:r w:rsidRPr="00027084">
        <w:rPr>
          <w:rFonts w:asciiTheme="minorHAnsi" w:hAnsiTheme="minorHAnsi" w:cstheme="minorHAnsi"/>
        </w:rPr>
        <w:t>CO</w:t>
      </w:r>
      <w:r w:rsidR="00825861" w:rsidRPr="00AF14F6">
        <w:rPr>
          <w:rFonts w:asciiTheme="minorHAnsi" w:hAnsiTheme="minorHAnsi" w:cstheme="minorHAnsi"/>
          <w:vertAlign w:val="subscript"/>
        </w:rPr>
        <w:t>2</w:t>
      </w:r>
      <w:r w:rsidRPr="00027084">
        <w:rPr>
          <w:rFonts w:asciiTheme="minorHAnsi" w:hAnsiTheme="minorHAnsi" w:cstheme="minorHAnsi"/>
        </w:rPr>
        <w:t xml:space="preserve"> et 200 </w:t>
      </w:r>
      <w:r w:rsidR="00AF14F6">
        <w:rPr>
          <w:rFonts w:asciiTheme="minorHAnsi" w:hAnsiTheme="minorHAnsi" w:cstheme="minorHAnsi"/>
        </w:rPr>
        <w:t>k</w:t>
      </w:r>
      <w:r w:rsidRPr="00027084">
        <w:rPr>
          <w:rFonts w:asciiTheme="minorHAnsi" w:hAnsiTheme="minorHAnsi" w:cstheme="minorHAnsi"/>
        </w:rPr>
        <w:t>t</w:t>
      </w:r>
      <w:r w:rsidR="00AF14F6">
        <w:rPr>
          <w:rFonts w:asciiTheme="minorHAnsi" w:hAnsiTheme="minorHAnsi" w:cstheme="minorHAnsi"/>
        </w:rPr>
        <w:t xml:space="preserve"> </w:t>
      </w:r>
      <w:r w:rsidRPr="00027084">
        <w:rPr>
          <w:rFonts w:asciiTheme="minorHAnsi" w:hAnsiTheme="minorHAnsi" w:cstheme="minorHAnsi"/>
        </w:rPr>
        <w:t>CO</w:t>
      </w:r>
      <w:r w:rsidR="00AF14F6" w:rsidRPr="00AF14F6">
        <w:rPr>
          <w:rFonts w:asciiTheme="minorHAnsi" w:hAnsiTheme="minorHAnsi" w:cstheme="minorHAnsi"/>
          <w:vertAlign w:val="subscript"/>
        </w:rPr>
        <w:t>2</w:t>
      </w:r>
      <w:r w:rsidRPr="00027084">
        <w:rPr>
          <w:rFonts w:asciiTheme="minorHAnsi" w:hAnsiTheme="minorHAnsi" w:cstheme="minorHAnsi"/>
        </w:rPr>
        <w:t xml:space="preserve"> respectivement</w:t>
      </w:r>
      <w:r w:rsidR="00825861">
        <w:rPr>
          <w:rFonts w:asciiTheme="minorHAnsi" w:hAnsiTheme="minorHAnsi" w:cstheme="minorHAnsi"/>
        </w:rPr>
        <w:t>. Diminution de 10% (production et émission de CO</w:t>
      </w:r>
      <w:r w:rsidR="00825861" w:rsidRPr="00AF14F6">
        <w:rPr>
          <w:rFonts w:asciiTheme="minorHAnsi" w:hAnsiTheme="minorHAnsi" w:cstheme="minorHAnsi"/>
          <w:vertAlign w:val="subscript"/>
        </w:rPr>
        <w:t>2</w:t>
      </w:r>
      <w:r w:rsidR="00825861">
        <w:rPr>
          <w:rFonts w:asciiTheme="minorHAnsi" w:hAnsiTheme="minorHAnsi" w:cstheme="minorHAnsi"/>
        </w:rPr>
        <w:t>) de</w:t>
      </w:r>
      <w:r w:rsidR="00825861" w:rsidRPr="00825861">
        <w:rPr>
          <w:rFonts w:asciiTheme="minorHAnsi" w:hAnsiTheme="minorHAnsi" w:cstheme="minorHAnsi"/>
        </w:rPr>
        <w:t xml:space="preserve"> ciment (clinker)</w:t>
      </w:r>
      <w:r w:rsidR="00825861">
        <w:rPr>
          <w:rFonts w:asciiTheme="minorHAnsi" w:hAnsiTheme="minorHAnsi" w:cstheme="minorHAnsi"/>
        </w:rPr>
        <w:t>.</w:t>
      </w:r>
      <w:r w:rsidR="00874329">
        <w:rPr>
          <w:rFonts w:asciiTheme="minorHAnsi" w:hAnsiTheme="minorHAnsi" w:cstheme="minorHAnsi"/>
        </w:rPr>
        <w:t xml:space="preserve"> </w:t>
      </w:r>
      <w:r w:rsidR="00874329" w:rsidRPr="00874329">
        <w:rPr>
          <w:rFonts w:asciiTheme="minorHAnsi" w:hAnsiTheme="minorHAnsi" w:cstheme="minorHAnsi"/>
        </w:rPr>
        <w:t xml:space="preserve">Pour la chaux et </w:t>
      </w:r>
      <w:r w:rsidR="00762B65" w:rsidRPr="00874329">
        <w:rPr>
          <w:rFonts w:asciiTheme="minorHAnsi" w:hAnsiTheme="minorHAnsi" w:cstheme="minorHAnsi"/>
        </w:rPr>
        <w:t>dolomie :</w:t>
      </w:r>
      <w:r w:rsidR="00874329" w:rsidRPr="00874329">
        <w:rPr>
          <w:rFonts w:asciiTheme="minorHAnsi" w:hAnsiTheme="minorHAnsi" w:cstheme="minorHAnsi"/>
        </w:rPr>
        <w:t xml:space="preserve"> diminution de 12% de la prod</w:t>
      </w:r>
      <w:r w:rsidR="00874329">
        <w:rPr>
          <w:rFonts w:asciiTheme="minorHAnsi" w:hAnsiTheme="minorHAnsi" w:cstheme="minorHAnsi"/>
        </w:rPr>
        <w:t>uction accompagnée d’une</w:t>
      </w:r>
      <w:r w:rsidR="00874329" w:rsidRPr="00874329">
        <w:rPr>
          <w:rFonts w:asciiTheme="minorHAnsi" w:hAnsiTheme="minorHAnsi" w:cstheme="minorHAnsi"/>
        </w:rPr>
        <w:t xml:space="preserve"> diminution de 13% des émissions</w:t>
      </w:r>
      <w:r w:rsidR="002A5932">
        <w:rPr>
          <w:rFonts w:asciiTheme="minorHAnsi" w:hAnsiTheme="minorHAnsi" w:cstheme="minorHAnsi"/>
        </w:rPr>
        <w:t xml:space="preserve"> de CO</w:t>
      </w:r>
      <w:r w:rsidR="002A5932" w:rsidRPr="00AF14F6">
        <w:rPr>
          <w:rFonts w:asciiTheme="minorHAnsi" w:hAnsiTheme="minorHAnsi" w:cstheme="minorHAnsi"/>
          <w:vertAlign w:val="subscript"/>
        </w:rPr>
        <w:t>2</w:t>
      </w:r>
      <w:r w:rsidR="00874329">
        <w:rPr>
          <w:rFonts w:asciiTheme="minorHAnsi" w:hAnsiTheme="minorHAnsi" w:cstheme="minorHAnsi"/>
        </w:rPr>
        <w:t>.</w:t>
      </w:r>
    </w:p>
    <w:p w14:paraId="1774D60E" w14:textId="62BD3270" w:rsidR="000A10B2" w:rsidRDefault="00825861" w:rsidP="00180F55">
      <w:pPr>
        <w:pStyle w:val="Paragraphedeliste"/>
        <w:numPr>
          <w:ilvl w:val="0"/>
          <w:numId w:val="23"/>
        </w:numPr>
        <w:jc w:val="left"/>
        <w:rPr>
          <w:rFonts w:asciiTheme="minorHAnsi" w:hAnsiTheme="minorHAnsi" w:cstheme="minorHAnsi"/>
        </w:rPr>
      </w:pPr>
      <w:r w:rsidRPr="00027084">
        <w:rPr>
          <w:rFonts w:asciiTheme="minorHAnsi" w:hAnsiTheme="minorHAnsi" w:cstheme="minorHAnsi"/>
        </w:rPr>
        <w:lastRenderedPageBreak/>
        <w:t>Chimie :</w:t>
      </w:r>
      <w:r w:rsidR="00B6141B" w:rsidRPr="00027084">
        <w:rPr>
          <w:rFonts w:asciiTheme="minorHAnsi" w:hAnsiTheme="minorHAnsi" w:cstheme="minorHAnsi"/>
        </w:rPr>
        <w:t xml:space="preserve"> réduction des émission</w:t>
      </w:r>
      <w:r w:rsidR="00AF14F6">
        <w:rPr>
          <w:rFonts w:asciiTheme="minorHAnsi" w:hAnsiTheme="minorHAnsi" w:cstheme="minorHAnsi"/>
        </w:rPr>
        <w:t>s</w:t>
      </w:r>
      <w:r w:rsidR="00B6141B" w:rsidRPr="00027084">
        <w:rPr>
          <w:rFonts w:asciiTheme="minorHAnsi" w:hAnsiTheme="minorHAnsi" w:cstheme="minorHAnsi"/>
        </w:rPr>
        <w:t xml:space="preserve"> de 300 </w:t>
      </w:r>
      <w:r w:rsidR="00AF14F6">
        <w:rPr>
          <w:rFonts w:asciiTheme="minorHAnsi" w:hAnsiTheme="minorHAnsi" w:cstheme="minorHAnsi"/>
        </w:rPr>
        <w:t xml:space="preserve">kt </w:t>
      </w:r>
      <w:r w:rsidR="00B6141B" w:rsidRPr="00027084">
        <w:rPr>
          <w:rFonts w:asciiTheme="minorHAnsi" w:hAnsiTheme="minorHAnsi" w:cstheme="minorHAnsi"/>
        </w:rPr>
        <w:t>CO</w:t>
      </w:r>
      <w:r w:rsidR="00AF14F6" w:rsidRPr="00AF14F6">
        <w:rPr>
          <w:rFonts w:asciiTheme="minorHAnsi" w:hAnsiTheme="minorHAnsi" w:cstheme="minorHAnsi"/>
          <w:vertAlign w:val="subscript"/>
        </w:rPr>
        <w:t>2</w:t>
      </w:r>
      <w:r w:rsidR="00AF14F6">
        <w:rPr>
          <w:rFonts w:asciiTheme="minorHAnsi" w:hAnsiTheme="minorHAnsi" w:cstheme="minorHAnsi"/>
        </w:rPr>
        <w:t>. L’entreprise</w:t>
      </w:r>
      <w:r w:rsidR="00B6141B" w:rsidRPr="00027084">
        <w:rPr>
          <w:rFonts w:asciiTheme="minorHAnsi" w:hAnsiTheme="minorHAnsi" w:cstheme="minorHAnsi"/>
        </w:rPr>
        <w:t xml:space="preserve"> Yara </w:t>
      </w:r>
      <w:r w:rsidR="00AF14F6">
        <w:rPr>
          <w:rFonts w:asciiTheme="minorHAnsi" w:hAnsiTheme="minorHAnsi" w:cstheme="minorHAnsi"/>
        </w:rPr>
        <w:t>a</w:t>
      </w:r>
      <w:r w:rsidR="00B6141B" w:rsidRPr="00027084">
        <w:rPr>
          <w:rFonts w:asciiTheme="minorHAnsi" w:hAnsiTheme="minorHAnsi" w:cstheme="minorHAnsi"/>
        </w:rPr>
        <w:t xml:space="preserve"> diminu</w:t>
      </w:r>
      <w:r>
        <w:rPr>
          <w:rFonts w:asciiTheme="minorHAnsi" w:hAnsiTheme="minorHAnsi" w:cstheme="minorHAnsi"/>
        </w:rPr>
        <w:t>é</w:t>
      </w:r>
      <w:r w:rsidR="00B6141B" w:rsidRPr="00027084">
        <w:rPr>
          <w:rFonts w:asciiTheme="minorHAnsi" w:hAnsiTheme="minorHAnsi" w:cstheme="minorHAnsi"/>
        </w:rPr>
        <w:t xml:space="preserve"> fortement la production d'ammoniac</w:t>
      </w:r>
      <w:r w:rsidR="002A5932">
        <w:rPr>
          <w:rFonts w:asciiTheme="minorHAnsi" w:hAnsiTheme="minorHAnsi" w:cstheme="minorHAnsi"/>
        </w:rPr>
        <w:t xml:space="preserve"> en 2023 par rapport à 2022.</w:t>
      </w:r>
    </w:p>
    <w:p w14:paraId="0F82FDF7" w14:textId="24E15EFD" w:rsidR="00490ECE" w:rsidRPr="00490ECE" w:rsidRDefault="00490ECE" w:rsidP="00490ECE">
      <w:pPr>
        <w:pStyle w:val="Paragraphedeliste"/>
        <w:numPr>
          <w:ilvl w:val="0"/>
          <w:numId w:val="23"/>
        </w:numPr>
        <w:jc w:val="left"/>
        <w:rPr>
          <w:rFonts w:asciiTheme="minorHAnsi" w:hAnsiTheme="minorHAnsi" w:cstheme="minorHAnsi"/>
        </w:rPr>
      </w:pPr>
      <w:r w:rsidRPr="00027084">
        <w:rPr>
          <w:rFonts w:asciiTheme="minorHAnsi" w:hAnsiTheme="minorHAnsi" w:cstheme="minorHAnsi"/>
        </w:rPr>
        <w:t>Production d'électricité : diminution d'un quart des émissions</w:t>
      </w:r>
      <w:r>
        <w:rPr>
          <w:rFonts w:asciiTheme="minorHAnsi" w:hAnsiTheme="minorHAnsi" w:cstheme="minorHAnsi"/>
        </w:rPr>
        <w:t xml:space="preserve">. </w:t>
      </w:r>
    </w:p>
    <w:p w14:paraId="5C49AD5C" w14:textId="33C5F7CC" w:rsidR="0092747A" w:rsidRPr="0068452F" w:rsidRDefault="00D528B0" w:rsidP="00180F55">
      <w:pPr>
        <w:rPr>
          <w:rFonts w:asciiTheme="minorHAnsi" w:hAnsiTheme="minorHAnsi" w:cstheme="minorHAnsi"/>
          <w:highlight w:val="yellow"/>
        </w:rPr>
      </w:pPr>
      <w:r w:rsidRPr="00D528B0">
        <w:rPr>
          <w:noProof/>
        </w:rPr>
        <w:t xml:space="preserve"> </w:t>
      </w:r>
      <w:r w:rsidR="00CF127F" w:rsidRPr="00CF127F">
        <w:rPr>
          <w:noProof/>
        </w:rPr>
        <w:drawing>
          <wp:inline distT="0" distB="0" distL="0" distR="0" wp14:anchorId="4CC023E0" wp14:editId="28FD78F6">
            <wp:extent cx="5760720" cy="3767455"/>
            <wp:effectExtent l="0" t="0" r="0" b="4445"/>
            <wp:docPr id="11577947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9475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C16" w:rsidRPr="00595C16" w:rsidDel="00C113AF">
        <w:t xml:space="preserve"> </w:t>
      </w:r>
    </w:p>
    <w:p w14:paraId="450335B7" w14:textId="1C1C21AF" w:rsidR="0056728D" w:rsidRPr="0068452F" w:rsidRDefault="001D2E58" w:rsidP="0068452F">
      <w:pPr>
        <w:pStyle w:val="Lgende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4" w:name="_Ref325620538"/>
      <w:bookmarkStart w:id="5" w:name="_Toc377722757"/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Figure </w:t>
      </w:r>
      <w:bookmarkEnd w:id="4"/>
      <w:r w:rsidR="0040017F">
        <w:rPr>
          <w:rFonts w:asciiTheme="minorHAnsi" w:hAnsiTheme="minorHAnsi" w:cstheme="minorHAnsi"/>
          <w:b w:val="0"/>
          <w:sz w:val="22"/>
          <w:szCs w:val="22"/>
        </w:rPr>
        <w:t>4</w:t>
      </w:r>
      <w:r w:rsidR="0040017F" w:rsidRPr="0068452F">
        <w:rPr>
          <w:rFonts w:asciiTheme="minorHAnsi" w:hAnsiTheme="minorHAnsi" w:cstheme="minorHAnsi"/>
          <w:b w:val="0"/>
          <w:sz w:val="22"/>
          <w:szCs w:val="22"/>
        </w:rPr>
        <w:t xml:space="preserve"> :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 Evolution des émissions </w:t>
      </w:r>
      <w:r w:rsidR="002600D2" w:rsidRPr="0068452F">
        <w:rPr>
          <w:rFonts w:asciiTheme="minorHAnsi" w:hAnsiTheme="minorHAnsi" w:cstheme="minorHAnsi"/>
          <w:b w:val="0"/>
          <w:sz w:val="22"/>
          <w:szCs w:val="22"/>
        </w:rPr>
        <w:t xml:space="preserve">totales </w:t>
      </w:r>
      <w:r w:rsidR="000C022F" w:rsidRPr="0068452F">
        <w:rPr>
          <w:rFonts w:asciiTheme="minorHAnsi" w:hAnsiTheme="minorHAnsi" w:cstheme="minorHAnsi"/>
          <w:b w:val="0"/>
          <w:sz w:val="22"/>
          <w:szCs w:val="22"/>
        </w:rPr>
        <w:t>de GES en Wallonie</w:t>
      </w:r>
      <w:r w:rsidR="00F82DC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8452F">
        <w:rPr>
          <w:rFonts w:asciiTheme="minorHAnsi" w:hAnsiTheme="minorHAnsi" w:cstheme="minorHAnsi"/>
          <w:b w:val="0"/>
          <w:i/>
          <w:sz w:val="22"/>
          <w:szCs w:val="22"/>
        </w:rPr>
        <w:t>(Source : AwAC)</w:t>
      </w:r>
      <w:bookmarkEnd w:id="5"/>
    </w:p>
    <w:p w14:paraId="27307CAE" w14:textId="77777777" w:rsidR="000E6EC5" w:rsidRPr="0068452F" w:rsidRDefault="000E6EC5" w:rsidP="000E6EC5">
      <w:p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La forte variabilité interannuelle des émissions est généralement due à la conjonction de plusieurs facteurs. On peut cependant mentionner quelques évènements dont l’impact sur les émissions annuelles s’est avéré significatif :</w:t>
      </w:r>
    </w:p>
    <w:p w14:paraId="53F599C8" w14:textId="04DDA17D" w:rsidR="000E6EC5" w:rsidRPr="0068452F" w:rsidRDefault="000E6EC5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1996 : année froide (besoins en chauffage élevés), mais fermeture d’un haut-fourneau</w:t>
      </w:r>
    </w:p>
    <w:p w14:paraId="1019736A" w14:textId="5233F503" w:rsidR="000E6EC5" w:rsidRPr="0068452F" w:rsidRDefault="000E6EC5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 xml:space="preserve">1997 : fermetures d’une cokerie, de hauts-fourneaux et d’autres outils sidérurgiques </w:t>
      </w:r>
    </w:p>
    <w:p w14:paraId="3B6D503F" w14:textId="4588F16E" w:rsidR="000E6EC5" w:rsidRPr="0068452F" w:rsidRDefault="00A75CA8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68452F">
        <w:rPr>
          <w:rFonts w:asciiTheme="minorHAnsi" w:hAnsiTheme="minorHAnsi" w:cstheme="minorHAnsi"/>
        </w:rPr>
        <w:t xml:space="preserve"> </w:t>
      </w:r>
      <w:r w:rsidR="000E6EC5" w:rsidRPr="0068452F">
        <w:rPr>
          <w:rFonts w:asciiTheme="minorHAnsi" w:hAnsiTheme="minorHAnsi" w:cstheme="minorHAnsi"/>
        </w:rPr>
        <w:t>partir de 2001 : développement de la combustion de biomasse en cimenterie et de la récupération du méthane dans les centres d’enfouissement technique</w:t>
      </w:r>
    </w:p>
    <w:p w14:paraId="6BAC5734" w14:textId="31A2EB91" w:rsidR="000E6EC5" w:rsidRPr="0068452F" w:rsidRDefault="000E6EC5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 xml:space="preserve">2002 : arrêt d’un haut-fourneau et d’une cokerie  </w:t>
      </w:r>
    </w:p>
    <w:p w14:paraId="4D9A4952" w14:textId="77777777" w:rsidR="000E6EC5" w:rsidRPr="0068452F" w:rsidRDefault="000E6EC5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2006 et 2007 : hivers très doux</w:t>
      </w:r>
    </w:p>
    <w:p w14:paraId="32FBAA21" w14:textId="6F7158F4" w:rsidR="000E6EC5" w:rsidRDefault="000E6EC5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2009 : crise économique</w:t>
      </w:r>
      <w:r w:rsidR="009E14FB">
        <w:rPr>
          <w:rFonts w:asciiTheme="minorHAnsi" w:hAnsiTheme="minorHAnsi" w:cstheme="minorHAnsi"/>
        </w:rPr>
        <w:t xml:space="preserve">, </w:t>
      </w:r>
      <w:r w:rsidRPr="0068452F">
        <w:rPr>
          <w:rFonts w:asciiTheme="minorHAnsi" w:hAnsiTheme="minorHAnsi" w:cstheme="minorHAnsi"/>
        </w:rPr>
        <w:t>ralentissement de l’activité industrielle</w:t>
      </w:r>
    </w:p>
    <w:p w14:paraId="54BC0463" w14:textId="4C23B177" w:rsidR="00F715C4" w:rsidRPr="0068452F" w:rsidRDefault="00F715C4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2010 : Certains secteurs industriels se redressent</w:t>
      </w:r>
    </w:p>
    <w:p w14:paraId="3B8A1619" w14:textId="30794832" w:rsidR="00574AFE" w:rsidRPr="00407636" w:rsidRDefault="00574AFE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407636">
        <w:rPr>
          <w:rFonts w:asciiTheme="minorHAnsi" w:hAnsiTheme="minorHAnsi" w:cstheme="minorHAnsi"/>
        </w:rPr>
        <w:t xml:space="preserve">2011 : </w:t>
      </w:r>
      <w:r w:rsidR="00595C16">
        <w:rPr>
          <w:rFonts w:asciiTheme="minorHAnsi" w:hAnsiTheme="minorHAnsi" w:cstheme="minorHAnsi"/>
        </w:rPr>
        <w:t>a</w:t>
      </w:r>
      <w:r w:rsidRPr="00407636">
        <w:rPr>
          <w:rFonts w:asciiTheme="minorHAnsi" w:hAnsiTheme="minorHAnsi" w:cstheme="minorHAnsi"/>
        </w:rPr>
        <w:t>mélioration des procédés dans le secteur de la chimie</w:t>
      </w:r>
    </w:p>
    <w:p w14:paraId="3B7E92E0" w14:textId="37D37BA8" w:rsidR="008F52A1" w:rsidRPr="0068452F" w:rsidRDefault="008F52A1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2012</w:t>
      </w:r>
      <w:r w:rsidR="000C022F" w:rsidRPr="0068452F">
        <w:rPr>
          <w:rFonts w:asciiTheme="minorHAnsi" w:hAnsiTheme="minorHAnsi" w:cstheme="minorHAnsi"/>
        </w:rPr>
        <w:t>-2013</w:t>
      </w:r>
      <w:r w:rsidRPr="0068452F">
        <w:rPr>
          <w:rFonts w:asciiTheme="minorHAnsi" w:hAnsiTheme="minorHAnsi" w:cstheme="minorHAnsi"/>
        </w:rPr>
        <w:t xml:space="preserve"> : </w:t>
      </w:r>
      <w:r w:rsidR="00595C16">
        <w:rPr>
          <w:rFonts w:asciiTheme="minorHAnsi" w:hAnsiTheme="minorHAnsi" w:cstheme="minorHAnsi"/>
        </w:rPr>
        <w:t>f</w:t>
      </w:r>
      <w:r w:rsidRPr="0068452F">
        <w:rPr>
          <w:rFonts w:asciiTheme="minorHAnsi" w:hAnsiTheme="minorHAnsi" w:cstheme="minorHAnsi"/>
        </w:rPr>
        <w:t>ermeture d</w:t>
      </w:r>
      <w:r w:rsidR="00574AFE" w:rsidRPr="0068452F">
        <w:rPr>
          <w:rFonts w:asciiTheme="minorHAnsi" w:hAnsiTheme="minorHAnsi" w:cstheme="minorHAnsi"/>
        </w:rPr>
        <w:t>éfinitive</w:t>
      </w:r>
      <w:r w:rsidRPr="0068452F">
        <w:rPr>
          <w:rFonts w:asciiTheme="minorHAnsi" w:hAnsiTheme="minorHAnsi" w:cstheme="minorHAnsi"/>
        </w:rPr>
        <w:t xml:space="preserve"> </w:t>
      </w:r>
      <w:r w:rsidR="00574AFE" w:rsidRPr="0068452F">
        <w:rPr>
          <w:rFonts w:asciiTheme="minorHAnsi" w:hAnsiTheme="minorHAnsi" w:cstheme="minorHAnsi"/>
        </w:rPr>
        <w:t xml:space="preserve">de la phase </w:t>
      </w:r>
      <w:r w:rsidR="00180F55">
        <w:rPr>
          <w:rFonts w:asciiTheme="minorHAnsi" w:hAnsiTheme="minorHAnsi" w:cstheme="minorHAnsi"/>
        </w:rPr>
        <w:t>à</w:t>
      </w:r>
      <w:r w:rsidR="00574AFE" w:rsidRPr="0068452F">
        <w:rPr>
          <w:rFonts w:asciiTheme="minorHAnsi" w:hAnsiTheme="minorHAnsi" w:cstheme="minorHAnsi"/>
        </w:rPr>
        <w:t xml:space="preserve"> chaud </w:t>
      </w:r>
      <w:r w:rsidRPr="0068452F">
        <w:rPr>
          <w:rFonts w:asciiTheme="minorHAnsi" w:hAnsiTheme="minorHAnsi" w:cstheme="minorHAnsi"/>
        </w:rPr>
        <w:t>en sidérurgie</w:t>
      </w:r>
      <w:r w:rsidR="00574AFE" w:rsidRPr="0068452F">
        <w:rPr>
          <w:rFonts w:asciiTheme="minorHAnsi" w:hAnsiTheme="minorHAnsi" w:cstheme="minorHAnsi"/>
        </w:rPr>
        <w:t xml:space="preserve">, ralentissement des centrales </w:t>
      </w:r>
      <w:r w:rsidR="00EA1724" w:rsidRPr="0068452F">
        <w:rPr>
          <w:rFonts w:asciiTheme="minorHAnsi" w:hAnsiTheme="minorHAnsi" w:cstheme="minorHAnsi"/>
        </w:rPr>
        <w:t>électriques</w:t>
      </w:r>
      <w:r w:rsidR="00574AFE" w:rsidRPr="0068452F">
        <w:rPr>
          <w:rFonts w:asciiTheme="minorHAnsi" w:hAnsiTheme="minorHAnsi" w:cstheme="minorHAnsi"/>
        </w:rPr>
        <w:t>, fermeture de 2 lignes de verre</w:t>
      </w:r>
    </w:p>
    <w:p w14:paraId="01D57465" w14:textId="60A70D04" w:rsidR="00766125" w:rsidRDefault="00766125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>2014</w:t>
      </w:r>
      <w:r w:rsidR="009E14FB">
        <w:rPr>
          <w:rFonts w:asciiTheme="minorHAnsi" w:hAnsiTheme="minorHAnsi" w:cstheme="minorHAnsi"/>
        </w:rPr>
        <w:t xml:space="preserve"> </w:t>
      </w:r>
      <w:r w:rsidRPr="0068452F">
        <w:rPr>
          <w:rFonts w:asciiTheme="minorHAnsi" w:hAnsiTheme="minorHAnsi" w:cstheme="minorHAnsi"/>
        </w:rPr>
        <w:t xml:space="preserve">: </w:t>
      </w:r>
      <w:r w:rsidR="009E14FB">
        <w:rPr>
          <w:rFonts w:asciiTheme="minorHAnsi" w:hAnsiTheme="minorHAnsi" w:cstheme="minorHAnsi"/>
        </w:rPr>
        <w:t xml:space="preserve">année </w:t>
      </w:r>
      <w:r w:rsidR="00595C16">
        <w:rPr>
          <w:rFonts w:asciiTheme="minorHAnsi" w:hAnsiTheme="minorHAnsi" w:cstheme="minorHAnsi"/>
        </w:rPr>
        <w:t>chaude</w:t>
      </w:r>
      <w:r w:rsidR="00B82385">
        <w:rPr>
          <w:rFonts w:asciiTheme="minorHAnsi" w:hAnsiTheme="minorHAnsi" w:cstheme="minorHAnsi"/>
        </w:rPr>
        <w:t xml:space="preserve"> en </w:t>
      </w:r>
      <w:r w:rsidR="00794D51">
        <w:rPr>
          <w:rFonts w:asciiTheme="minorHAnsi" w:hAnsiTheme="minorHAnsi" w:cstheme="minorHAnsi"/>
        </w:rPr>
        <w:t>Belgique, diminution des émissions liées aux bâtiments</w:t>
      </w:r>
    </w:p>
    <w:p w14:paraId="5CE077F2" w14:textId="7F5BE702" w:rsidR="00F62BC5" w:rsidRDefault="00F62BC5" w:rsidP="000E6EC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2020 : </w:t>
      </w:r>
      <w:r w:rsidR="00595C1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iminution des émissions du transport, liée au </w:t>
      </w:r>
      <w:r w:rsidR="0092747A">
        <w:rPr>
          <w:rFonts w:asciiTheme="minorHAnsi" w:hAnsiTheme="minorHAnsi" w:cstheme="minorHAnsi"/>
        </w:rPr>
        <w:t xml:space="preserve">confinement </w:t>
      </w:r>
      <w:r>
        <w:rPr>
          <w:rFonts w:asciiTheme="minorHAnsi" w:hAnsiTheme="minorHAnsi" w:cstheme="minorHAnsi"/>
        </w:rPr>
        <w:t>Covid-19. Année chaude observée en Belgique, diminution des émissions liées aux bâtiments</w:t>
      </w:r>
    </w:p>
    <w:p w14:paraId="5829B6DF" w14:textId="0A0368A4" w:rsidR="00B0770C" w:rsidRPr="00762B65" w:rsidRDefault="00595C16" w:rsidP="00762B6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2022</w:t>
      </w:r>
      <w:r w:rsidR="00794D51">
        <w:rPr>
          <w:rFonts w:asciiTheme="minorHAnsi" w:hAnsiTheme="minorHAnsi" w:cstheme="minorHAnsi"/>
        </w:rPr>
        <w:t xml:space="preserve"> et 2023</w:t>
      </w:r>
      <w:r>
        <w:rPr>
          <w:rFonts w:asciiTheme="minorHAnsi" w:hAnsiTheme="minorHAnsi" w:cstheme="minorHAnsi"/>
        </w:rPr>
        <w:t xml:space="preserve"> : </w:t>
      </w:r>
      <w:r w:rsidR="00794D51">
        <w:rPr>
          <w:rFonts w:asciiTheme="minorHAnsi" w:hAnsiTheme="minorHAnsi" w:cstheme="minorHAnsi"/>
        </w:rPr>
        <w:t>record de température en 2022. H</w:t>
      </w:r>
      <w:r>
        <w:rPr>
          <w:rFonts w:asciiTheme="minorHAnsi" w:hAnsiTheme="minorHAnsi" w:cstheme="minorHAnsi"/>
        </w:rPr>
        <w:t>iver</w:t>
      </w:r>
      <w:r w:rsidR="00794D5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très doux et choc de consommation lié aux prix élevés de l’énergie</w:t>
      </w:r>
      <w:r w:rsidR="00A77C88">
        <w:rPr>
          <w:rFonts w:asciiTheme="minorHAnsi" w:hAnsiTheme="minorHAnsi" w:cstheme="minorHAnsi"/>
        </w:rPr>
        <w:t xml:space="preserve">. </w:t>
      </w:r>
    </w:p>
    <w:p w14:paraId="27F9A344" w14:textId="7F6DECA1" w:rsidR="00766125" w:rsidRPr="0068452F" w:rsidRDefault="000E6EC5" w:rsidP="000E6EC5">
      <w:pPr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</w:rPr>
        <w:t xml:space="preserve">L’évolution globale est le résultat de tendances </w:t>
      </w:r>
      <w:r w:rsidRPr="0068452F">
        <w:rPr>
          <w:rFonts w:asciiTheme="minorHAnsi" w:hAnsiTheme="minorHAnsi" w:cstheme="minorHAnsi"/>
          <w:b/>
        </w:rPr>
        <w:t xml:space="preserve">très </w:t>
      </w:r>
      <w:r w:rsidR="001B57EB" w:rsidRPr="0068452F">
        <w:rPr>
          <w:rFonts w:asciiTheme="minorHAnsi" w:hAnsiTheme="minorHAnsi" w:cstheme="minorHAnsi"/>
          <w:b/>
        </w:rPr>
        <w:t>contrastées</w:t>
      </w:r>
      <w:r w:rsidRPr="0068452F">
        <w:rPr>
          <w:rFonts w:asciiTheme="minorHAnsi" w:hAnsiTheme="minorHAnsi" w:cstheme="minorHAnsi"/>
        </w:rPr>
        <w:t xml:space="preserve"> selon les secteurs. Les secteurs de l’industrie et de la production d’électricité sont </w:t>
      </w:r>
      <w:r w:rsidR="00CE5D8A">
        <w:rPr>
          <w:rFonts w:asciiTheme="minorHAnsi" w:hAnsiTheme="minorHAnsi" w:cstheme="minorHAnsi"/>
        </w:rPr>
        <w:t xml:space="preserve">les principaux </w:t>
      </w:r>
      <w:r w:rsidR="00B0770C">
        <w:rPr>
          <w:rFonts w:asciiTheme="minorHAnsi" w:hAnsiTheme="minorHAnsi" w:cstheme="minorHAnsi"/>
        </w:rPr>
        <w:t xml:space="preserve">responsables </w:t>
      </w:r>
      <w:r w:rsidR="00CE5D8A">
        <w:rPr>
          <w:rFonts w:asciiTheme="minorHAnsi" w:hAnsiTheme="minorHAnsi" w:cstheme="minorHAnsi"/>
        </w:rPr>
        <w:t xml:space="preserve">de </w:t>
      </w:r>
      <w:r w:rsidR="00B0770C">
        <w:rPr>
          <w:rFonts w:asciiTheme="minorHAnsi" w:hAnsiTheme="minorHAnsi" w:cstheme="minorHAnsi"/>
        </w:rPr>
        <w:t xml:space="preserve">la </w:t>
      </w:r>
      <w:r w:rsidR="00CE5D8A">
        <w:rPr>
          <w:rFonts w:asciiTheme="minorHAnsi" w:hAnsiTheme="minorHAnsi" w:cstheme="minorHAnsi"/>
        </w:rPr>
        <w:t>réduction des émissions, contrairement au transport et aux gaz fluorés (autres) dont les émissions ont augmenté depuis 1990.</w:t>
      </w:r>
      <w:r w:rsidR="00A75CA8">
        <w:rPr>
          <w:rFonts w:asciiTheme="minorHAnsi" w:hAnsiTheme="minorHAnsi" w:cstheme="minorHAnsi"/>
        </w:rPr>
        <w:t xml:space="preserve"> </w:t>
      </w:r>
      <w:r w:rsidR="00766125" w:rsidRPr="0068452F">
        <w:rPr>
          <w:rFonts w:asciiTheme="minorHAnsi" w:hAnsiTheme="minorHAnsi" w:cstheme="minorHAnsi"/>
        </w:rPr>
        <w:t>Les principaux facteurs des évolutions sectorielles sont les suivants :</w:t>
      </w:r>
    </w:p>
    <w:p w14:paraId="2EF92286" w14:textId="77777777" w:rsidR="00412785" w:rsidRPr="0068452F" w:rsidRDefault="00110284" w:rsidP="0056728D">
      <w:pPr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  <w:bCs/>
          <w:i/>
          <w:lang w:val="fr-FR"/>
        </w:rPr>
        <w:t>Energie :</w:t>
      </w:r>
      <w:r w:rsidRPr="0068452F">
        <w:rPr>
          <w:rFonts w:asciiTheme="minorHAnsi" w:hAnsiTheme="minorHAnsi" w:cstheme="minorHAnsi"/>
          <w:lang w:val="fr-FR"/>
        </w:rPr>
        <w:t xml:space="preserve"> </w:t>
      </w:r>
      <w:r w:rsidR="00766125" w:rsidRPr="0068452F">
        <w:rPr>
          <w:rFonts w:asciiTheme="minorHAnsi" w:hAnsiTheme="minorHAnsi" w:cstheme="minorHAnsi"/>
          <w:lang w:val="fr-FR"/>
        </w:rPr>
        <w:t>p</w:t>
      </w:r>
      <w:r w:rsidRPr="0068452F">
        <w:rPr>
          <w:rFonts w:asciiTheme="minorHAnsi" w:hAnsiTheme="minorHAnsi" w:cstheme="minorHAnsi"/>
          <w:lang w:val="fr-FR"/>
        </w:rPr>
        <w:t>assage du charbon au gaz nature</w:t>
      </w:r>
      <w:r w:rsidR="00766125" w:rsidRPr="0068452F">
        <w:rPr>
          <w:rFonts w:asciiTheme="minorHAnsi" w:hAnsiTheme="minorHAnsi" w:cstheme="minorHAnsi"/>
          <w:lang w:val="fr-FR"/>
        </w:rPr>
        <w:t>l ou au bois</w:t>
      </w:r>
      <w:r w:rsidRPr="0068452F">
        <w:rPr>
          <w:rFonts w:asciiTheme="minorHAnsi" w:hAnsiTheme="minorHAnsi" w:cstheme="minorHAnsi"/>
          <w:lang w:val="fr-FR"/>
        </w:rPr>
        <w:t>, fermeture de cokeries</w:t>
      </w:r>
    </w:p>
    <w:p w14:paraId="26AE38B6" w14:textId="639265B2" w:rsidR="00412785" w:rsidRPr="0068452F" w:rsidRDefault="00110284" w:rsidP="0056728D">
      <w:pPr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  <w:bCs/>
          <w:i/>
          <w:lang w:val="fr-FR"/>
        </w:rPr>
        <w:t>Industrie :</w:t>
      </w:r>
      <w:r w:rsidRPr="0068452F">
        <w:rPr>
          <w:rFonts w:asciiTheme="minorHAnsi" w:hAnsiTheme="minorHAnsi" w:cstheme="minorHAnsi"/>
          <w:lang w:val="fr-FR"/>
        </w:rPr>
        <w:t xml:space="preserve"> </w:t>
      </w:r>
      <w:r w:rsidR="00766125" w:rsidRPr="0068452F">
        <w:rPr>
          <w:rFonts w:asciiTheme="minorHAnsi" w:hAnsiTheme="minorHAnsi" w:cstheme="minorHAnsi"/>
          <w:lang w:val="fr-FR"/>
        </w:rPr>
        <w:t>f</w:t>
      </w:r>
      <w:r w:rsidRPr="0068452F">
        <w:rPr>
          <w:rFonts w:asciiTheme="minorHAnsi" w:hAnsiTheme="minorHAnsi" w:cstheme="minorHAnsi"/>
          <w:lang w:val="fr-FR"/>
        </w:rPr>
        <w:t>ermeture</w:t>
      </w:r>
      <w:r w:rsidR="00CE5D8A">
        <w:rPr>
          <w:rFonts w:asciiTheme="minorHAnsi" w:hAnsiTheme="minorHAnsi" w:cstheme="minorHAnsi"/>
          <w:lang w:val="fr-FR"/>
        </w:rPr>
        <w:t>s</w:t>
      </w:r>
      <w:r w:rsidRPr="0068452F">
        <w:rPr>
          <w:rFonts w:asciiTheme="minorHAnsi" w:hAnsiTheme="minorHAnsi" w:cstheme="minorHAnsi"/>
          <w:lang w:val="fr-FR"/>
        </w:rPr>
        <w:t xml:space="preserve"> dans la sidérurgie, usage accru du gaz ou de combustibles de substitution. Accords de branche et ETS. La valeur ajoutée augmente malgré cette diminution</w:t>
      </w:r>
    </w:p>
    <w:p w14:paraId="04C26348" w14:textId="02543E67" w:rsidR="00412785" w:rsidRPr="0068452F" w:rsidRDefault="00110284" w:rsidP="0056728D">
      <w:pPr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  <w:bCs/>
          <w:i/>
          <w:lang w:val="fr-FR"/>
        </w:rPr>
        <w:t>Résidentiel et tertiaire :</w:t>
      </w:r>
      <w:r w:rsidRPr="0068452F">
        <w:rPr>
          <w:rFonts w:asciiTheme="minorHAnsi" w:hAnsiTheme="minorHAnsi" w:cstheme="minorHAnsi"/>
          <w:i/>
          <w:lang w:val="fr-FR"/>
        </w:rPr>
        <w:t xml:space="preserve"> </w:t>
      </w:r>
      <w:r w:rsidR="00766125" w:rsidRPr="0068452F">
        <w:rPr>
          <w:rFonts w:asciiTheme="minorHAnsi" w:hAnsiTheme="minorHAnsi" w:cstheme="minorHAnsi"/>
          <w:lang w:val="fr-FR"/>
        </w:rPr>
        <w:t>a</w:t>
      </w:r>
      <w:r w:rsidRPr="0068452F">
        <w:rPr>
          <w:rFonts w:asciiTheme="minorHAnsi" w:hAnsiTheme="minorHAnsi" w:cstheme="minorHAnsi"/>
          <w:lang w:val="fr-FR"/>
        </w:rPr>
        <w:t xml:space="preserve">ugmentation du parc, consommation électrique accrue, passage limité au gaz naturel, </w:t>
      </w:r>
      <w:r w:rsidR="00C65DC8">
        <w:rPr>
          <w:rFonts w:asciiTheme="minorHAnsi" w:hAnsiTheme="minorHAnsi" w:cstheme="minorHAnsi"/>
          <w:lang w:val="fr-FR"/>
        </w:rPr>
        <w:t>amélioration de l’</w:t>
      </w:r>
      <w:r w:rsidRPr="0068452F">
        <w:rPr>
          <w:rFonts w:asciiTheme="minorHAnsi" w:hAnsiTheme="minorHAnsi" w:cstheme="minorHAnsi"/>
          <w:lang w:val="fr-FR"/>
        </w:rPr>
        <w:t>isolation</w:t>
      </w:r>
      <w:r w:rsidR="00766125" w:rsidRPr="0068452F">
        <w:rPr>
          <w:rFonts w:asciiTheme="minorHAnsi" w:hAnsiTheme="minorHAnsi" w:cstheme="minorHAnsi"/>
          <w:lang w:val="fr-FR"/>
        </w:rPr>
        <w:t xml:space="preserve">, climat </w:t>
      </w:r>
      <w:r w:rsidR="007E17FF">
        <w:rPr>
          <w:rFonts w:asciiTheme="minorHAnsi" w:hAnsiTheme="minorHAnsi" w:cstheme="minorHAnsi"/>
          <w:lang w:val="fr-FR"/>
        </w:rPr>
        <w:t xml:space="preserve">progressivement </w:t>
      </w:r>
      <w:r w:rsidR="00766125" w:rsidRPr="0068452F">
        <w:rPr>
          <w:rFonts w:asciiTheme="minorHAnsi" w:hAnsiTheme="minorHAnsi" w:cstheme="minorHAnsi"/>
          <w:lang w:val="fr-FR"/>
        </w:rPr>
        <w:t>plus doux</w:t>
      </w:r>
      <w:r w:rsidRPr="0068452F">
        <w:rPr>
          <w:rFonts w:asciiTheme="minorHAnsi" w:hAnsiTheme="minorHAnsi" w:cstheme="minorHAnsi"/>
          <w:lang w:val="fr-FR"/>
        </w:rPr>
        <w:t xml:space="preserve"> </w:t>
      </w:r>
    </w:p>
    <w:p w14:paraId="3067675F" w14:textId="74EA95A2" w:rsidR="00412785" w:rsidRPr="0068452F" w:rsidRDefault="00110284" w:rsidP="0056728D">
      <w:pPr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  <w:bCs/>
          <w:i/>
          <w:lang w:val="fr-FR"/>
        </w:rPr>
        <w:t>Transports :</w:t>
      </w:r>
      <w:r w:rsidRPr="0068452F">
        <w:rPr>
          <w:rFonts w:asciiTheme="minorHAnsi" w:hAnsiTheme="minorHAnsi" w:cstheme="minorHAnsi"/>
          <w:lang w:val="fr-FR"/>
        </w:rPr>
        <w:t xml:space="preserve"> augmentation du nombre de voitures, de leur cylindrée et des km parcourus </w:t>
      </w:r>
    </w:p>
    <w:p w14:paraId="09F5736B" w14:textId="667B6C1A" w:rsidR="00412785" w:rsidRPr="0068452F" w:rsidRDefault="00110284" w:rsidP="0056728D">
      <w:pPr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  <w:bCs/>
          <w:i/>
          <w:lang w:val="fr-FR"/>
        </w:rPr>
        <w:t>Agriculture :</w:t>
      </w:r>
      <w:r w:rsidRPr="0068452F">
        <w:rPr>
          <w:rFonts w:asciiTheme="minorHAnsi" w:hAnsiTheme="minorHAnsi" w:cstheme="minorHAnsi"/>
          <w:lang w:val="fr-FR"/>
        </w:rPr>
        <w:t xml:space="preserve"> diminution et modification du cheptel. Diminution des engrais minéraux</w:t>
      </w:r>
    </w:p>
    <w:p w14:paraId="2859836C" w14:textId="4CCC845F" w:rsidR="00766125" w:rsidRPr="00523547" w:rsidRDefault="00110284" w:rsidP="000E6EC5">
      <w:pPr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68452F">
        <w:rPr>
          <w:rFonts w:asciiTheme="minorHAnsi" w:hAnsiTheme="minorHAnsi" w:cstheme="minorHAnsi"/>
          <w:bCs/>
          <w:i/>
          <w:lang w:val="fr-FR"/>
        </w:rPr>
        <w:t>Déchets :</w:t>
      </w:r>
      <w:r w:rsidRPr="0068452F">
        <w:rPr>
          <w:rFonts w:asciiTheme="minorHAnsi" w:hAnsiTheme="minorHAnsi" w:cstheme="minorHAnsi"/>
          <w:lang w:val="fr-FR"/>
        </w:rPr>
        <w:t xml:space="preserve"> </w:t>
      </w:r>
      <w:r w:rsidR="00766125" w:rsidRPr="0068452F">
        <w:rPr>
          <w:rFonts w:asciiTheme="minorHAnsi" w:hAnsiTheme="minorHAnsi" w:cstheme="minorHAnsi"/>
          <w:lang w:val="fr-FR"/>
        </w:rPr>
        <w:t xml:space="preserve">récupération et </w:t>
      </w:r>
      <w:r w:rsidRPr="0068452F">
        <w:rPr>
          <w:rFonts w:asciiTheme="minorHAnsi" w:hAnsiTheme="minorHAnsi" w:cstheme="minorHAnsi"/>
          <w:lang w:val="fr-FR"/>
        </w:rPr>
        <w:t>valorisation du biogaz dans les CET</w:t>
      </w:r>
    </w:p>
    <w:p w14:paraId="66C1EB3D" w14:textId="27EF02C7" w:rsidR="009F5383" w:rsidRPr="00A75CA8" w:rsidRDefault="00523547" w:rsidP="00A75CA8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 w:rsidRPr="00A75CA8">
        <w:rPr>
          <w:rFonts w:asciiTheme="minorHAnsi" w:hAnsiTheme="minorHAnsi" w:cstheme="minorHAnsi"/>
          <w:bCs/>
          <w:i/>
          <w:lang w:val="fr-FR"/>
        </w:rPr>
        <w:t>Autres :</w:t>
      </w:r>
      <w:r w:rsidRPr="00A75CA8">
        <w:rPr>
          <w:rFonts w:asciiTheme="minorHAnsi" w:hAnsiTheme="minorHAnsi" w:cstheme="minorHAnsi"/>
        </w:rPr>
        <w:t xml:space="preserve"> augmentation des émissions de gaz fluorés</w:t>
      </w:r>
      <w:r w:rsidR="00DD5E14" w:rsidRPr="00A75CA8">
        <w:rPr>
          <w:rFonts w:asciiTheme="minorHAnsi" w:hAnsiTheme="minorHAnsi" w:cstheme="minorHAnsi"/>
        </w:rPr>
        <w:t xml:space="preserve"> jusqu’en 2017, depuis 2018 les émissions commencent à diminuer, principalement au niveau de la réfrigération commerciale</w:t>
      </w:r>
    </w:p>
    <w:p w14:paraId="3BAC97CA" w14:textId="41A7BD2E" w:rsidR="00CE5D8A" w:rsidRPr="0068452F" w:rsidRDefault="00B0770C" w:rsidP="000E6EC5">
      <w:pPr>
        <w:jc w:val="center"/>
        <w:rPr>
          <w:rFonts w:asciiTheme="minorHAnsi" w:hAnsiTheme="minorHAnsi" w:cstheme="minorHAnsi"/>
        </w:rPr>
      </w:pPr>
      <w:r w:rsidRPr="00B0770C">
        <w:rPr>
          <w:rFonts w:asciiTheme="minorHAnsi" w:hAnsiTheme="minorHAnsi" w:cstheme="minorHAnsi"/>
        </w:rPr>
        <w:t xml:space="preserve"> </w:t>
      </w:r>
      <w:r w:rsidR="00095F6A" w:rsidRPr="00095F6A">
        <w:rPr>
          <w:rFonts w:asciiTheme="minorHAnsi" w:hAnsiTheme="minorHAnsi" w:cstheme="minorHAnsi"/>
          <w:noProof/>
        </w:rPr>
        <w:drawing>
          <wp:inline distT="0" distB="0" distL="0" distR="0" wp14:anchorId="5B1173D6" wp14:editId="295D8C54">
            <wp:extent cx="5760720" cy="4428490"/>
            <wp:effectExtent l="0" t="0" r="0" b="0"/>
            <wp:docPr id="7642364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3648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CCA5" w14:textId="31A51613" w:rsidR="000E6EC5" w:rsidRPr="0068452F" w:rsidRDefault="000E6EC5" w:rsidP="000E6EC5">
      <w:pPr>
        <w:pStyle w:val="Lgende"/>
        <w:rPr>
          <w:rFonts w:asciiTheme="minorHAnsi" w:hAnsiTheme="minorHAnsi" w:cstheme="minorHAnsi"/>
          <w:b w:val="0"/>
          <w:sz w:val="22"/>
          <w:szCs w:val="22"/>
        </w:rPr>
      </w:pPr>
      <w:bookmarkStart w:id="6" w:name="_Ref325620708"/>
      <w:bookmarkStart w:id="7" w:name="_Toc377722758"/>
      <w:r w:rsidRPr="0068452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Figure </w:t>
      </w:r>
      <w:bookmarkEnd w:id="6"/>
      <w:r w:rsidR="00804AC2">
        <w:rPr>
          <w:rFonts w:asciiTheme="minorHAnsi" w:hAnsiTheme="minorHAnsi" w:cstheme="minorHAnsi"/>
          <w:b w:val="0"/>
          <w:sz w:val="22"/>
          <w:szCs w:val="22"/>
        </w:rPr>
        <w:t>5</w:t>
      </w:r>
      <w:r w:rsidR="00762B6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>: Evolution des émissions de GES par secteur d'activité en Wallonie (</w:t>
      </w:r>
      <w:r w:rsidR="006B73E8">
        <w:rPr>
          <w:rFonts w:asciiTheme="minorHAnsi" w:hAnsiTheme="minorHAnsi" w:cstheme="minorHAnsi"/>
          <w:b w:val="0"/>
          <w:sz w:val="22"/>
          <w:szCs w:val="22"/>
        </w:rPr>
        <w:t>KT</w:t>
      </w:r>
      <w:r w:rsidR="001D2E58" w:rsidRPr="006845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>éq CO</w:t>
      </w:r>
      <w:r w:rsidRPr="0068452F">
        <w:rPr>
          <w:rFonts w:asciiTheme="minorHAnsi" w:hAnsiTheme="minorHAnsi" w:cstheme="minorHAnsi"/>
          <w:b w:val="0"/>
          <w:sz w:val="22"/>
          <w:szCs w:val="22"/>
          <w:vertAlign w:val="subscript"/>
        </w:rPr>
        <w:t>2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, entre 1990 et </w:t>
      </w:r>
      <w:r w:rsidR="00CE5D8A" w:rsidRPr="0068452F">
        <w:rPr>
          <w:rFonts w:asciiTheme="minorHAnsi" w:hAnsiTheme="minorHAnsi" w:cstheme="minorHAnsi"/>
          <w:b w:val="0"/>
          <w:sz w:val="22"/>
          <w:szCs w:val="22"/>
        </w:rPr>
        <w:t>20</w:t>
      </w:r>
      <w:r w:rsidR="00CE5D8A">
        <w:rPr>
          <w:rFonts w:asciiTheme="minorHAnsi" w:hAnsiTheme="minorHAnsi" w:cstheme="minorHAnsi"/>
          <w:b w:val="0"/>
          <w:sz w:val="22"/>
          <w:szCs w:val="22"/>
        </w:rPr>
        <w:t>2</w:t>
      </w:r>
      <w:r w:rsidR="00804AC2">
        <w:rPr>
          <w:rFonts w:asciiTheme="minorHAnsi" w:hAnsiTheme="minorHAnsi" w:cstheme="minorHAnsi"/>
          <w:b w:val="0"/>
          <w:sz w:val="22"/>
          <w:szCs w:val="22"/>
        </w:rPr>
        <w:t>3</w:t>
      </w:r>
      <w:r w:rsidR="00CE5D8A" w:rsidRPr="0068452F">
        <w:rPr>
          <w:rFonts w:asciiTheme="minorHAnsi" w:hAnsiTheme="minorHAnsi" w:cstheme="minorHAnsi"/>
          <w:b w:val="0"/>
          <w:sz w:val="22"/>
          <w:szCs w:val="22"/>
        </w:rPr>
        <w:t> 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Pr="0068452F">
        <w:rPr>
          <w:rFonts w:asciiTheme="minorHAnsi" w:hAnsiTheme="minorHAnsi" w:cstheme="minorHAnsi"/>
          <w:b w:val="0"/>
          <w:i/>
          <w:sz w:val="22"/>
          <w:szCs w:val="22"/>
        </w:rPr>
        <w:t>source AwAC</w:t>
      </w:r>
      <w:r w:rsidRPr="0068452F">
        <w:rPr>
          <w:rFonts w:asciiTheme="minorHAnsi" w:hAnsiTheme="minorHAnsi" w:cstheme="minorHAnsi"/>
          <w:b w:val="0"/>
          <w:sz w:val="22"/>
          <w:szCs w:val="22"/>
        </w:rPr>
        <w:t>)</w:t>
      </w:r>
      <w:bookmarkEnd w:id="7"/>
    </w:p>
    <w:sectPr w:rsidR="000E6EC5" w:rsidRPr="0068452F" w:rsidSect="001F08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B4F5" w14:textId="77777777" w:rsidR="00171564" w:rsidRDefault="00171564" w:rsidP="000E6EC5">
      <w:pPr>
        <w:spacing w:after="0" w:line="240" w:lineRule="auto"/>
      </w:pPr>
      <w:r>
        <w:separator/>
      </w:r>
    </w:p>
  </w:endnote>
  <w:endnote w:type="continuationSeparator" w:id="0">
    <w:p w14:paraId="2574EF23" w14:textId="77777777" w:rsidR="00171564" w:rsidRDefault="00171564" w:rsidP="000E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0034" w14:textId="77777777" w:rsidR="00542CEB" w:rsidRDefault="00542C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8550"/>
      <w:docPartObj>
        <w:docPartGallery w:val="Page Numbers (Bottom of Page)"/>
        <w:docPartUnique/>
      </w:docPartObj>
    </w:sdtPr>
    <w:sdtEndPr/>
    <w:sdtContent>
      <w:p w14:paraId="56E8117B" w14:textId="77777777" w:rsidR="00F832DA" w:rsidRDefault="00CD6D8E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4F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F3809D" w14:textId="77777777" w:rsidR="00F832DA" w:rsidRDefault="00F832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ADB6" w14:textId="77777777" w:rsidR="00542CEB" w:rsidRDefault="00542C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47A3" w14:textId="77777777" w:rsidR="00171564" w:rsidRDefault="00171564" w:rsidP="000E6EC5">
      <w:pPr>
        <w:spacing w:after="0" w:line="240" w:lineRule="auto"/>
      </w:pPr>
      <w:r>
        <w:separator/>
      </w:r>
    </w:p>
  </w:footnote>
  <w:footnote w:type="continuationSeparator" w:id="0">
    <w:p w14:paraId="5C1A8252" w14:textId="77777777" w:rsidR="00171564" w:rsidRDefault="00171564" w:rsidP="000E6EC5">
      <w:pPr>
        <w:spacing w:after="0" w:line="240" w:lineRule="auto"/>
      </w:pPr>
      <w:r>
        <w:continuationSeparator/>
      </w:r>
    </w:p>
  </w:footnote>
  <w:footnote w:id="1">
    <w:p w14:paraId="383D3B05" w14:textId="6FCAE34B" w:rsidR="007B1055" w:rsidRPr="0068452F" w:rsidRDefault="007B1055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68452F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68452F">
        <w:rPr>
          <w:rFonts w:asciiTheme="minorHAnsi" w:hAnsiTheme="minorHAnsi" w:cstheme="minorHAnsi"/>
          <w:sz w:val="16"/>
          <w:szCs w:val="16"/>
        </w:rPr>
        <w:t xml:space="preserve"> PRG applicables</w:t>
      </w:r>
      <w:r w:rsidR="00A22E64">
        <w:rPr>
          <w:rFonts w:asciiTheme="minorHAnsi" w:hAnsiTheme="minorHAnsi" w:cstheme="minorHAnsi"/>
          <w:sz w:val="16"/>
          <w:szCs w:val="16"/>
        </w:rPr>
        <w:t xml:space="preserve"> (AR5 GIEC)</w:t>
      </w:r>
      <w:r w:rsidRPr="0068452F">
        <w:rPr>
          <w:rFonts w:asciiTheme="minorHAnsi" w:hAnsiTheme="minorHAnsi" w:cstheme="minorHAnsi"/>
          <w:sz w:val="16"/>
          <w:szCs w:val="16"/>
        </w:rPr>
        <w:t> : CH</w:t>
      </w:r>
      <w:r w:rsidRPr="0068452F">
        <w:rPr>
          <w:rFonts w:asciiTheme="minorHAnsi" w:hAnsiTheme="minorHAnsi" w:cstheme="minorHAnsi"/>
          <w:sz w:val="16"/>
          <w:szCs w:val="16"/>
          <w:vertAlign w:val="subscript"/>
        </w:rPr>
        <w:t>4</w:t>
      </w:r>
      <w:r w:rsidRPr="0068452F">
        <w:rPr>
          <w:rFonts w:asciiTheme="minorHAnsi" w:hAnsiTheme="minorHAnsi" w:cstheme="minorHAnsi"/>
          <w:sz w:val="16"/>
          <w:szCs w:val="16"/>
        </w:rPr>
        <w:t xml:space="preserve">= </w:t>
      </w:r>
      <w:r w:rsidR="00A22E64" w:rsidRPr="0068452F">
        <w:rPr>
          <w:rFonts w:asciiTheme="minorHAnsi" w:hAnsiTheme="minorHAnsi" w:cstheme="minorHAnsi"/>
          <w:sz w:val="16"/>
          <w:szCs w:val="16"/>
        </w:rPr>
        <w:t>2</w:t>
      </w:r>
      <w:r w:rsidR="00A22E64">
        <w:rPr>
          <w:rFonts w:asciiTheme="minorHAnsi" w:hAnsiTheme="minorHAnsi" w:cstheme="minorHAnsi"/>
          <w:sz w:val="16"/>
          <w:szCs w:val="16"/>
        </w:rPr>
        <w:t>8</w:t>
      </w:r>
      <w:r w:rsidR="00A22E64" w:rsidRPr="0068452F">
        <w:rPr>
          <w:rFonts w:asciiTheme="minorHAnsi" w:hAnsiTheme="minorHAnsi" w:cstheme="minorHAnsi"/>
          <w:sz w:val="16"/>
          <w:szCs w:val="16"/>
        </w:rPr>
        <w:t xml:space="preserve"> </w:t>
      </w:r>
      <w:r w:rsidRPr="0068452F">
        <w:rPr>
          <w:rFonts w:asciiTheme="minorHAnsi" w:hAnsiTheme="minorHAnsi" w:cstheme="minorHAnsi"/>
          <w:sz w:val="16"/>
          <w:szCs w:val="16"/>
        </w:rPr>
        <w:t>et N</w:t>
      </w:r>
      <w:r w:rsidRPr="0068452F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Pr="0068452F">
        <w:rPr>
          <w:rFonts w:asciiTheme="minorHAnsi" w:hAnsiTheme="minorHAnsi" w:cstheme="minorHAnsi"/>
          <w:sz w:val="16"/>
          <w:szCs w:val="16"/>
        </w:rPr>
        <w:t xml:space="preserve">O = </w:t>
      </w:r>
      <w:r w:rsidR="00A22E64" w:rsidRPr="0068452F">
        <w:rPr>
          <w:rFonts w:asciiTheme="minorHAnsi" w:hAnsiTheme="minorHAnsi" w:cstheme="minorHAnsi"/>
          <w:sz w:val="16"/>
          <w:szCs w:val="16"/>
        </w:rPr>
        <w:t>2</w:t>
      </w:r>
      <w:r w:rsidR="00A22E64">
        <w:rPr>
          <w:rFonts w:asciiTheme="minorHAnsi" w:hAnsiTheme="minorHAnsi" w:cstheme="minorHAnsi"/>
          <w:sz w:val="16"/>
          <w:szCs w:val="16"/>
        </w:rPr>
        <w:t>65</w:t>
      </w:r>
      <w:r w:rsidRPr="0068452F">
        <w:rPr>
          <w:rFonts w:asciiTheme="minorHAnsi" w:hAnsiTheme="minorHAnsi" w:cstheme="minorHAnsi"/>
          <w:sz w:val="16"/>
          <w:szCs w:val="16"/>
        </w:rPr>
        <w:t>. Les PRG des gaz fluorés sont également revus.</w:t>
      </w:r>
      <w:r w:rsidR="00180F55">
        <w:rPr>
          <w:rFonts w:asciiTheme="minorHAnsi" w:hAnsiTheme="minorHAnsi" w:cstheme="minorHAnsi"/>
          <w:sz w:val="16"/>
          <w:szCs w:val="16"/>
        </w:rPr>
        <w:t xml:space="preserve"> Les émissions du transport routier ont été </w:t>
      </w:r>
      <w:r w:rsidR="00D07550">
        <w:rPr>
          <w:rFonts w:asciiTheme="minorHAnsi" w:hAnsiTheme="minorHAnsi" w:cstheme="minorHAnsi"/>
          <w:sz w:val="16"/>
          <w:szCs w:val="16"/>
        </w:rPr>
        <w:t>adaptées</w:t>
      </w:r>
      <w:r w:rsidR="00180F55">
        <w:rPr>
          <w:rFonts w:asciiTheme="minorHAnsi" w:hAnsiTheme="minorHAnsi" w:cstheme="minorHAnsi"/>
          <w:sz w:val="16"/>
          <w:szCs w:val="16"/>
        </w:rPr>
        <w:t xml:space="preserve"> sur</w:t>
      </w:r>
      <w:r w:rsidR="00D07550">
        <w:rPr>
          <w:rFonts w:asciiTheme="minorHAnsi" w:hAnsiTheme="minorHAnsi" w:cstheme="minorHAnsi"/>
          <w:sz w:val="16"/>
          <w:szCs w:val="16"/>
        </w:rPr>
        <w:t xml:space="preserve"> la</w:t>
      </w:r>
      <w:r w:rsidR="00180F55">
        <w:rPr>
          <w:rFonts w:asciiTheme="minorHAnsi" w:hAnsiTheme="minorHAnsi" w:cstheme="minorHAnsi"/>
          <w:sz w:val="16"/>
          <w:szCs w:val="16"/>
        </w:rPr>
        <w:t xml:space="preserve"> base des ventes de carburant dont les statistiques sont maintenant régionalisées.</w:t>
      </w:r>
    </w:p>
  </w:footnote>
  <w:footnote w:id="2">
    <w:p w14:paraId="719757A9" w14:textId="624200A9" w:rsidR="00EB4CAB" w:rsidRPr="00D07550" w:rsidRDefault="00EB4C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Règlement revu en 2022-2023</w:t>
      </w:r>
      <w:r w:rsidRPr="0068452F">
        <w:rPr>
          <w:rFonts w:asciiTheme="minorHAnsi" w:hAnsiTheme="minorHAnsi" w:cstheme="minorHAnsi"/>
        </w:rPr>
        <w:t xml:space="preserve"> </w:t>
      </w:r>
      <w:r w:rsidR="009B0771">
        <w:rPr>
          <w:rFonts w:asciiTheme="minorHAnsi" w:hAnsiTheme="minorHAnsi" w:cstheme="minorHAnsi"/>
        </w:rPr>
        <w:t xml:space="preserve">(Règlement </w:t>
      </w:r>
      <w:r w:rsidR="00286991">
        <w:rPr>
          <w:rFonts w:asciiTheme="minorHAnsi" w:hAnsiTheme="minorHAnsi" w:cstheme="minorHAnsi"/>
        </w:rPr>
        <w:t>EC/</w:t>
      </w:r>
      <w:r w:rsidR="009B0771">
        <w:rPr>
          <w:rFonts w:asciiTheme="minorHAnsi" w:hAnsiTheme="minorHAnsi" w:cstheme="minorHAnsi"/>
        </w:rPr>
        <w:t xml:space="preserve">2023/857) </w:t>
      </w:r>
      <w:r>
        <w:rPr>
          <w:rFonts w:asciiTheme="minorHAnsi" w:hAnsiTheme="minorHAnsi" w:cstheme="minorHAnsi"/>
        </w:rPr>
        <w:t>pour augmenter l’ambition européenne dans le cadre du Green Deal, avec un objectif belge de -47% par rapport à 2005 pour les secteurs non-ETS.</w:t>
      </w:r>
    </w:p>
  </w:footnote>
  <w:footnote w:id="3">
    <w:p w14:paraId="3F08E909" w14:textId="1E89FE6F" w:rsidR="002647CF" w:rsidRDefault="002647C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B59E1" w:rsidRPr="007622CB">
        <w:rPr>
          <w:sz w:val="14"/>
          <w:szCs w:val="16"/>
        </w:rPr>
        <w:t>Toute la série temporelle (1990 à 20</w:t>
      </w:r>
      <w:r w:rsidR="00AA62C1" w:rsidRPr="007622CB">
        <w:rPr>
          <w:sz w:val="14"/>
          <w:szCs w:val="16"/>
        </w:rPr>
        <w:t>23</w:t>
      </w:r>
      <w:r w:rsidR="00EB59E1" w:rsidRPr="007622CB">
        <w:rPr>
          <w:sz w:val="14"/>
          <w:szCs w:val="16"/>
        </w:rPr>
        <w:t xml:space="preserve">) est revue </w:t>
      </w:r>
      <w:r w:rsidR="00AA62C1" w:rsidRPr="007622CB">
        <w:rPr>
          <w:sz w:val="14"/>
          <w:szCs w:val="16"/>
        </w:rPr>
        <w:t xml:space="preserve">sur base de l’adoption de nouvelles méthodologies, </w:t>
      </w:r>
      <w:r w:rsidR="00FC79F4">
        <w:rPr>
          <w:sz w:val="14"/>
          <w:szCs w:val="16"/>
        </w:rPr>
        <w:t xml:space="preserve">de </w:t>
      </w:r>
      <w:r w:rsidR="009C415B" w:rsidRPr="007622CB">
        <w:rPr>
          <w:sz w:val="14"/>
          <w:szCs w:val="16"/>
        </w:rPr>
        <w:t xml:space="preserve">nouvelles répartitions sectorielles ou </w:t>
      </w:r>
      <w:r w:rsidR="00FC79F4">
        <w:rPr>
          <w:sz w:val="14"/>
          <w:szCs w:val="16"/>
        </w:rPr>
        <w:t xml:space="preserve">suivant la </w:t>
      </w:r>
      <w:r w:rsidR="009C415B" w:rsidRPr="007622CB">
        <w:rPr>
          <w:sz w:val="14"/>
          <w:szCs w:val="16"/>
        </w:rPr>
        <w:t>consolidation de</w:t>
      </w:r>
      <w:r w:rsidR="00FC79F4">
        <w:rPr>
          <w:sz w:val="14"/>
          <w:szCs w:val="16"/>
        </w:rPr>
        <w:t>s sources</w:t>
      </w:r>
      <w:r w:rsidR="009C415B" w:rsidRPr="007622CB">
        <w:rPr>
          <w:sz w:val="14"/>
          <w:szCs w:val="16"/>
        </w:rPr>
        <w:t xml:space="preserve"> de données (e.g. Bilan énergétique). </w:t>
      </w:r>
      <w:r w:rsidR="00FC79F4">
        <w:rPr>
          <w:sz w:val="14"/>
          <w:szCs w:val="16"/>
        </w:rPr>
        <w:t>L</w:t>
      </w:r>
      <w:r w:rsidR="007622CB" w:rsidRPr="007622CB">
        <w:rPr>
          <w:sz w:val="14"/>
          <w:szCs w:val="16"/>
        </w:rPr>
        <w:t xml:space="preserve">es </w:t>
      </w:r>
      <w:r w:rsidR="009C415B" w:rsidRPr="007622CB">
        <w:rPr>
          <w:sz w:val="14"/>
          <w:szCs w:val="16"/>
        </w:rPr>
        <w:t>inventaire</w:t>
      </w:r>
      <w:r w:rsidR="007622CB" w:rsidRPr="007622CB">
        <w:rPr>
          <w:sz w:val="14"/>
          <w:szCs w:val="16"/>
        </w:rPr>
        <w:t>s GES de</w:t>
      </w:r>
      <w:r w:rsidR="009C415B" w:rsidRPr="007622CB">
        <w:rPr>
          <w:sz w:val="14"/>
          <w:szCs w:val="16"/>
        </w:rPr>
        <w:t xml:space="preserve"> 2</w:t>
      </w:r>
      <w:r w:rsidR="007622CB" w:rsidRPr="007622CB">
        <w:rPr>
          <w:sz w:val="14"/>
          <w:szCs w:val="16"/>
        </w:rPr>
        <w:t>005 et 2022 (années de comparaison</w:t>
      </w:r>
      <w:r w:rsidR="00FC79F4">
        <w:rPr>
          <w:sz w:val="14"/>
          <w:szCs w:val="16"/>
        </w:rPr>
        <w:t xml:space="preserve"> figurant </w:t>
      </w:r>
      <w:r w:rsidR="00A301CF">
        <w:rPr>
          <w:sz w:val="14"/>
          <w:szCs w:val="16"/>
        </w:rPr>
        <w:t xml:space="preserve">dans le </w:t>
      </w:r>
      <w:r w:rsidR="00FC79F4">
        <w:rPr>
          <w:sz w:val="14"/>
          <w:szCs w:val="16"/>
        </w:rPr>
        <w:t>tableau 1</w:t>
      </w:r>
      <w:r w:rsidR="007622CB" w:rsidRPr="007622CB">
        <w:rPr>
          <w:sz w:val="14"/>
          <w:szCs w:val="16"/>
        </w:rPr>
        <w:t>) ont été sensiblement revus durant l’inventaire de</w:t>
      </w:r>
      <w:r w:rsidR="00915CDA">
        <w:rPr>
          <w:sz w:val="14"/>
          <w:szCs w:val="16"/>
        </w:rPr>
        <w:t xml:space="preserve"> mars</w:t>
      </w:r>
      <w:r w:rsidR="007622CB" w:rsidRPr="007622CB">
        <w:rPr>
          <w:sz w:val="14"/>
          <w:szCs w:val="16"/>
        </w:rPr>
        <w:t xml:space="preserve">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CC90" w14:textId="77777777" w:rsidR="00542CEB" w:rsidRDefault="00542C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3896" w14:textId="77777777" w:rsidR="00542CEB" w:rsidRDefault="00542C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F8E7" w14:textId="77777777" w:rsidR="00542CEB" w:rsidRDefault="00542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4D1"/>
    <w:multiLevelType w:val="hybridMultilevel"/>
    <w:tmpl w:val="AB9ABB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405"/>
    <w:multiLevelType w:val="hybridMultilevel"/>
    <w:tmpl w:val="7F067DB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C110B"/>
    <w:multiLevelType w:val="hybridMultilevel"/>
    <w:tmpl w:val="3250A9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628C"/>
    <w:multiLevelType w:val="hybridMultilevel"/>
    <w:tmpl w:val="D33A1A22"/>
    <w:lvl w:ilvl="0" w:tplc="5578609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A7133"/>
    <w:multiLevelType w:val="hybridMultilevel"/>
    <w:tmpl w:val="E8BAD8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2041"/>
    <w:multiLevelType w:val="hybridMultilevel"/>
    <w:tmpl w:val="4DA66F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C1305"/>
    <w:multiLevelType w:val="hybridMultilevel"/>
    <w:tmpl w:val="AA96B846"/>
    <w:lvl w:ilvl="0" w:tplc="3ED832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1CCC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145B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F695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D63F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D6A8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308B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7629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B7817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F97679"/>
    <w:multiLevelType w:val="hybridMultilevel"/>
    <w:tmpl w:val="53F6857E"/>
    <w:lvl w:ilvl="0" w:tplc="7B981956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A7226"/>
    <w:multiLevelType w:val="hybridMultilevel"/>
    <w:tmpl w:val="2814EC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45E87"/>
    <w:multiLevelType w:val="hybridMultilevel"/>
    <w:tmpl w:val="39A4BB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1029"/>
    <w:multiLevelType w:val="hybridMultilevel"/>
    <w:tmpl w:val="33E09E5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9764C6"/>
    <w:multiLevelType w:val="hybridMultilevel"/>
    <w:tmpl w:val="76E4744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AA410B"/>
    <w:multiLevelType w:val="hybridMultilevel"/>
    <w:tmpl w:val="26B44C42"/>
    <w:lvl w:ilvl="0" w:tplc="6B0C0FEC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E740C"/>
    <w:multiLevelType w:val="hybridMultilevel"/>
    <w:tmpl w:val="1D546A3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A56D1"/>
    <w:multiLevelType w:val="hybridMultilevel"/>
    <w:tmpl w:val="9AECDA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F0F"/>
    <w:multiLevelType w:val="hybridMultilevel"/>
    <w:tmpl w:val="CB82F5C2"/>
    <w:lvl w:ilvl="0" w:tplc="BE6E0EE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11D7"/>
    <w:multiLevelType w:val="hybridMultilevel"/>
    <w:tmpl w:val="013E0D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C5918"/>
    <w:multiLevelType w:val="hybridMultilevel"/>
    <w:tmpl w:val="81344C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0472"/>
    <w:multiLevelType w:val="hybridMultilevel"/>
    <w:tmpl w:val="6EFE6C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84240"/>
    <w:multiLevelType w:val="hybridMultilevel"/>
    <w:tmpl w:val="53FC6D7C"/>
    <w:lvl w:ilvl="0" w:tplc="5C4C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2B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8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4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1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6F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EE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2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4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6243DC"/>
    <w:multiLevelType w:val="hybridMultilevel"/>
    <w:tmpl w:val="41AA82E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AD05540"/>
    <w:multiLevelType w:val="hybridMultilevel"/>
    <w:tmpl w:val="1B48E22A"/>
    <w:lvl w:ilvl="0" w:tplc="3DB268EC">
      <w:start w:val="1"/>
      <w:numFmt w:val="decimal"/>
      <w:lvlText w:val="%1."/>
      <w:lvlJc w:val="left"/>
      <w:pPr>
        <w:ind w:left="1134" w:hanging="1134"/>
      </w:pPr>
      <w:rPr>
        <w:rFonts w:ascii="Arial" w:hAnsi="Arial" w:cs="Arial" w:hint="default"/>
        <w:b/>
        <w:i w:val="0"/>
        <w:color w:val="808080" w:themeColor="background1" w:themeShade="80"/>
        <w:sz w:val="18"/>
        <w:lang w:val="fr-BE"/>
      </w:rPr>
    </w:lvl>
    <w:lvl w:ilvl="1" w:tplc="080C0019">
      <w:start w:val="1"/>
      <w:numFmt w:val="lowerLetter"/>
      <w:lvlText w:val="%2."/>
      <w:lvlJc w:val="left"/>
      <w:pPr>
        <w:ind w:left="1364" w:hanging="360"/>
      </w:pPr>
    </w:lvl>
    <w:lvl w:ilvl="2" w:tplc="080C001B">
      <w:start w:val="1"/>
      <w:numFmt w:val="lowerRoman"/>
      <w:lvlText w:val="%3."/>
      <w:lvlJc w:val="right"/>
      <w:pPr>
        <w:ind w:left="2084" w:hanging="180"/>
      </w:pPr>
    </w:lvl>
    <w:lvl w:ilvl="3" w:tplc="11A64E2C">
      <w:numFmt w:val="bullet"/>
      <w:lvlText w:val="–"/>
      <w:lvlJc w:val="left"/>
      <w:pPr>
        <w:ind w:left="2804" w:hanging="360"/>
      </w:pPr>
      <w:rPr>
        <w:rFonts w:ascii="Arial" w:eastAsia="Times New Roman" w:hAnsi="Arial" w:cs="Arial" w:hint="default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A2C6F"/>
    <w:multiLevelType w:val="hybridMultilevel"/>
    <w:tmpl w:val="925E8E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27460">
    <w:abstractNumId w:val="18"/>
  </w:num>
  <w:num w:numId="2" w16cid:durableId="873730869">
    <w:abstractNumId w:val="6"/>
  </w:num>
  <w:num w:numId="3" w16cid:durableId="1781334354">
    <w:abstractNumId w:val="5"/>
  </w:num>
  <w:num w:numId="4" w16cid:durableId="1349940985">
    <w:abstractNumId w:val="9"/>
  </w:num>
  <w:num w:numId="5" w16cid:durableId="1141922045">
    <w:abstractNumId w:val="4"/>
  </w:num>
  <w:num w:numId="6" w16cid:durableId="707679012">
    <w:abstractNumId w:val="22"/>
  </w:num>
  <w:num w:numId="7" w16cid:durableId="879242620">
    <w:abstractNumId w:val="2"/>
  </w:num>
  <w:num w:numId="8" w16cid:durableId="1197350048">
    <w:abstractNumId w:val="11"/>
  </w:num>
  <w:num w:numId="9" w16cid:durableId="517811846">
    <w:abstractNumId w:val="20"/>
  </w:num>
  <w:num w:numId="10" w16cid:durableId="1366910886">
    <w:abstractNumId w:val="10"/>
  </w:num>
  <w:num w:numId="11" w16cid:durableId="743722724">
    <w:abstractNumId w:val="1"/>
  </w:num>
  <w:num w:numId="12" w16cid:durableId="1493641799">
    <w:abstractNumId w:val="14"/>
  </w:num>
  <w:num w:numId="13" w16cid:durableId="985546612">
    <w:abstractNumId w:val="17"/>
  </w:num>
  <w:num w:numId="14" w16cid:durableId="873931080">
    <w:abstractNumId w:val="0"/>
  </w:num>
  <w:num w:numId="15" w16cid:durableId="294219496">
    <w:abstractNumId w:val="8"/>
  </w:num>
  <w:num w:numId="16" w16cid:durableId="418796765">
    <w:abstractNumId w:val="13"/>
  </w:num>
  <w:num w:numId="17" w16cid:durableId="1753353194">
    <w:abstractNumId w:val="15"/>
  </w:num>
  <w:num w:numId="18" w16cid:durableId="835075198">
    <w:abstractNumId w:val="7"/>
  </w:num>
  <w:num w:numId="19" w16cid:durableId="16279040">
    <w:abstractNumId w:val="12"/>
  </w:num>
  <w:num w:numId="20" w16cid:durableId="1141654047">
    <w:abstractNumId w:val="3"/>
  </w:num>
  <w:num w:numId="21" w16cid:durableId="714741768">
    <w:abstractNumId w:val="19"/>
  </w:num>
  <w:num w:numId="22" w16cid:durableId="992025478">
    <w:abstractNumId w:val="21"/>
  </w:num>
  <w:num w:numId="23" w16cid:durableId="6391197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C5"/>
    <w:rsid w:val="00010CAC"/>
    <w:rsid w:val="00017DB3"/>
    <w:rsid w:val="00022815"/>
    <w:rsid w:val="00027084"/>
    <w:rsid w:val="00032D7A"/>
    <w:rsid w:val="000341A5"/>
    <w:rsid w:val="00042923"/>
    <w:rsid w:val="00043DB7"/>
    <w:rsid w:val="00051686"/>
    <w:rsid w:val="00053C78"/>
    <w:rsid w:val="00055B73"/>
    <w:rsid w:val="000604F2"/>
    <w:rsid w:val="00067185"/>
    <w:rsid w:val="00075911"/>
    <w:rsid w:val="00094C6B"/>
    <w:rsid w:val="00095F6A"/>
    <w:rsid w:val="0009783B"/>
    <w:rsid w:val="000A10B2"/>
    <w:rsid w:val="000A1A64"/>
    <w:rsid w:val="000A5108"/>
    <w:rsid w:val="000B1243"/>
    <w:rsid w:val="000B6F0D"/>
    <w:rsid w:val="000C022F"/>
    <w:rsid w:val="000D09FC"/>
    <w:rsid w:val="000D53BF"/>
    <w:rsid w:val="000E401C"/>
    <w:rsid w:val="000E6EC5"/>
    <w:rsid w:val="000F4BA2"/>
    <w:rsid w:val="00100DB7"/>
    <w:rsid w:val="001032FF"/>
    <w:rsid w:val="00110284"/>
    <w:rsid w:val="0012184A"/>
    <w:rsid w:val="00121F3E"/>
    <w:rsid w:val="00130950"/>
    <w:rsid w:val="00134F4E"/>
    <w:rsid w:val="00136C24"/>
    <w:rsid w:val="001406FF"/>
    <w:rsid w:val="0014530A"/>
    <w:rsid w:val="00145CC0"/>
    <w:rsid w:val="00152187"/>
    <w:rsid w:val="00153207"/>
    <w:rsid w:val="00171564"/>
    <w:rsid w:val="00173F46"/>
    <w:rsid w:val="00177E62"/>
    <w:rsid w:val="00180F55"/>
    <w:rsid w:val="00181155"/>
    <w:rsid w:val="00190DD7"/>
    <w:rsid w:val="001976A8"/>
    <w:rsid w:val="001B5561"/>
    <w:rsid w:val="001B57EB"/>
    <w:rsid w:val="001C12AE"/>
    <w:rsid w:val="001C45AD"/>
    <w:rsid w:val="001C7512"/>
    <w:rsid w:val="001D1FD6"/>
    <w:rsid w:val="001D2E58"/>
    <w:rsid w:val="001D782F"/>
    <w:rsid w:val="001F086E"/>
    <w:rsid w:val="001F10E2"/>
    <w:rsid w:val="001F2728"/>
    <w:rsid w:val="001F307B"/>
    <w:rsid w:val="00201483"/>
    <w:rsid w:val="00201CBD"/>
    <w:rsid w:val="00202F01"/>
    <w:rsid w:val="002043C8"/>
    <w:rsid w:val="00212FE9"/>
    <w:rsid w:val="002138F8"/>
    <w:rsid w:val="00213AFA"/>
    <w:rsid w:val="00221860"/>
    <w:rsid w:val="00227AFE"/>
    <w:rsid w:val="002337D6"/>
    <w:rsid w:val="00237684"/>
    <w:rsid w:val="002447A1"/>
    <w:rsid w:val="00256D9E"/>
    <w:rsid w:val="002600D2"/>
    <w:rsid w:val="002618C2"/>
    <w:rsid w:val="00262059"/>
    <w:rsid w:val="00263890"/>
    <w:rsid w:val="002647CF"/>
    <w:rsid w:val="00266FF1"/>
    <w:rsid w:val="0027361F"/>
    <w:rsid w:val="002738C8"/>
    <w:rsid w:val="0027734D"/>
    <w:rsid w:val="002847C6"/>
    <w:rsid w:val="00286991"/>
    <w:rsid w:val="00291342"/>
    <w:rsid w:val="0029556D"/>
    <w:rsid w:val="002A3A8B"/>
    <w:rsid w:val="002A3F18"/>
    <w:rsid w:val="002A5932"/>
    <w:rsid w:val="002B00F6"/>
    <w:rsid w:val="002B43BC"/>
    <w:rsid w:val="002C0FBB"/>
    <w:rsid w:val="002C28AB"/>
    <w:rsid w:val="002C2AD2"/>
    <w:rsid w:val="002C3C73"/>
    <w:rsid w:val="002C6455"/>
    <w:rsid w:val="002D3136"/>
    <w:rsid w:val="002D57D1"/>
    <w:rsid w:val="002D5E83"/>
    <w:rsid w:val="002E0F1D"/>
    <w:rsid w:val="002F1B28"/>
    <w:rsid w:val="002F4EB8"/>
    <w:rsid w:val="002F5907"/>
    <w:rsid w:val="002F7103"/>
    <w:rsid w:val="00306823"/>
    <w:rsid w:val="00314723"/>
    <w:rsid w:val="00314BCD"/>
    <w:rsid w:val="0032138F"/>
    <w:rsid w:val="00337334"/>
    <w:rsid w:val="00361D2D"/>
    <w:rsid w:val="00370F6C"/>
    <w:rsid w:val="0039059C"/>
    <w:rsid w:val="00393680"/>
    <w:rsid w:val="00394BC9"/>
    <w:rsid w:val="003A0165"/>
    <w:rsid w:val="003A6E59"/>
    <w:rsid w:val="003B0AC8"/>
    <w:rsid w:val="003B2B6D"/>
    <w:rsid w:val="003B63C4"/>
    <w:rsid w:val="003C43F4"/>
    <w:rsid w:val="003C5410"/>
    <w:rsid w:val="003D6DAD"/>
    <w:rsid w:val="0040017F"/>
    <w:rsid w:val="00401C9E"/>
    <w:rsid w:val="004050FC"/>
    <w:rsid w:val="00407636"/>
    <w:rsid w:val="00411E74"/>
    <w:rsid w:val="00412785"/>
    <w:rsid w:val="00431413"/>
    <w:rsid w:val="004453C1"/>
    <w:rsid w:val="004541F7"/>
    <w:rsid w:val="00455300"/>
    <w:rsid w:val="004553B0"/>
    <w:rsid w:val="00462DD2"/>
    <w:rsid w:val="00473396"/>
    <w:rsid w:val="00487703"/>
    <w:rsid w:val="00490ECE"/>
    <w:rsid w:val="00491BC3"/>
    <w:rsid w:val="004A5A19"/>
    <w:rsid w:val="004B1E7C"/>
    <w:rsid w:val="004C4F0B"/>
    <w:rsid w:val="004D1042"/>
    <w:rsid w:val="004E1747"/>
    <w:rsid w:val="004E5A87"/>
    <w:rsid w:val="004E6708"/>
    <w:rsid w:val="004F7C85"/>
    <w:rsid w:val="00502289"/>
    <w:rsid w:val="00503E91"/>
    <w:rsid w:val="00516F76"/>
    <w:rsid w:val="00523547"/>
    <w:rsid w:val="00524712"/>
    <w:rsid w:val="00525AC6"/>
    <w:rsid w:val="0052636F"/>
    <w:rsid w:val="0053538B"/>
    <w:rsid w:val="00536B0F"/>
    <w:rsid w:val="00542CEB"/>
    <w:rsid w:val="00561066"/>
    <w:rsid w:val="00565179"/>
    <w:rsid w:val="0056728D"/>
    <w:rsid w:val="00567461"/>
    <w:rsid w:val="0057103B"/>
    <w:rsid w:val="00574AFE"/>
    <w:rsid w:val="00574B48"/>
    <w:rsid w:val="005823FC"/>
    <w:rsid w:val="005910B2"/>
    <w:rsid w:val="00593135"/>
    <w:rsid w:val="00595C16"/>
    <w:rsid w:val="00596CA6"/>
    <w:rsid w:val="005B1995"/>
    <w:rsid w:val="005B25C1"/>
    <w:rsid w:val="005D0534"/>
    <w:rsid w:val="005D092E"/>
    <w:rsid w:val="005D173C"/>
    <w:rsid w:val="005E09D1"/>
    <w:rsid w:val="005E4681"/>
    <w:rsid w:val="00602609"/>
    <w:rsid w:val="006142F7"/>
    <w:rsid w:val="00623042"/>
    <w:rsid w:val="0062397B"/>
    <w:rsid w:val="006505D8"/>
    <w:rsid w:val="00651199"/>
    <w:rsid w:val="006611A3"/>
    <w:rsid w:val="006629F9"/>
    <w:rsid w:val="00675B00"/>
    <w:rsid w:val="0068452F"/>
    <w:rsid w:val="00691CC6"/>
    <w:rsid w:val="006A644A"/>
    <w:rsid w:val="006B4406"/>
    <w:rsid w:val="006B73E8"/>
    <w:rsid w:val="006B7773"/>
    <w:rsid w:val="006C0940"/>
    <w:rsid w:val="006C42F3"/>
    <w:rsid w:val="006C765D"/>
    <w:rsid w:val="006D2A3C"/>
    <w:rsid w:val="006F2513"/>
    <w:rsid w:val="006F4851"/>
    <w:rsid w:val="007027EF"/>
    <w:rsid w:val="00707463"/>
    <w:rsid w:val="00722594"/>
    <w:rsid w:val="0072286F"/>
    <w:rsid w:val="007323E4"/>
    <w:rsid w:val="00734A5E"/>
    <w:rsid w:val="007350C0"/>
    <w:rsid w:val="0075128C"/>
    <w:rsid w:val="00756F04"/>
    <w:rsid w:val="007622CB"/>
    <w:rsid w:val="00762B65"/>
    <w:rsid w:val="007633FE"/>
    <w:rsid w:val="00766125"/>
    <w:rsid w:val="00780302"/>
    <w:rsid w:val="00787EBC"/>
    <w:rsid w:val="00794D51"/>
    <w:rsid w:val="00796F57"/>
    <w:rsid w:val="007A328B"/>
    <w:rsid w:val="007A4C34"/>
    <w:rsid w:val="007B1055"/>
    <w:rsid w:val="007B5296"/>
    <w:rsid w:val="007C659F"/>
    <w:rsid w:val="007E1146"/>
    <w:rsid w:val="007E17FF"/>
    <w:rsid w:val="007E71A4"/>
    <w:rsid w:val="007F2273"/>
    <w:rsid w:val="007F2853"/>
    <w:rsid w:val="007F3D80"/>
    <w:rsid w:val="007F5219"/>
    <w:rsid w:val="00802DD1"/>
    <w:rsid w:val="00804AC2"/>
    <w:rsid w:val="00805CFF"/>
    <w:rsid w:val="00810098"/>
    <w:rsid w:val="008160AF"/>
    <w:rsid w:val="00821CFB"/>
    <w:rsid w:val="0082514D"/>
    <w:rsid w:val="00825861"/>
    <w:rsid w:val="008429C8"/>
    <w:rsid w:val="008448C7"/>
    <w:rsid w:val="008473EC"/>
    <w:rsid w:val="00856106"/>
    <w:rsid w:val="00861B97"/>
    <w:rsid w:val="00861C3B"/>
    <w:rsid w:val="00865068"/>
    <w:rsid w:val="008715A4"/>
    <w:rsid w:val="00874329"/>
    <w:rsid w:val="00876DD6"/>
    <w:rsid w:val="00881595"/>
    <w:rsid w:val="00886A37"/>
    <w:rsid w:val="008970B9"/>
    <w:rsid w:val="008B5CA7"/>
    <w:rsid w:val="008B65E6"/>
    <w:rsid w:val="008C1190"/>
    <w:rsid w:val="008D25E8"/>
    <w:rsid w:val="008D3F75"/>
    <w:rsid w:val="008F52A1"/>
    <w:rsid w:val="008F57A4"/>
    <w:rsid w:val="00900D1B"/>
    <w:rsid w:val="00915771"/>
    <w:rsid w:val="00915CDA"/>
    <w:rsid w:val="0092747A"/>
    <w:rsid w:val="00942C24"/>
    <w:rsid w:val="0094745D"/>
    <w:rsid w:val="009531EC"/>
    <w:rsid w:val="009603E8"/>
    <w:rsid w:val="0097689D"/>
    <w:rsid w:val="00977EA2"/>
    <w:rsid w:val="009A01F4"/>
    <w:rsid w:val="009A4834"/>
    <w:rsid w:val="009B0771"/>
    <w:rsid w:val="009B412F"/>
    <w:rsid w:val="009C415B"/>
    <w:rsid w:val="009D79B2"/>
    <w:rsid w:val="009E14FB"/>
    <w:rsid w:val="009F0D3C"/>
    <w:rsid w:val="009F5383"/>
    <w:rsid w:val="00A049E1"/>
    <w:rsid w:val="00A06713"/>
    <w:rsid w:val="00A1079D"/>
    <w:rsid w:val="00A128DE"/>
    <w:rsid w:val="00A22E64"/>
    <w:rsid w:val="00A301CF"/>
    <w:rsid w:val="00A42C7D"/>
    <w:rsid w:val="00A509E9"/>
    <w:rsid w:val="00A5365F"/>
    <w:rsid w:val="00A64875"/>
    <w:rsid w:val="00A64C5F"/>
    <w:rsid w:val="00A66968"/>
    <w:rsid w:val="00A707DB"/>
    <w:rsid w:val="00A75CA8"/>
    <w:rsid w:val="00A77C88"/>
    <w:rsid w:val="00A81EA2"/>
    <w:rsid w:val="00A9204D"/>
    <w:rsid w:val="00A92CFA"/>
    <w:rsid w:val="00AA54C8"/>
    <w:rsid w:val="00AA62C1"/>
    <w:rsid w:val="00AD2DBF"/>
    <w:rsid w:val="00AD3D2A"/>
    <w:rsid w:val="00AD5E4C"/>
    <w:rsid w:val="00AF14F6"/>
    <w:rsid w:val="00B0770C"/>
    <w:rsid w:val="00B11C0A"/>
    <w:rsid w:val="00B13D06"/>
    <w:rsid w:val="00B14487"/>
    <w:rsid w:val="00B2141F"/>
    <w:rsid w:val="00B273E2"/>
    <w:rsid w:val="00B44115"/>
    <w:rsid w:val="00B470B8"/>
    <w:rsid w:val="00B50C35"/>
    <w:rsid w:val="00B524A2"/>
    <w:rsid w:val="00B557F5"/>
    <w:rsid w:val="00B60F21"/>
    <w:rsid w:val="00B6141B"/>
    <w:rsid w:val="00B617AB"/>
    <w:rsid w:val="00B63798"/>
    <w:rsid w:val="00B7458A"/>
    <w:rsid w:val="00B8124D"/>
    <w:rsid w:val="00B82385"/>
    <w:rsid w:val="00B82734"/>
    <w:rsid w:val="00B874CC"/>
    <w:rsid w:val="00BA1259"/>
    <w:rsid w:val="00BA49D7"/>
    <w:rsid w:val="00BA79CA"/>
    <w:rsid w:val="00BB2F64"/>
    <w:rsid w:val="00BB6352"/>
    <w:rsid w:val="00BC0218"/>
    <w:rsid w:val="00BC0B5E"/>
    <w:rsid w:val="00BC79EE"/>
    <w:rsid w:val="00BD131A"/>
    <w:rsid w:val="00BD6364"/>
    <w:rsid w:val="00BD70E8"/>
    <w:rsid w:val="00BE0ECA"/>
    <w:rsid w:val="00BE13A3"/>
    <w:rsid w:val="00BF1095"/>
    <w:rsid w:val="00BF34CD"/>
    <w:rsid w:val="00C0483A"/>
    <w:rsid w:val="00C0495B"/>
    <w:rsid w:val="00C113AF"/>
    <w:rsid w:val="00C133ED"/>
    <w:rsid w:val="00C17348"/>
    <w:rsid w:val="00C23EF9"/>
    <w:rsid w:val="00C27488"/>
    <w:rsid w:val="00C32547"/>
    <w:rsid w:val="00C45FAA"/>
    <w:rsid w:val="00C4629B"/>
    <w:rsid w:val="00C46DBD"/>
    <w:rsid w:val="00C54747"/>
    <w:rsid w:val="00C5526F"/>
    <w:rsid w:val="00C646B1"/>
    <w:rsid w:val="00C65DC8"/>
    <w:rsid w:val="00C6740C"/>
    <w:rsid w:val="00C75333"/>
    <w:rsid w:val="00C7548E"/>
    <w:rsid w:val="00C77120"/>
    <w:rsid w:val="00C921D1"/>
    <w:rsid w:val="00C9547F"/>
    <w:rsid w:val="00C9663B"/>
    <w:rsid w:val="00C9751D"/>
    <w:rsid w:val="00CA43A9"/>
    <w:rsid w:val="00CB0AC8"/>
    <w:rsid w:val="00CC04F1"/>
    <w:rsid w:val="00CD1E7F"/>
    <w:rsid w:val="00CD6D8E"/>
    <w:rsid w:val="00CE0A3A"/>
    <w:rsid w:val="00CE5D8A"/>
    <w:rsid w:val="00CF127F"/>
    <w:rsid w:val="00CF6168"/>
    <w:rsid w:val="00CF67CE"/>
    <w:rsid w:val="00D07550"/>
    <w:rsid w:val="00D07C3A"/>
    <w:rsid w:val="00D30488"/>
    <w:rsid w:val="00D36DF6"/>
    <w:rsid w:val="00D47664"/>
    <w:rsid w:val="00D52105"/>
    <w:rsid w:val="00D528B0"/>
    <w:rsid w:val="00D83FAD"/>
    <w:rsid w:val="00D8671C"/>
    <w:rsid w:val="00DA0430"/>
    <w:rsid w:val="00DA2B6C"/>
    <w:rsid w:val="00DA71CC"/>
    <w:rsid w:val="00DB1FB9"/>
    <w:rsid w:val="00DD5E14"/>
    <w:rsid w:val="00E12B6F"/>
    <w:rsid w:val="00E213D7"/>
    <w:rsid w:val="00E2330D"/>
    <w:rsid w:val="00E235CC"/>
    <w:rsid w:val="00E4337C"/>
    <w:rsid w:val="00E43A80"/>
    <w:rsid w:val="00E60171"/>
    <w:rsid w:val="00E71C62"/>
    <w:rsid w:val="00E75E32"/>
    <w:rsid w:val="00E84AC8"/>
    <w:rsid w:val="00E94B17"/>
    <w:rsid w:val="00E969D5"/>
    <w:rsid w:val="00EA1724"/>
    <w:rsid w:val="00EA7A84"/>
    <w:rsid w:val="00EB4CAB"/>
    <w:rsid w:val="00EB59E1"/>
    <w:rsid w:val="00ED6B19"/>
    <w:rsid w:val="00EE5802"/>
    <w:rsid w:val="00EF3EF9"/>
    <w:rsid w:val="00EF46AE"/>
    <w:rsid w:val="00EF4F08"/>
    <w:rsid w:val="00F00F32"/>
    <w:rsid w:val="00F10905"/>
    <w:rsid w:val="00F11AF7"/>
    <w:rsid w:val="00F259F3"/>
    <w:rsid w:val="00F46159"/>
    <w:rsid w:val="00F55442"/>
    <w:rsid w:val="00F62BC5"/>
    <w:rsid w:val="00F715C4"/>
    <w:rsid w:val="00F7347E"/>
    <w:rsid w:val="00F74337"/>
    <w:rsid w:val="00F76C16"/>
    <w:rsid w:val="00F76DE4"/>
    <w:rsid w:val="00F82DC2"/>
    <w:rsid w:val="00F832DA"/>
    <w:rsid w:val="00F83838"/>
    <w:rsid w:val="00F90731"/>
    <w:rsid w:val="00F917F5"/>
    <w:rsid w:val="00FA634D"/>
    <w:rsid w:val="00FB5251"/>
    <w:rsid w:val="00FC0CFB"/>
    <w:rsid w:val="00FC686E"/>
    <w:rsid w:val="00FC79F4"/>
    <w:rsid w:val="00FD28A4"/>
    <w:rsid w:val="00FD47CA"/>
    <w:rsid w:val="00FD7D0F"/>
    <w:rsid w:val="00FF354D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53F5"/>
  <w15:docId w15:val="{891E1E34-C786-4100-992A-712857FF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C5"/>
    <w:pPr>
      <w:spacing w:after="200" w:line="276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874CC"/>
    <w:pPr>
      <w:spacing w:before="300" w:after="40"/>
      <w:jc w:val="left"/>
      <w:outlineLvl w:val="0"/>
    </w:pPr>
    <w:rPr>
      <w:smallCaps/>
      <w:spacing w:val="5"/>
      <w:sz w:val="32"/>
      <w:szCs w:val="32"/>
      <w:lang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74CC"/>
    <w:pPr>
      <w:spacing w:before="240" w:after="80"/>
      <w:jc w:val="left"/>
      <w:outlineLvl w:val="1"/>
    </w:pPr>
    <w:rPr>
      <w:smallCaps/>
      <w:spacing w:val="5"/>
      <w:sz w:val="28"/>
      <w:szCs w:val="28"/>
      <w:lang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74CC"/>
    <w:pPr>
      <w:spacing w:after="0"/>
      <w:jc w:val="left"/>
      <w:outlineLvl w:val="2"/>
    </w:pPr>
    <w:rPr>
      <w:smallCaps/>
      <w:spacing w:val="5"/>
      <w:sz w:val="24"/>
      <w:szCs w:val="24"/>
      <w:lang w:eastAsia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74CC"/>
    <w:pPr>
      <w:spacing w:before="240" w:after="0"/>
      <w:jc w:val="left"/>
      <w:outlineLvl w:val="3"/>
    </w:pPr>
    <w:rPr>
      <w:smallCaps/>
      <w:spacing w:val="10"/>
      <w:lang w:eastAsia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874CC"/>
    <w:pPr>
      <w:spacing w:before="200" w:after="0"/>
      <w:jc w:val="left"/>
      <w:outlineLvl w:val="4"/>
    </w:pPr>
    <w:rPr>
      <w:smallCaps/>
      <w:color w:val="943634"/>
      <w:spacing w:val="10"/>
      <w:szCs w:val="26"/>
      <w:lang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74CC"/>
    <w:pPr>
      <w:spacing w:after="0"/>
      <w:jc w:val="left"/>
      <w:outlineLvl w:val="5"/>
    </w:pPr>
    <w:rPr>
      <w:smallCaps/>
      <w:color w:val="C0504D"/>
      <w:spacing w:val="5"/>
      <w:lang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74CC"/>
    <w:pPr>
      <w:spacing w:after="0"/>
      <w:jc w:val="left"/>
      <w:outlineLvl w:val="6"/>
    </w:pPr>
    <w:rPr>
      <w:b/>
      <w:smallCaps/>
      <w:color w:val="C0504D"/>
      <w:spacing w:val="10"/>
      <w:lang w:eastAsia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4CC"/>
    <w:pPr>
      <w:spacing w:after="0"/>
      <w:jc w:val="left"/>
      <w:outlineLvl w:val="7"/>
    </w:pPr>
    <w:rPr>
      <w:b/>
      <w:i/>
      <w:smallCaps/>
      <w:color w:val="943634"/>
      <w:lang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4CC"/>
    <w:pPr>
      <w:spacing w:after="0"/>
      <w:jc w:val="left"/>
      <w:outlineLvl w:val="8"/>
    </w:pPr>
    <w:rPr>
      <w:b/>
      <w:i/>
      <w:smallCaps/>
      <w:color w:val="622423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74C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874C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874C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874C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B874CC"/>
    <w:rPr>
      <w:smallCaps/>
      <w:color w:val="943634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B874CC"/>
    <w:rPr>
      <w:smallCaps/>
      <w:color w:val="C0504D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B874CC"/>
    <w:rPr>
      <w:b/>
      <w:smallCaps/>
      <w:color w:val="C0504D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874CC"/>
    <w:rPr>
      <w:b/>
      <w:i/>
      <w:smallCaps/>
      <w:color w:val="943634"/>
    </w:rPr>
  </w:style>
  <w:style w:type="character" w:customStyle="1" w:styleId="Titre9Car">
    <w:name w:val="Titre 9 Car"/>
    <w:basedOn w:val="Policepardfaut"/>
    <w:link w:val="Titre9"/>
    <w:uiPriority w:val="9"/>
    <w:semiHidden/>
    <w:rsid w:val="00B874CC"/>
    <w:rPr>
      <w:b/>
      <w:i/>
      <w:smallCaps/>
      <w:color w:val="622423"/>
    </w:rPr>
  </w:style>
  <w:style w:type="paragraph" w:styleId="Lgende">
    <w:name w:val="caption"/>
    <w:basedOn w:val="Normal"/>
    <w:next w:val="Normal"/>
    <w:link w:val="LgendeCar"/>
    <w:unhideWhenUsed/>
    <w:qFormat/>
    <w:rsid w:val="00B874CC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874C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eastAsia="fr-BE"/>
    </w:rPr>
  </w:style>
  <w:style w:type="character" w:customStyle="1" w:styleId="TitreCar">
    <w:name w:val="Titre Car"/>
    <w:basedOn w:val="Policepardfaut"/>
    <w:link w:val="Titre"/>
    <w:uiPriority w:val="10"/>
    <w:rsid w:val="00B874C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4CC"/>
    <w:pPr>
      <w:spacing w:after="720" w:line="240" w:lineRule="auto"/>
      <w:jc w:val="right"/>
    </w:pPr>
    <w:rPr>
      <w:rFonts w:ascii="Cambria" w:hAnsi="Cambria"/>
      <w:lang w:eastAsia="fr-BE"/>
    </w:rPr>
  </w:style>
  <w:style w:type="character" w:customStyle="1" w:styleId="Sous-titreCar">
    <w:name w:val="Sous-titre Car"/>
    <w:basedOn w:val="Policepardfaut"/>
    <w:link w:val="Sous-titre"/>
    <w:uiPriority w:val="11"/>
    <w:rsid w:val="00B874CC"/>
    <w:rPr>
      <w:rFonts w:ascii="Cambria" w:eastAsia="Times New Roman" w:hAnsi="Cambria" w:cs="Times New Roman"/>
      <w:szCs w:val="22"/>
    </w:rPr>
  </w:style>
  <w:style w:type="character" w:styleId="lev">
    <w:name w:val="Strong"/>
    <w:uiPriority w:val="22"/>
    <w:qFormat/>
    <w:rsid w:val="00B874CC"/>
    <w:rPr>
      <w:b/>
      <w:color w:val="C0504D"/>
    </w:rPr>
  </w:style>
  <w:style w:type="character" w:styleId="Accentuation">
    <w:name w:val="Emphasis"/>
    <w:uiPriority w:val="20"/>
    <w:qFormat/>
    <w:rsid w:val="00B874C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B874C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874CC"/>
  </w:style>
  <w:style w:type="paragraph" w:styleId="Paragraphedeliste">
    <w:name w:val="List Paragraph"/>
    <w:aliases w:val="Lettre d'introduction"/>
    <w:basedOn w:val="Normal"/>
    <w:link w:val="ParagraphedelisteCar"/>
    <w:uiPriority w:val="34"/>
    <w:qFormat/>
    <w:rsid w:val="00B874C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874CC"/>
    <w:rPr>
      <w:i/>
      <w:lang w:eastAsia="fr-BE"/>
    </w:rPr>
  </w:style>
  <w:style w:type="character" w:customStyle="1" w:styleId="CitationCar">
    <w:name w:val="Citation Car"/>
    <w:basedOn w:val="Policepardfaut"/>
    <w:link w:val="Citation"/>
    <w:uiPriority w:val="29"/>
    <w:rsid w:val="00B874C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74C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eastAsia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74CC"/>
    <w:rPr>
      <w:b/>
      <w:i/>
      <w:color w:val="FFFFFF"/>
      <w:shd w:val="clear" w:color="auto" w:fill="C0504D"/>
    </w:rPr>
  </w:style>
  <w:style w:type="character" w:styleId="Accentuationlgre">
    <w:name w:val="Subtle Emphasis"/>
    <w:uiPriority w:val="19"/>
    <w:qFormat/>
    <w:rsid w:val="00B874CC"/>
    <w:rPr>
      <w:i/>
    </w:rPr>
  </w:style>
  <w:style w:type="character" w:styleId="Accentuationintense">
    <w:name w:val="Intense Emphasis"/>
    <w:uiPriority w:val="21"/>
    <w:qFormat/>
    <w:rsid w:val="00B874CC"/>
    <w:rPr>
      <w:b/>
      <w:i/>
      <w:color w:val="C0504D"/>
      <w:spacing w:val="10"/>
    </w:rPr>
  </w:style>
  <w:style w:type="character" w:styleId="Rfrencelgre">
    <w:name w:val="Subtle Reference"/>
    <w:uiPriority w:val="31"/>
    <w:qFormat/>
    <w:rsid w:val="00B874CC"/>
    <w:rPr>
      <w:b/>
    </w:rPr>
  </w:style>
  <w:style w:type="character" w:styleId="Rfrenceintense">
    <w:name w:val="Intense Reference"/>
    <w:uiPriority w:val="32"/>
    <w:qFormat/>
    <w:rsid w:val="00B874C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B874CC"/>
    <w:rPr>
      <w:rFonts w:ascii="Cambria" w:eastAsia="Times New Roman" w:hAnsi="Cambria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874CC"/>
    <w:pPr>
      <w:outlineLvl w:val="9"/>
    </w:pPr>
    <w:rPr>
      <w:lang w:val="en-US" w:eastAsia="en-US" w:bidi="en-US"/>
    </w:rPr>
  </w:style>
  <w:style w:type="paragraph" w:styleId="Notedebasdepage">
    <w:name w:val="footnote text"/>
    <w:aliases w:val="ALTS FOOTNOTE,fn,Footnotes,Footnote ak"/>
    <w:basedOn w:val="Normal"/>
    <w:link w:val="NotedebasdepageCar"/>
    <w:uiPriority w:val="99"/>
    <w:unhideWhenUsed/>
    <w:rsid w:val="000E6EC5"/>
    <w:pPr>
      <w:spacing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aliases w:val="ALTS FOOTNOTE Car,fn Car,Footnotes Car,Footnote ak Car"/>
    <w:basedOn w:val="Policepardfaut"/>
    <w:link w:val="Notedebasdepage"/>
    <w:uiPriority w:val="99"/>
    <w:rsid w:val="000E6EC5"/>
    <w:rPr>
      <w:rFonts w:ascii="Trebuchet MS" w:eastAsiaTheme="minorHAnsi" w:hAnsi="Trebuchet MS" w:cstheme="minorBidi"/>
      <w:sz w:val="18"/>
      <w:lang w:eastAsia="en-US"/>
    </w:rPr>
  </w:style>
  <w:style w:type="character" w:styleId="Appelnotedebasdep">
    <w:name w:val="footnote reference"/>
    <w:aliases w:val="Titre 1 Car1,Footnote Reference_LVL6"/>
    <w:basedOn w:val="Policepardfaut"/>
    <w:uiPriority w:val="99"/>
    <w:unhideWhenUsed/>
    <w:rsid w:val="000E6EC5"/>
    <w:rPr>
      <w:vertAlign w:val="superscript"/>
    </w:rPr>
  </w:style>
  <w:style w:type="paragraph" w:styleId="Corpsdetexte">
    <w:name w:val="Body Text"/>
    <w:basedOn w:val="Normal"/>
    <w:link w:val="CorpsdetexteCar"/>
    <w:rsid w:val="000E6EC5"/>
    <w:pPr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E6EC5"/>
    <w:rPr>
      <w:rFonts w:ascii="Times New Roman" w:hAnsi="Times New Roman"/>
      <w:sz w:val="24"/>
      <w:szCs w:val="24"/>
      <w:lang w:eastAsia="fr-FR"/>
    </w:rPr>
  </w:style>
  <w:style w:type="character" w:customStyle="1" w:styleId="LgendeCar">
    <w:name w:val="Légende Car"/>
    <w:link w:val="Lgende"/>
    <w:locked/>
    <w:rsid w:val="000E6EC5"/>
    <w:rPr>
      <w:b/>
      <w:bCs/>
      <w:caps/>
      <w:sz w:val="16"/>
      <w:szCs w:val="18"/>
      <w:lang w:val="en-US" w:eastAsia="en-US" w:bidi="en-US"/>
    </w:rPr>
  </w:style>
  <w:style w:type="character" w:customStyle="1" w:styleId="ParagraphedelisteCar">
    <w:name w:val="Paragraphe de liste Car"/>
    <w:aliases w:val="Lettre d'introduction Car"/>
    <w:basedOn w:val="Policepardfaut"/>
    <w:link w:val="Paragraphedeliste"/>
    <w:uiPriority w:val="99"/>
    <w:rsid w:val="000E6EC5"/>
    <w:rPr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EC5"/>
    <w:rPr>
      <w:rFonts w:ascii="Tahoma" w:eastAsiaTheme="minorHAnsi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228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228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2286F"/>
    <w:rPr>
      <w:rFonts w:ascii="Trebuchet MS" w:eastAsiaTheme="minorHAnsi" w:hAnsi="Trebuchet MS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8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86F"/>
    <w:rPr>
      <w:rFonts w:ascii="Trebuchet MS" w:eastAsiaTheme="minorHAnsi" w:hAnsi="Trebuchet MS" w:cstheme="minorBidi"/>
      <w:b/>
      <w:bCs/>
      <w:lang w:eastAsia="en-US"/>
    </w:rPr>
  </w:style>
  <w:style w:type="character" w:customStyle="1" w:styleId="apple-converted-space">
    <w:name w:val="apple-converted-space"/>
    <w:basedOn w:val="Policepardfaut"/>
    <w:rsid w:val="003A6E59"/>
  </w:style>
  <w:style w:type="paragraph" w:styleId="En-tte">
    <w:name w:val="header"/>
    <w:basedOn w:val="Normal"/>
    <w:link w:val="En-tteCar"/>
    <w:uiPriority w:val="99"/>
    <w:unhideWhenUsed/>
    <w:rsid w:val="00F8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2DA"/>
    <w:rPr>
      <w:rFonts w:ascii="Trebuchet MS" w:eastAsiaTheme="minorHAnsi" w:hAnsi="Trebuchet MS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2DA"/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Default">
    <w:name w:val="Default"/>
    <w:rsid w:val="0057103B"/>
    <w:pPr>
      <w:autoSpaceDE w:val="0"/>
      <w:autoSpaceDN w:val="0"/>
      <w:adjustRightInd w:val="0"/>
    </w:pPr>
    <w:rPr>
      <w:rFonts w:ascii="Times" w:eastAsiaTheme="minorHAnsi" w:hAnsi="Times" w:cs="Times"/>
      <w:color w:val="000000"/>
      <w:sz w:val="24"/>
      <w:szCs w:val="24"/>
      <w:lang w:val="fr-FR" w:eastAsia="en-US"/>
    </w:rPr>
  </w:style>
  <w:style w:type="paragraph" w:styleId="Rvision">
    <w:name w:val="Revision"/>
    <w:hidden/>
    <w:uiPriority w:val="99"/>
    <w:semiHidden/>
    <w:rsid w:val="00A22E64"/>
    <w:rPr>
      <w:rFonts w:ascii="Trebuchet MS" w:eastAsiaTheme="minorHAnsi" w:hAnsi="Trebuchet MS" w:cstheme="minorBidi"/>
      <w:sz w:val="22"/>
      <w:szCs w:val="22"/>
      <w:lang w:eastAsia="en-US"/>
    </w:rPr>
  </w:style>
  <w:style w:type="table" w:styleId="Tableausimple3">
    <w:name w:val="Plain Table 3"/>
    <w:basedOn w:val="TableauNormal"/>
    <w:uiPriority w:val="43"/>
    <w:rsid w:val="002F71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BA125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1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ghgprotocol.org/sites/default/files/ghgp/Global-Warming-Potential-Values%20%28Feb%2016%202016%29_1.pdf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cc-nggip.iges.or.jp/public/2019rf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3.xml"/><Relationship Id="rId10" Type="http://schemas.openxmlformats.org/officeDocument/2006/relationships/hyperlink" Target="https://www.ipcc-nggip.iges.or.jp/public/2006g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dr.eionet.europa.eu/be/eu/govreg/inventory/envz91a2q/NID_Belgium_sub2025_final.pdf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walloniegov-my.sharepoint.com/personal/regis_deschamps_spw_wallonie_be/Documents/GT%20Inventaire/2025%20Belgique/Wal%20Janvier%202025/Site%20web%20-%20communication/AWAC-%20RD%20-%20Figures%20pour%20site%20internet%20-%202503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'WAL 1990-2023'!$A$53</c:f>
              <c:strCache>
                <c:ptCount val="1"/>
                <c:pt idx="0">
                  <c:v>Evolution des émissions (secteurs ETS) en % depuis 2005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'WAL 1990-2023'!$B$48:$T$48</c:f>
              <c:numCache>
                <c:formatCode>General</c:formatCode>
                <c:ptCount val="1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</c:numCache>
            </c:numRef>
          </c:cat>
          <c:val>
            <c:numRef>
              <c:f>'WAL 1990-2023'!$B$53:$T$53</c:f>
              <c:numCache>
                <c:formatCode>0%</c:formatCode>
                <c:ptCount val="19"/>
                <c:pt idx="0">
                  <c:v>0</c:v>
                </c:pt>
                <c:pt idx="1">
                  <c:v>6.3611613639482289E-4</c:v>
                </c:pt>
                <c:pt idx="2">
                  <c:v>-5.6555636156682659E-2</c:v>
                </c:pt>
                <c:pt idx="3">
                  <c:v>-5.8529641924577817E-2</c:v>
                </c:pt>
                <c:pt idx="4">
                  <c:v>-0.37861474860557587</c:v>
                </c:pt>
                <c:pt idx="5">
                  <c:v>-0.29528906377859071</c:v>
                </c:pt>
                <c:pt idx="6">
                  <c:v>-0.32777512690991495</c:v>
                </c:pt>
                <c:pt idx="7">
                  <c:v>-0.44537493549452473</c:v>
                </c:pt>
                <c:pt idx="8">
                  <c:v>-0.42214285898587078</c:v>
                </c:pt>
                <c:pt idx="9">
                  <c:v>-0.43440055799079091</c:v>
                </c:pt>
                <c:pt idx="10">
                  <c:v>-0.44322357081669084</c:v>
                </c:pt>
                <c:pt idx="11">
                  <c:v>-0.44818920229949122</c:v>
                </c:pt>
                <c:pt idx="12">
                  <c:v>-0.4571710368204624</c:v>
                </c:pt>
                <c:pt idx="13">
                  <c:v>-0.4357857669959026</c:v>
                </c:pt>
                <c:pt idx="14">
                  <c:v>-0.41291558113166921</c:v>
                </c:pt>
                <c:pt idx="15">
                  <c:v>-0.43205076175437207</c:v>
                </c:pt>
                <c:pt idx="16">
                  <c:v>-0.46467502735609328</c:v>
                </c:pt>
                <c:pt idx="17">
                  <c:v>-0.50049579288451096</c:v>
                </c:pt>
                <c:pt idx="18">
                  <c:v>-0.56599970661365395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A8-4F2F-ADE6-00477C682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6336575"/>
        <c:axId val="516336095"/>
      </c:lineChart>
      <c:catAx>
        <c:axId val="516336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6336095"/>
        <c:crosses val="autoZero"/>
        <c:auto val="1"/>
        <c:lblAlgn val="ctr"/>
        <c:lblOffset val="100"/>
        <c:noMultiLvlLbl val="0"/>
      </c:catAx>
      <c:valAx>
        <c:axId val="516336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6336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E4F9-3009-47EE-A28D-4B0A6530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1244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S.P.W.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GUNS</dc:creator>
  <cp:lastModifiedBy>DESCHAMPS Régis</cp:lastModifiedBy>
  <cp:revision>4</cp:revision>
  <cp:lastPrinted>2023-04-26T09:47:00Z</cp:lastPrinted>
  <dcterms:created xsi:type="dcterms:W3CDTF">2025-03-26T10:19:00Z</dcterms:created>
  <dcterms:modified xsi:type="dcterms:W3CDTF">2025-04-11T12:02:00Z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2022-03-21T12:58:32Z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22ed80e4-b2f0-447f-8d0b-bbfc116551ba</vt:lpwstr>
  </property>
  <property fmtid="{D5CDD505-2E9C-101B-9397-08002B2CF9AE}" pid="8" name="MSIP_Label_e72a09c5-6e26-4737-a926-47ef1ab198ae_ContentBits">
    <vt:lpwstr>8</vt:lpwstr>
  </property>
</Properties>
</file>