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3832"/>
        <w:gridCol w:w="2696"/>
      </w:tblGrid>
      <w:tr w:rsidR="001D2E58" w:rsidRPr="0068452F" w14:paraId="0159089B" w14:textId="77777777" w:rsidTr="5FB5DDAF">
        <w:trPr>
          <w:trHeight w:val="750"/>
        </w:trPr>
        <w:tc>
          <w:tcPr>
            <w:tcW w:w="2663" w:type="dxa"/>
            <w:tcBorders>
              <w:bottom w:val="single" w:sz="4" w:space="0" w:color="auto"/>
              <w:right w:val="single" w:sz="4" w:space="0" w:color="auto"/>
            </w:tcBorders>
          </w:tcPr>
          <w:p w14:paraId="21E25C60" w14:textId="77777777" w:rsidR="001D2E58" w:rsidRPr="0068452F" w:rsidRDefault="001D2E58" w:rsidP="0022143C">
            <w:pPr>
              <w:jc w:val="center"/>
              <w:rPr>
                <w:rFonts w:asciiTheme="minorHAnsi" w:hAnsiTheme="minorHAnsi" w:cstheme="minorHAnsi"/>
              </w:rPr>
            </w:pPr>
            <w:r w:rsidRPr="0068452F">
              <w:rPr>
                <w:rFonts w:asciiTheme="minorHAnsi" w:hAnsiTheme="minorHAnsi" w:cstheme="minorHAnsi"/>
                <w:noProof/>
                <w:lang w:val="fr-FR" w:eastAsia="fr-FR"/>
              </w:rPr>
              <w:drawing>
                <wp:inline distT="0" distB="0" distL="0" distR="0" wp14:anchorId="0031A48C" wp14:editId="0B8230BB">
                  <wp:extent cx="1362075" cy="533400"/>
                  <wp:effectExtent l="19050" t="0" r="9525" b="0"/>
                  <wp:docPr id="10" name="Image 1" descr="logo Air lé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ir léger"/>
                          <pic:cNvPicPr>
                            <a:picLocks noChangeAspect="1" noChangeArrowheads="1"/>
                          </pic:cNvPicPr>
                        </pic:nvPicPr>
                        <pic:blipFill>
                          <a:blip r:embed="rId11" cstate="print"/>
                          <a:srcRect/>
                          <a:stretch>
                            <a:fillRect/>
                          </a:stretch>
                        </pic:blipFill>
                        <pic:spPr bwMode="auto">
                          <a:xfrm>
                            <a:off x="0" y="0"/>
                            <a:ext cx="1362075" cy="533400"/>
                          </a:xfrm>
                          <a:prstGeom prst="rect">
                            <a:avLst/>
                          </a:prstGeom>
                          <a:noFill/>
                          <a:ln w="9525">
                            <a:noFill/>
                            <a:miter lim="800000"/>
                            <a:headEnd/>
                            <a:tailEnd/>
                          </a:ln>
                        </pic:spPr>
                      </pic:pic>
                    </a:graphicData>
                  </a:graphic>
                </wp:inline>
              </w:drawing>
            </w:r>
          </w:p>
        </w:tc>
        <w:tc>
          <w:tcPr>
            <w:tcW w:w="3832" w:type="dxa"/>
            <w:tcBorders>
              <w:left w:val="single" w:sz="4" w:space="0" w:color="auto"/>
              <w:bottom w:val="single" w:sz="4" w:space="0" w:color="auto"/>
              <w:right w:val="single" w:sz="4" w:space="0" w:color="auto"/>
            </w:tcBorders>
          </w:tcPr>
          <w:p w14:paraId="03FE8341" w14:textId="77777777" w:rsidR="001D2E58" w:rsidRPr="0068452F" w:rsidRDefault="001D2E58" w:rsidP="0022143C">
            <w:pPr>
              <w:rPr>
                <w:rFonts w:asciiTheme="minorHAnsi" w:hAnsiTheme="minorHAnsi" w:cstheme="minorHAnsi"/>
              </w:rPr>
            </w:pPr>
          </w:p>
          <w:p w14:paraId="55FE06D0" w14:textId="77777777" w:rsidR="001D2E58" w:rsidRPr="0068452F" w:rsidRDefault="001D2E58" w:rsidP="0022143C">
            <w:pPr>
              <w:jc w:val="center"/>
              <w:rPr>
                <w:rFonts w:asciiTheme="minorHAnsi" w:hAnsiTheme="minorHAnsi" w:cstheme="minorHAnsi"/>
                <w:b/>
                <w:lang w:val="en-US"/>
              </w:rPr>
            </w:pPr>
          </w:p>
        </w:tc>
        <w:tc>
          <w:tcPr>
            <w:tcW w:w="2696" w:type="dxa"/>
            <w:tcBorders>
              <w:left w:val="single" w:sz="4" w:space="0" w:color="auto"/>
              <w:bottom w:val="single" w:sz="4" w:space="0" w:color="auto"/>
            </w:tcBorders>
          </w:tcPr>
          <w:p w14:paraId="0D584E3B" w14:textId="77777777" w:rsidR="001D2E58" w:rsidRPr="0068452F" w:rsidRDefault="001D2E58" w:rsidP="0022143C">
            <w:pPr>
              <w:rPr>
                <w:rFonts w:asciiTheme="minorHAnsi" w:hAnsiTheme="minorHAnsi" w:cstheme="minorHAnsi"/>
                <w:lang w:val="en-US"/>
              </w:rPr>
            </w:pPr>
          </w:p>
          <w:p w14:paraId="0FBDD9CB" w14:textId="249D10AF" w:rsidR="001D2E58" w:rsidRPr="0068452F" w:rsidRDefault="648B6EC7" w:rsidP="35DAFC00">
            <w:pPr>
              <w:rPr>
                <w:rFonts w:asciiTheme="minorHAnsi" w:hAnsiTheme="minorHAnsi"/>
                <w:b/>
                <w:bCs/>
              </w:rPr>
            </w:pPr>
            <w:r w:rsidRPr="5FB5DDAF">
              <w:rPr>
                <w:rFonts w:asciiTheme="minorHAnsi" w:hAnsiTheme="minorHAnsi"/>
                <w:b/>
                <w:bCs/>
              </w:rPr>
              <w:t>2</w:t>
            </w:r>
            <w:r w:rsidR="71C03B19" w:rsidRPr="5FB5DDAF">
              <w:rPr>
                <w:rFonts w:asciiTheme="minorHAnsi" w:hAnsiTheme="minorHAnsi"/>
                <w:b/>
                <w:bCs/>
              </w:rPr>
              <w:t>7</w:t>
            </w:r>
            <w:r w:rsidRPr="5FB5DDAF">
              <w:rPr>
                <w:rFonts w:asciiTheme="minorHAnsi" w:hAnsiTheme="minorHAnsi"/>
                <w:b/>
                <w:bCs/>
              </w:rPr>
              <w:t xml:space="preserve"> </w:t>
            </w:r>
            <w:proofErr w:type="gramStart"/>
            <w:r w:rsidRPr="5FB5DDAF">
              <w:rPr>
                <w:rFonts w:asciiTheme="minorHAnsi" w:hAnsiTheme="minorHAnsi"/>
                <w:b/>
                <w:bCs/>
              </w:rPr>
              <w:t>Mars</w:t>
            </w:r>
            <w:proofErr w:type="gramEnd"/>
            <w:r w:rsidRPr="5FB5DDAF">
              <w:rPr>
                <w:rFonts w:asciiTheme="minorHAnsi" w:hAnsiTheme="minorHAnsi"/>
                <w:b/>
                <w:bCs/>
              </w:rPr>
              <w:t xml:space="preserve"> 202</w:t>
            </w:r>
            <w:r w:rsidR="722E89BB" w:rsidRPr="5FB5DDAF">
              <w:rPr>
                <w:rFonts w:asciiTheme="minorHAnsi" w:hAnsiTheme="minorHAnsi"/>
                <w:b/>
                <w:bCs/>
              </w:rPr>
              <w:t>6</w:t>
            </w:r>
          </w:p>
        </w:tc>
      </w:tr>
      <w:tr w:rsidR="001D2E58" w:rsidRPr="0068452F" w14:paraId="3C8A4999" w14:textId="77777777" w:rsidTr="5FB5DDAF">
        <w:trPr>
          <w:trHeight w:val="785"/>
        </w:trPr>
        <w:tc>
          <w:tcPr>
            <w:tcW w:w="2663" w:type="dxa"/>
            <w:tcBorders>
              <w:top w:val="single" w:sz="4" w:space="0" w:color="auto"/>
              <w:bottom w:val="single" w:sz="4" w:space="0" w:color="auto"/>
            </w:tcBorders>
          </w:tcPr>
          <w:p w14:paraId="0F51E4E4" w14:textId="77777777" w:rsidR="001D2E58" w:rsidRPr="0068452F" w:rsidRDefault="001D2E58" w:rsidP="00D83FAD">
            <w:pPr>
              <w:jc w:val="center"/>
              <w:rPr>
                <w:rFonts w:asciiTheme="minorHAnsi" w:hAnsiTheme="minorHAnsi" w:cstheme="minorHAnsi"/>
                <w:i/>
              </w:rPr>
            </w:pPr>
          </w:p>
        </w:tc>
        <w:tc>
          <w:tcPr>
            <w:tcW w:w="6528" w:type="dxa"/>
            <w:gridSpan w:val="2"/>
            <w:tcBorders>
              <w:top w:val="single" w:sz="4" w:space="0" w:color="auto"/>
              <w:bottom w:val="single" w:sz="4" w:space="0" w:color="auto"/>
            </w:tcBorders>
          </w:tcPr>
          <w:p w14:paraId="53C6CB54" w14:textId="76924E3C" w:rsidR="001D2E58" w:rsidRPr="00BA42DD" w:rsidRDefault="001D2E58" w:rsidP="00B761C0">
            <w:pPr>
              <w:spacing w:before="120"/>
              <w:jc w:val="center"/>
              <w:rPr>
                <w:rFonts w:asciiTheme="minorHAnsi" w:hAnsiTheme="minorHAnsi"/>
                <w:b/>
                <w:smallCaps/>
              </w:rPr>
            </w:pPr>
            <w:r w:rsidRPr="664E4FF4">
              <w:rPr>
                <w:rFonts w:asciiTheme="minorHAnsi" w:hAnsiTheme="minorHAnsi"/>
                <w:b/>
                <w:smallCaps/>
              </w:rPr>
              <w:t>Emissions de GES en Wallonie 1990-</w:t>
            </w:r>
            <w:r w:rsidR="00861C3B" w:rsidRPr="664E4FF4">
              <w:rPr>
                <w:rFonts w:asciiTheme="minorHAnsi" w:hAnsiTheme="minorHAnsi"/>
                <w:b/>
                <w:smallCaps/>
              </w:rPr>
              <w:t>202</w:t>
            </w:r>
            <w:r w:rsidR="0015238D" w:rsidRPr="664E4FF4">
              <w:rPr>
                <w:rFonts w:asciiTheme="minorHAnsi" w:hAnsiTheme="minorHAnsi"/>
                <w:b/>
                <w:smallCaps/>
              </w:rPr>
              <w:t>4</w:t>
            </w:r>
          </w:p>
          <w:p w14:paraId="0C7340D1" w14:textId="4DFBD768" w:rsidR="001D2E58" w:rsidRPr="0068452F" w:rsidRDefault="001D2E58" w:rsidP="0057103B">
            <w:pPr>
              <w:jc w:val="center"/>
              <w:rPr>
                <w:rFonts w:asciiTheme="minorHAnsi" w:hAnsiTheme="minorHAnsi" w:cstheme="minorHAnsi"/>
              </w:rPr>
            </w:pPr>
            <w:r w:rsidRPr="0068452F">
              <w:rPr>
                <w:rFonts w:asciiTheme="minorHAnsi" w:hAnsiTheme="minorHAnsi" w:cstheme="minorHAnsi"/>
                <w:smallCaps/>
              </w:rPr>
              <w:t>Soumission d</w:t>
            </w:r>
            <w:r w:rsidR="002B43BC" w:rsidRPr="0068452F">
              <w:rPr>
                <w:rFonts w:asciiTheme="minorHAnsi" w:hAnsiTheme="minorHAnsi" w:cstheme="minorHAnsi"/>
                <w:smallCaps/>
              </w:rPr>
              <w:t xml:space="preserve">u </w:t>
            </w:r>
            <w:r w:rsidR="00805CFF">
              <w:rPr>
                <w:rFonts w:asciiTheme="minorHAnsi" w:hAnsiTheme="minorHAnsi" w:cstheme="minorHAnsi"/>
                <w:smallCaps/>
              </w:rPr>
              <w:t>15 Mars 20</w:t>
            </w:r>
            <w:r w:rsidR="0015238D">
              <w:rPr>
                <w:rFonts w:asciiTheme="minorHAnsi" w:hAnsiTheme="minorHAnsi" w:cstheme="minorHAnsi"/>
                <w:smallCaps/>
              </w:rPr>
              <w:t>26</w:t>
            </w:r>
          </w:p>
        </w:tc>
      </w:tr>
    </w:tbl>
    <w:p w14:paraId="32EE687B" w14:textId="07571525" w:rsidR="004636D5" w:rsidRDefault="40A90F03" w:rsidP="004636D5">
      <w:pPr>
        <w:pStyle w:val="Titre1"/>
      </w:pPr>
      <w:r>
        <w:t>Rappel du contexte</w:t>
      </w:r>
    </w:p>
    <w:p w14:paraId="114FDF14" w14:textId="7AFC2A2E" w:rsidR="004636D5" w:rsidRDefault="40A90F03" w:rsidP="001D2E58">
      <w:pPr>
        <w:rPr>
          <w:rFonts w:ascii="Calibri" w:hAnsi="Calibri" w:cs="Calibri"/>
        </w:rPr>
      </w:pPr>
      <w:r w:rsidRPr="35DAFC00">
        <w:rPr>
          <w:rFonts w:ascii="Calibri" w:hAnsi="Calibri" w:cs="Calibri"/>
        </w:rPr>
        <w:t xml:space="preserve">L’inventaire wallon des émissions de gaz à effet de serre, additionné aux inventaires de la Région flamande et de la Région de Bruxelles-Capitale, forme </w:t>
      </w:r>
      <w:hyperlink r:id="rId12">
        <w:r w:rsidRPr="35DAFC00">
          <w:rPr>
            <w:rStyle w:val="Lienhypertexte"/>
            <w:rFonts w:ascii="Calibri" w:hAnsi="Calibri" w:cs="Calibri"/>
          </w:rPr>
          <w:t>l’inventaire belge</w:t>
        </w:r>
      </w:hyperlink>
      <w:r w:rsidRPr="35DAFC00">
        <w:rPr>
          <w:rFonts w:ascii="Calibri" w:hAnsi="Calibri" w:cs="Calibri"/>
        </w:rPr>
        <w:t xml:space="preserve"> rapporté annuellement par la Belgique dans le cadre des Accords de Paris et des engagements européens (</w:t>
      </w:r>
      <w:r w:rsidR="452E3813" w:rsidRPr="35DAFC00">
        <w:rPr>
          <w:rFonts w:ascii="Calibri" w:hAnsi="Calibri" w:cs="Calibri"/>
        </w:rPr>
        <w:t>R</w:t>
      </w:r>
      <w:r w:rsidR="34679D73" w:rsidRPr="35DAFC00">
        <w:rPr>
          <w:rFonts w:ascii="Calibri" w:hAnsi="Calibri" w:cs="Calibri"/>
        </w:rPr>
        <w:t>èglement</w:t>
      </w:r>
      <w:r w:rsidR="452E3813" w:rsidRPr="35DAFC00">
        <w:rPr>
          <w:rFonts w:ascii="Calibri" w:hAnsi="Calibri" w:cs="Calibri"/>
        </w:rPr>
        <w:t xml:space="preserve"> (EU): </w:t>
      </w:r>
      <w:hyperlink r:id="rId13">
        <w:r w:rsidR="452E3813" w:rsidRPr="35DAFC00">
          <w:rPr>
            <w:rStyle w:val="Lienhypertexte"/>
            <w:rFonts w:ascii="Calibri" w:hAnsi="Calibri" w:cs="Calibri"/>
          </w:rPr>
          <w:t>2018/1999</w:t>
        </w:r>
      </w:hyperlink>
      <w:r w:rsidR="452E3813" w:rsidRPr="35DAFC00">
        <w:rPr>
          <w:rFonts w:ascii="Calibri" w:hAnsi="Calibri" w:cs="Calibri"/>
        </w:rPr>
        <w:t xml:space="preserve">, </w:t>
      </w:r>
      <w:hyperlink r:id="rId14">
        <w:r w:rsidR="452E3813" w:rsidRPr="35DAFC00">
          <w:rPr>
            <w:rStyle w:val="Lienhypertexte"/>
            <w:rFonts w:ascii="Calibri" w:hAnsi="Calibri" w:cs="Calibri"/>
          </w:rPr>
          <w:t>2018/842</w:t>
        </w:r>
      </w:hyperlink>
      <w:r w:rsidR="452E3813" w:rsidRPr="35DAFC00">
        <w:rPr>
          <w:rFonts w:ascii="Calibri" w:hAnsi="Calibri" w:cs="Calibri"/>
        </w:rPr>
        <w:t xml:space="preserve">, </w:t>
      </w:r>
      <w:hyperlink r:id="rId15">
        <w:r w:rsidR="452E3813" w:rsidRPr="35DAFC00">
          <w:rPr>
            <w:rStyle w:val="Lienhypertexte"/>
            <w:rFonts w:ascii="Calibri" w:hAnsi="Calibri" w:cs="Calibri"/>
          </w:rPr>
          <w:t>2023/857</w:t>
        </w:r>
        <w:r w:rsidR="5281F33A" w:rsidRPr="35DAFC00">
          <w:rPr>
            <w:rStyle w:val="Lienhypertexte"/>
            <w:rFonts w:ascii="Calibri" w:hAnsi="Calibri" w:cs="Calibri"/>
          </w:rPr>
          <w:t>,</w:t>
        </w:r>
      </w:hyperlink>
      <w:r w:rsidR="5281F33A" w:rsidRPr="35DAFC00">
        <w:rPr>
          <w:rFonts w:ascii="Calibri" w:hAnsi="Calibri" w:cs="Calibri"/>
        </w:rPr>
        <w:t xml:space="preserve"> </w:t>
      </w:r>
      <w:hyperlink r:id="rId16">
        <w:r w:rsidR="5281F33A" w:rsidRPr="35DAFC00">
          <w:rPr>
            <w:rStyle w:val="Lienhypertexte"/>
            <w:rFonts w:ascii="Calibri" w:hAnsi="Calibri" w:cs="Calibri"/>
          </w:rPr>
          <w:t>2018/841</w:t>
        </w:r>
      </w:hyperlink>
      <w:r w:rsidR="5281F33A" w:rsidRPr="35DAFC00">
        <w:rPr>
          <w:rFonts w:ascii="Calibri" w:hAnsi="Calibri" w:cs="Calibri"/>
        </w:rPr>
        <w:t>,...</w:t>
      </w:r>
      <w:r w:rsidRPr="35DAFC00">
        <w:rPr>
          <w:rFonts w:ascii="Calibri" w:hAnsi="Calibri" w:cs="Calibri"/>
        </w:rPr>
        <w:t xml:space="preserve">). </w:t>
      </w:r>
    </w:p>
    <w:p w14:paraId="560623D9" w14:textId="77777777" w:rsidR="004636D5" w:rsidRDefault="40A90F03" w:rsidP="35DAFC00">
      <w:pPr>
        <w:rPr>
          <w:rFonts w:asciiTheme="minorHAnsi" w:hAnsiTheme="minorHAnsi"/>
        </w:rPr>
      </w:pPr>
      <w:r w:rsidRPr="35DAFC00">
        <w:rPr>
          <w:rFonts w:asciiTheme="minorHAnsi" w:hAnsiTheme="minorHAnsi"/>
        </w:rPr>
        <w:t xml:space="preserve">Cet inventaire est élaboré selon les </w:t>
      </w:r>
      <w:hyperlink r:id="rId17" w:history="1">
        <w:r w:rsidRPr="35DAFC00">
          <w:rPr>
            <w:rStyle w:val="Lienhypertexte"/>
            <w:rFonts w:asciiTheme="minorHAnsi" w:hAnsiTheme="minorHAnsi"/>
          </w:rPr>
          <w:t>lignes directrices du GIEC de 2006</w:t>
        </w:r>
      </w:hyperlink>
      <w:r w:rsidRPr="35DAFC00">
        <w:rPr>
          <w:rFonts w:asciiTheme="minorHAnsi" w:hAnsiTheme="minorHAnsi"/>
        </w:rPr>
        <w:t xml:space="preserve"> (hormis le secteur agricole suivant la </w:t>
      </w:r>
      <w:hyperlink r:id="rId18" w:history="1">
        <w:r w:rsidRPr="35DAFC00">
          <w:rPr>
            <w:rStyle w:val="Lienhypertexte"/>
            <w:rFonts w:asciiTheme="minorHAnsi" w:hAnsiTheme="minorHAnsi"/>
          </w:rPr>
          <w:t>consolidation de 2019</w:t>
        </w:r>
      </w:hyperlink>
      <w:r w:rsidRPr="35DAFC00">
        <w:rPr>
          <w:rFonts w:asciiTheme="minorHAnsi" w:hAnsiTheme="minorHAnsi"/>
        </w:rPr>
        <w:t xml:space="preserve">) et les </w:t>
      </w:r>
      <w:hyperlink r:id="rId19" w:history="1">
        <w:r w:rsidRPr="35DAFC00">
          <w:rPr>
            <w:rStyle w:val="Lienhypertexte"/>
            <w:rFonts w:asciiTheme="minorHAnsi" w:hAnsiTheme="minorHAnsi"/>
          </w:rPr>
          <w:t>potentiels de réchauffement global</w:t>
        </w:r>
      </w:hyperlink>
      <w:r w:rsidRPr="35DAFC00">
        <w:rPr>
          <w:rFonts w:asciiTheme="minorHAnsi" w:hAnsiTheme="minorHAnsi"/>
        </w:rPr>
        <w:t xml:space="preserve"> (PRG) applicables pour la période 2021-2030</w:t>
      </w:r>
      <w:r w:rsidR="004636D5" w:rsidRPr="0068452F">
        <w:rPr>
          <w:rStyle w:val="Appelnotedebasdep"/>
          <w:rFonts w:asciiTheme="minorHAnsi" w:hAnsiTheme="minorHAnsi" w:cstheme="minorHAnsi"/>
        </w:rPr>
        <w:footnoteReference w:id="1"/>
      </w:r>
      <w:r w:rsidRPr="35DAFC00">
        <w:rPr>
          <w:rFonts w:asciiTheme="minorHAnsi" w:hAnsiTheme="minorHAnsi"/>
        </w:rPr>
        <w:t>.</w:t>
      </w:r>
    </w:p>
    <w:p w14:paraId="0028D038" w14:textId="2247F755" w:rsidR="00361D2D" w:rsidRPr="00805CFF" w:rsidRDefault="5ADD1944" w:rsidP="35DAFC00">
      <w:pPr>
        <w:rPr>
          <w:rStyle w:val="Appelnotedebasdep"/>
          <w:rFonts w:asciiTheme="minorHAnsi" w:hAnsiTheme="minorHAnsi"/>
        </w:rPr>
      </w:pPr>
      <w:r w:rsidRPr="35DAFC00">
        <w:rPr>
          <w:rFonts w:asciiTheme="minorHAnsi" w:hAnsiTheme="minorHAnsi"/>
        </w:rPr>
        <w:t>L</w:t>
      </w:r>
      <w:r w:rsidR="47D77863" w:rsidRPr="35DAFC00">
        <w:rPr>
          <w:rFonts w:asciiTheme="minorHAnsi" w:hAnsiTheme="minorHAnsi"/>
        </w:rPr>
        <w:t xml:space="preserve">a Wallonie a émis </w:t>
      </w:r>
      <w:r w:rsidR="5BD61CDD" w:rsidRPr="35DAFC00">
        <w:rPr>
          <w:rFonts w:asciiTheme="minorHAnsi" w:hAnsiTheme="minorHAnsi"/>
        </w:rPr>
        <w:t>2</w:t>
      </w:r>
      <w:r w:rsidR="1A564642" w:rsidRPr="35DAFC00">
        <w:rPr>
          <w:rFonts w:asciiTheme="minorHAnsi" w:hAnsiTheme="minorHAnsi"/>
        </w:rPr>
        <w:t>8</w:t>
      </w:r>
      <w:r w:rsidR="5BD61CDD" w:rsidRPr="35DAFC00">
        <w:rPr>
          <w:rFonts w:asciiTheme="minorHAnsi" w:hAnsiTheme="minorHAnsi"/>
        </w:rPr>
        <w:t>.</w:t>
      </w:r>
      <w:r w:rsidR="1A564642" w:rsidRPr="35DAFC00">
        <w:rPr>
          <w:rFonts w:asciiTheme="minorHAnsi" w:hAnsiTheme="minorHAnsi"/>
        </w:rPr>
        <w:t>5</w:t>
      </w:r>
      <w:r w:rsidR="311F6B7F" w:rsidRPr="35DAFC00">
        <w:rPr>
          <w:rFonts w:asciiTheme="minorHAnsi" w:hAnsiTheme="minorHAnsi"/>
        </w:rPr>
        <w:t xml:space="preserve"> </w:t>
      </w:r>
      <w:r w:rsidR="47D77863" w:rsidRPr="35DAFC00">
        <w:rPr>
          <w:rFonts w:asciiTheme="minorHAnsi" w:hAnsiTheme="minorHAnsi"/>
        </w:rPr>
        <w:t>millions de tonnes de CO</w:t>
      </w:r>
      <w:r w:rsidR="47D77863" w:rsidRPr="35DAFC00">
        <w:rPr>
          <w:rFonts w:asciiTheme="minorHAnsi" w:hAnsiTheme="minorHAnsi"/>
          <w:snapToGrid w:val="0"/>
          <w:vertAlign w:val="subscript"/>
        </w:rPr>
        <w:t>2</w:t>
      </w:r>
      <w:r w:rsidR="47D77863" w:rsidRPr="35DAFC00">
        <w:rPr>
          <w:rFonts w:asciiTheme="minorHAnsi" w:hAnsiTheme="minorHAnsi"/>
        </w:rPr>
        <w:t>-équivalents</w:t>
      </w:r>
      <w:r w:rsidR="2566C2F9" w:rsidRPr="35DAFC00">
        <w:rPr>
          <w:rFonts w:asciiTheme="minorHAnsi" w:hAnsiTheme="minorHAnsi"/>
        </w:rPr>
        <w:t xml:space="preserve"> en </w:t>
      </w:r>
      <w:r w:rsidR="311F6B7F" w:rsidRPr="35DAFC00">
        <w:rPr>
          <w:rFonts w:asciiTheme="minorHAnsi" w:hAnsiTheme="minorHAnsi"/>
        </w:rPr>
        <w:t>202</w:t>
      </w:r>
      <w:r w:rsidR="1A564642" w:rsidRPr="35DAFC00">
        <w:rPr>
          <w:rFonts w:asciiTheme="minorHAnsi" w:hAnsiTheme="minorHAnsi"/>
        </w:rPr>
        <w:t>4</w:t>
      </w:r>
      <w:r w:rsidR="47D77863" w:rsidRPr="35DAFC00">
        <w:rPr>
          <w:rFonts w:asciiTheme="minorHAnsi" w:hAnsiTheme="minorHAnsi"/>
        </w:rPr>
        <w:t xml:space="preserve">, soit </w:t>
      </w:r>
      <w:r w:rsidR="35D27278" w:rsidRPr="35DAFC00">
        <w:rPr>
          <w:rFonts w:asciiTheme="minorHAnsi" w:hAnsiTheme="minorHAnsi"/>
        </w:rPr>
        <w:t>29</w:t>
      </w:r>
      <w:r w:rsidR="47D77863" w:rsidRPr="35DAFC00">
        <w:rPr>
          <w:rFonts w:asciiTheme="minorHAnsi" w:hAnsiTheme="minorHAnsi"/>
        </w:rPr>
        <w:t xml:space="preserve">% des émissions annuelles de la </w:t>
      </w:r>
      <w:hyperlink r:id="rId20">
        <w:r w:rsidR="4C3AA149" w:rsidRPr="35DAFC00">
          <w:rPr>
            <w:rStyle w:val="Lienhypertexte"/>
            <w:rFonts w:asciiTheme="minorHAnsi" w:hAnsiTheme="minorHAnsi"/>
          </w:rPr>
          <w:t>Belgique</w:t>
        </w:r>
      </w:hyperlink>
      <w:r w:rsidR="4C3AA149" w:rsidRPr="35DAFC00">
        <w:rPr>
          <w:rFonts w:asciiTheme="minorHAnsi" w:hAnsiTheme="minorHAnsi"/>
        </w:rPr>
        <w:t xml:space="preserve"> (hors secteur </w:t>
      </w:r>
      <w:r w:rsidR="1B001F6C" w:rsidRPr="35DAFC00">
        <w:rPr>
          <w:rFonts w:asciiTheme="minorHAnsi" w:hAnsiTheme="minorHAnsi"/>
        </w:rPr>
        <w:t>UTCATF</w:t>
      </w:r>
      <w:r w:rsidR="7DCB7FDD" w:rsidRPr="35DAFC00">
        <w:rPr>
          <w:rFonts w:asciiTheme="minorHAnsi" w:hAnsiTheme="minorHAnsi"/>
        </w:rPr>
        <w:t>, traduction de LULUCF en anglais</w:t>
      </w:r>
      <w:r w:rsidR="4C3AA149" w:rsidRPr="35DAFC00">
        <w:rPr>
          <w:rFonts w:asciiTheme="minorHAnsi" w:hAnsiTheme="minorHAnsi"/>
        </w:rPr>
        <w:t>)</w:t>
      </w:r>
      <w:r w:rsidR="5DA58550" w:rsidRPr="35DAFC00">
        <w:rPr>
          <w:rFonts w:asciiTheme="minorHAnsi" w:hAnsiTheme="minorHAnsi"/>
        </w:rPr>
        <w:t>.</w:t>
      </w:r>
    </w:p>
    <w:p w14:paraId="7BB732FC" w14:textId="143EFC0A" w:rsidR="00197FDF" w:rsidRPr="008D6507" w:rsidRDefault="4D3CDA74" w:rsidP="00180F55">
      <w:pPr>
        <w:tabs>
          <w:tab w:val="left" w:pos="576"/>
        </w:tabs>
        <w:rPr>
          <w:rFonts w:ascii="Calibri" w:hAnsi="Calibri" w:cs="Calibri"/>
        </w:rPr>
      </w:pPr>
      <w:r w:rsidRPr="008D6507">
        <w:rPr>
          <w:rFonts w:ascii="Calibri" w:hAnsi="Calibri" w:cs="Calibri"/>
        </w:rPr>
        <w:t>L</w:t>
      </w:r>
      <w:r w:rsidR="7CE79965" w:rsidRPr="008D6507">
        <w:rPr>
          <w:rFonts w:ascii="Calibri" w:hAnsi="Calibri" w:cs="Calibri"/>
        </w:rPr>
        <w:t xml:space="preserve">es </w:t>
      </w:r>
      <w:r w:rsidR="008D6507" w:rsidRPr="008D6507">
        <w:rPr>
          <w:rFonts w:ascii="Calibri" w:hAnsi="Calibri" w:cs="Calibri"/>
        </w:rPr>
        <w:fldChar w:fldCharType="begin"/>
      </w:r>
      <w:r w:rsidR="008D6507" w:rsidRPr="008D6507">
        <w:rPr>
          <w:rFonts w:ascii="Calibri" w:hAnsi="Calibri" w:cs="Calibri"/>
        </w:rPr>
        <w:instrText xml:space="preserve"> REF _Ref225411523 \h </w:instrText>
      </w:r>
      <w:r w:rsidR="008D6507">
        <w:rPr>
          <w:rFonts w:ascii="Calibri" w:hAnsi="Calibri" w:cs="Calibri"/>
        </w:rPr>
        <w:instrText xml:space="preserve"> \* MERGEFORMAT </w:instrText>
      </w:r>
      <w:r w:rsidR="008D6507" w:rsidRPr="008D6507">
        <w:rPr>
          <w:rFonts w:ascii="Calibri" w:hAnsi="Calibri" w:cs="Calibri"/>
        </w:rPr>
      </w:r>
      <w:r w:rsidR="008D6507" w:rsidRPr="008D6507">
        <w:rPr>
          <w:rFonts w:ascii="Calibri" w:hAnsi="Calibri" w:cs="Calibri"/>
        </w:rPr>
        <w:fldChar w:fldCharType="separate"/>
      </w:r>
      <w:r w:rsidR="001D5695" w:rsidRPr="001D5695">
        <w:rPr>
          <w:rFonts w:ascii="Calibri" w:hAnsi="Calibri" w:cs="Calibri"/>
        </w:rPr>
        <w:t xml:space="preserve">Figure </w:t>
      </w:r>
      <w:r w:rsidR="001D5695" w:rsidRPr="001D5695">
        <w:rPr>
          <w:rFonts w:ascii="Calibri" w:hAnsi="Calibri" w:cs="Calibri"/>
          <w:noProof/>
        </w:rPr>
        <w:t>1</w:t>
      </w:r>
      <w:r w:rsidR="008D6507" w:rsidRPr="008D6507">
        <w:rPr>
          <w:rFonts w:ascii="Calibri" w:hAnsi="Calibri" w:cs="Calibri"/>
        </w:rPr>
        <w:fldChar w:fldCharType="end"/>
      </w:r>
      <w:r w:rsidRPr="008D6507">
        <w:rPr>
          <w:rFonts w:ascii="Calibri" w:hAnsi="Calibri" w:cs="Calibri"/>
        </w:rPr>
        <w:t xml:space="preserve"> </w:t>
      </w:r>
      <w:r w:rsidR="7CE79965" w:rsidRPr="008D6507">
        <w:rPr>
          <w:rFonts w:ascii="Calibri" w:hAnsi="Calibri" w:cs="Calibri"/>
        </w:rPr>
        <w:t xml:space="preserve">et </w:t>
      </w:r>
      <w:r w:rsidR="008D6507" w:rsidRPr="008D6507">
        <w:rPr>
          <w:rFonts w:ascii="Calibri" w:hAnsi="Calibri" w:cs="Calibri"/>
        </w:rPr>
        <w:fldChar w:fldCharType="begin"/>
      </w:r>
      <w:r w:rsidR="008D6507" w:rsidRPr="008D6507">
        <w:rPr>
          <w:rFonts w:ascii="Calibri" w:hAnsi="Calibri" w:cs="Calibri"/>
        </w:rPr>
        <w:instrText xml:space="preserve"> REF _Ref225411553 \h </w:instrText>
      </w:r>
      <w:r w:rsidR="008D6507">
        <w:rPr>
          <w:rFonts w:ascii="Calibri" w:hAnsi="Calibri" w:cs="Calibri"/>
        </w:rPr>
        <w:instrText xml:space="preserve"> \* MERGEFORMAT </w:instrText>
      </w:r>
      <w:r w:rsidR="008D6507" w:rsidRPr="008D6507">
        <w:rPr>
          <w:rFonts w:ascii="Calibri" w:hAnsi="Calibri" w:cs="Calibri"/>
        </w:rPr>
      </w:r>
      <w:r w:rsidR="008D6507" w:rsidRPr="008D6507">
        <w:rPr>
          <w:rFonts w:ascii="Calibri" w:hAnsi="Calibri" w:cs="Calibri"/>
        </w:rPr>
        <w:fldChar w:fldCharType="separate"/>
      </w:r>
      <w:r w:rsidR="001D5695" w:rsidRPr="001D5695">
        <w:rPr>
          <w:rFonts w:ascii="Calibri" w:hAnsi="Calibri" w:cs="Calibri"/>
        </w:rPr>
        <w:t xml:space="preserve">Figure </w:t>
      </w:r>
      <w:r w:rsidR="001D5695" w:rsidRPr="001D5695">
        <w:rPr>
          <w:rFonts w:ascii="Calibri" w:hAnsi="Calibri" w:cs="Calibri"/>
          <w:noProof/>
        </w:rPr>
        <w:t>2</w:t>
      </w:r>
      <w:r w:rsidR="008D6507" w:rsidRPr="008D6507">
        <w:rPr>
          <w:rFonts w:ascii="Calibri" w:hAnsi="Calibri" w:cs="Calibri"/>
        </w:rPr>
        <w:fldChar w:fldCharType="end"/>
      </w:r>
      <w:r w:rsidR="7CE79965" w:rsidRPr="008D6507">
        <w:rPr>
          <w:rFonts w:ascii="Calibri" w:hAnsi="Calibri" w:cs="Calibri"/>
        </w:rPr>
        <w:t xml:space="preserve"> </w:t>
      </w:r>
      <w:r w:rsidRPr="008D6507">
        <w:rPr>
          <w:rFonts w:ascii="Calibri" w:hAnsi="Calibri" w:cs="Calibri"/>
        </w:rPr>
        <w:t>présente</w:t>
      </w:r>
      <w:r w:rsidR="7CE79965" w:rsidRPr="008D6507">
        <w:rPr>
          <w:rFonts w:ascii="Calibri" w:hAnsi="Calibri" w:cs="Calibri"/>
        </w:rPr>
        <w:t>nt</w:t>
      </w:r>
      <w:r w:rsidRPr="008D6507">
        <w:rPr>
          <w:rFonts w:ascii="Calibri" w:hAnsi="Calibri" w:cs="Calibri"/>
        </w:rPr>
        <w:t xml:space="preserve"> la répartition des émissions totales de GES par type de gaz et entre les principaux secteurs. </w:t>
      </w:r>
    </w:p>
    <w:p w14:paraId="1E0F5923" w14:textId="77777777" w:rsidR="008D6507" w:rsidRDefault="00197FDF" w:rsidP="008D6507">
      <w:pPr>
        <w:keepNext/>
        <w:jc w:val="center"/>
      </w:pPr>
      <w:r w:rsidRPr="00ED6989">
        <w:rPr>
          <w:rFonts w:asciiTheme="minorHAnsi" w:hAnsiTheme="minorHAnsi" w:cstheme="minorHAnsi"/>
          <w:noProof/>
        </w:rPr>
        <w:drawing>
          <wp:inline distT="0" distB="0" distL="0" distR="0" wp14:anchorId="2256B42C" wp14:editId="734ACC88">
            <wp:extent cx="3528060" cy="3222087"/>
            <wp:effectExtent l="0" t="0" r="0" b="0"/>
            <wp:docPr id="818027214" name="Image 1" descr="Une image contenant texte, cercl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27214" name="Image 1" descr="Une image contenant texte, cercle, Police, logo&#10;&#10;Le contenu généré par l’IA peut être incorrect."/>
                    <pic:cNvPicPr/>
                  </pic:nvPicPr>
                  <pic:blipFill>
                    <a:blip r:embed="rId21"/>
                    <a:stretch>
                      <a:fillRect/>
                    </a:stretch>
                  </pic:blipFill>
                  <pic:spPr>
                    <a:xfrm>
                      <a:off x="0" y="0"/>
                      <a:ext cx="3531747" cy="3225454"/>
                    </a:xfrm>
                    <a:prstGeom prst="rect">
                      <a:avLst/>
                    </a:prstGeom>
                  </pic:spPr>
                </pic:pic>
              </a:graphicData>
            </a:graphic>
          </wp:inline>
        </w:drawing>
      </w:r>
    </w:p>
    <w:p w14:paraId="6FF745D7" w14:textId="314FB095" w:rsidR="00197FDF" w:rsidRPr="006505D8" w:rsidRDefault="008D6507" w:rsidP="008D6507">
      <w:pPr>
        <w:pStyle w:val="Lgende"/>
        <w:jc w:val="center"/>
        <w:rPr>
          <w:rFonts w:asciiTheme="minorHAnsi" w:hAnsiTheme="minorHAnsi" w:cstheme="minorHAnsi"/>
        </w:rPr>
      </w:pPr>
      <w:bookmarkStart w:id="0" w:name="_Ref225411523"/>
      <w:r>
        <w:t xml:space="preserve">Figure </w:t>
      </w:r>
      <w:r>
        <w:fldChar w:fldCharType="begin"/>
      </w:r>
      <w:r>
        <w:instrText xml:space="preserve"> SEQ Figure \* ARABIC </w:instrText>
      </w:r>
      <w:r>
        <w:fldChar w:fldCharType="separate"/>
      </w:r>
      <w:r w:rsidR="001D5695">
        <w:rPr>
          <w:noProof/>
        </w:rPr>
        <w:t>1</w:t>
      </w:r>
      <w:r>
        <w:fldChar w:fldCharType="end"/>
      </w:r>
      <w:bookmarkEnd w:id="0"/>
      <w:r>
        <w:t xml:space="preserve">: </w:t>
      </w:r>
      <w:r w:rsidRPr="00607CD0">
        <w:t>RÉPARTITION DES ÉMISSIONS DE GES PAR TYPE DE GAZ EN 2024 (SOURCE, AWAC)</w:t>
      </w:r>
    </w:p>
    <w:p w14:paraId="19B096E2" w14:textId="13E94FC6" w:rsidR="000E6EC5" w:rsidRPr="006505D8" w:rsidRDefault="000E6EC5" w:rsidP="001C7512">
      <w:pPr>
        <w:rPr>
          <w:rFonts w:asciiTheme="minorHAnsi" w:hAnsiTheme="minorHAnsi"/>
        </w:rPr>
      </w:pPr>
      <w:r w:rsidRPr="664E4FF4">
        <w:rPr>
          <w:rFonts w:asciiTheme="minorHAnsi" w:hAnsiTheme="minorHAnsi"/>
        </w:rPr>
        <w:lastRenderedPageBreak/>
        <w:t>Le CO</w:t>
      </w:r>
      <w:r w:rsidRPr="664E4FF4">
        <w:rPr>
          <w:rFonts w:asciiTheme="minorHAnsi" w:hAnsiTheme="minorHAnsi"/>
          <w:vertAlign w:val="subscript"/>
        </w:rPr>
        <w:t>2</w:t>
      </w:r>
      <w:r w:rsidRPr="664E4FF4">
        <w:rPr>
          <w:rFonts w:asciiTheme="minorHAnsi" w:hAnsiTheme="minorHAnsi"/>
        </w:rPr>
        <w:t xml:space="preserve">, qui représente </w:t>
      </w:r>
      <w:r w:rsidR="00B63798" w:rsidRPr="664E4FF4">
        <w:rPr>
          <w:rFonts w:asciiTheme="minorHAnsi" w:hAnsiTheme="minorHAnsi"/>
        </w:rPr>
        <w:t>8</w:t>
      </w:r>
      <w:r w:rsidR="00197FDF" w:rsidRPr="664E4FF4">
        <w:rPr>
          <w:rFonts w:asciiTheme="minorHAnsi" w:hAnsiTheme="minorHAnsi"/>
        </w:rPr>
        <w:t>4</w:t>
      </w:r>
      <w:r w:rsidR="00B63798" w:rsidRPr="664E4FF4">
        <w:rPr>
          <w:rFonts w:asciiTheme="minorHAnsi" w:hAnsiTheme="minorHAnsi"/>
        </w:rPr>
        <w:t xml:space="preserve"> </w:t>
      </w:r>
      <w:r w:rsidRPr="664E4FF4">
        <w:rPr>
          <w:rFonts w:asciiTheme="minorHAnsi" w:hAnsiTheme="minorHAnsi"/>
        </w:rPr>
        <w:t>% des émissions totales de GES, est surtout émis lors des processus de combustion dans différents secteurs : industrie, transports, chauffage résidentiel et tertiaire, centrales électriques. Le CH</w:t>
      </w:r>
      <w:r w:rsidRPr="664E4FF4">
        <w:rPr>
          <w:rFonts w:asciiTheme="minorHAnsi" w:hAnsiTheme="minorHAnsi"/>
          <w:vertAlign w:val="subscript"/>
        </w:rPr>
        <w:t>4</w:t>
      </w:r>
      <w:r w:rsidRPr="664E4FF4">
        <w:rPr>
          <w:rFonts w:asciiTheme="minorHAnsi" w:hAnsiTheme="minorHAnsi"/>
        </w:rPr>
        <w:t xml:space="preserve">, qui représente </w:t>
      </w:r>
      <w:r w:rsidR="00197FDF" w:rsidRPr="664E4FF4">
        <w:rPr>
          <w:rFonts w:asciiTheme="minorHAnsi" w:hAnsiTheme="minorHAnsi"/>
        </w:rPr>
        <w:t>8</w:t>
      </w:r>
      <w:r w:rsidRPr="664E4FF4">
        <w:rPr>
          <w:rFonts w:asciiTheme="minorHAnsi" w:hAnsiTheme="minorHAnsi"/>
        </w:rPr>
        <w:t>% des émissions totales, provient à</w:t>
      </w:r>
      <w:r w:rsidR="00B63798" w:rsidRPr="664E4FF4">
        <w:rPr>
          <w:rFonts w:asciiTheme="minorHAnsi" w:hAnsiTheme="minorHAnsi"/>
        </w:rPr>
        <w:t xml:space="preserve"> </w:t>
      </w:r>
      <w:r w:rsidR="007265E1" w:rsidRPr="664E4FF4">
        <w:rPr>
          <w:rFonts w:asciiTheme="minorHAnsi" w:hAnsiTheme="minorHAnsi"/>
        </w:rPr>
        <w:t>80</w:t>
      </w:r>
      <w:r w:rsidRPr="664E4FF4">
        <w:rPr>
          <w:rFonts w:asciiTheme="minorHAnsi" w:hAnsiTheme="minorHAnsi"/>
        </w:rPr>
        <w:t xml:space="preserve">% de l’agriculture, à </w:t>
      </w:r>
      <w:r w:rsidR="009603E8" w:rsidRPr="664E4FF4">
        <w:rPr>
          <w:rFonts w:asciiTheme="minorHAnsi" w:hAnsiTheme="minorHAnsi"/>
        </w:rPr>
        <w:t>9</w:t>
      </w:r>
      <w:r w:rsidRPr="664E4FF4">
        <w:rPr>
          <w:rFonts w:asciiTheme="minorHAnsi" w:hAnsiTheme="minorHAnsi"/>
        </w:rPr>
        <w:t xml:space="preserve">% du secteur des déchets et à </w:t>
      </w:r>
      <w:r w:rsidR="004D3559" w:rsidRPr="664E4FF4">
        <w:rPr>
          <w:rFonts w:asciiTheme="minorHAnsi" w:hAnsiTheme="minorHAnsi"/>
        </w:rPr>
        <w:t>3</w:t>
      </w:r>
      <w:r w:rsidRPr="664E4FF4">
        <w:rPr>
          <w:rFonts w:asciiTheme="minorHAnsi" w:hAnsiTheme="minorHAnsi"/>
        </w:rPr>
        <w:t xml:space="preserve">% </w:t>
      </w:r>
      <w:r w:rsidR="001F2728" w:rsidRPr="664E4FF4">
        <w:rPr>
          <w:rFonts w:asciiTheme="minorHAnsi" w:hAnsiTheme="minorHAnsi"/>
        </w:rPr>
        <w:t>des émissions diffuses</w:t>
      </w:r>
      <w:r w:rsidR="004D3559" w:rsidRPr="664E4FF4">
        <w:rPr>
          <w:rFonts w:asciiTheme="minorHAnsi" w:hAnsiTheme="minorHAnsi"/>
        </w:rPr>
        <w:t xml:space="preserve"> (</w:t>
      </w:r>
      <w:r w:rsidR="4315CA7F" w:rsidRPr="664E4FF4">
        <w:rPr>
          <w:rFonts w:asciiTheme="minorHAnsi" w:hAnsiTheme="minorHAnsi"/>
        </w:rPr>
        <w:t>CRT</w:t>
      </w:r>
      <w:r w:rsidR="3B8B12EA" w:rsidRPr="664E4FF4">
        <w:rPr>
          <w:rFonts w:asciiTheme="minorHAnsi" w:hAnsiTheme="minorHAnsi"/>
        </w:rPr>
        <w:t xml:space="preserve"> </w:t>
      </w:r>
      <w:r w:rsidR="4315CA7F" w:rsidRPr="664E4FF4">
        <w:rPr>
          <w:rFonts w:asciiTheme="minorHAnsi" w:hAnsiTheme="minorHAnsi"/>
        </w:rPr>
        <w:t>1A5, CRT</w:t>
      </w:r>
      <w:r w:rsidR="4C385FFB" w:rsidRPr="664E4FF4">
        <w:rPr>
          <w:rFonts w:asciiTheme="minorHAnsi" w:hAnsiTheme="minorHAnsi"/>
        </w:rPr>
        <w:t xml:space="preserve"> </w:t>
      </w:r>
      <w:r w:rsidR="4315CA7F" w:rsidRPr="664E4FF4">
        <w:rPr>
          <w:rFonts w:asciiTheme="minorHAnsi" w:hAnsiTheme="minorHAnsi"/>
        </w:rPr>
        <w:t>1B</w:t>
      </w:r>
      <w:r w:rsidR="004D3559" w:rsidRPr="664E4FF4">
        <w:rPr>
          <w:rFonts w:asciiTheme="minorHAnsi" w:hAnsiTheme="minorHAnsi"/>
        </w:rPr>
        <w:t>)</w:t>
      </w:r>
      <w:r w:rsidR="001F2728" w:rsidRPr="664E4FF4">
        <w:rPr>
          <w:rFonts w:asciiTheme="minorHAnsi" w:hAnsiTheme="minorHAnsi"/>
        </w:rPr>
        <w:t xml:space="preserve"> (émanations des mines abandonnées et fuites </w:t>
      </w:r>
      <w:r w:rsidRPr="664E4FF4">
        <w:rPr>
          <w:rFonts w:asciiTheme="minorHAnsi" w:hAnsiTheme="minorHAnsi"/>
        </w:rPr>
        <w:t>des réseaux de distribution de gaz naturel), le reste provenant de l’ensemble des processus de combustion. Le N</w:t>
      </w:r>
      <w:r w:rsidRPr="664E4FF4">
        <w:rPr>
          <w:rFonts w:asciiTheme="minorHAnsi" w:hAnsiTheme="minorHAnsi"/>
          <w:vertAlign w:val="subscript"/>
        </w:rPr>
        <w:t>2</w:t>
      </w:r>
      <w:r w:rsidRPr="664E4FF4">
        <w:rPr>
          <w:rFonts w:asciiTheme="minorHAnsi" w:hAnsiTheme="minorHAnsi"/>
        </w:rPr>
        <w:t xml:space="preserve">O représente </w:t>
      </w:r>
      <w:r w:rsidR="00503E91" w:rsidRPr="664E4FF4">
        <w:rPr>
          <w:rFonts w:asciiTheme="minorHAnsi" w:hAnsiTheme="minorHAnsi"/>
        </w:rPr>
        <w:t>6</w:t>
      </w:r>
      <w:r w:rsidRPr="664E4FF4">
        <w:rPr>
          <w:rFonts w:asciiTheme="minorHAnsi" w:hAnsiTheme="minorHAnsi"/>
        </w:rPr>
        <w:t>% des émissions totales et est principalement émis par l’agriculture (</w:t>
      </w:r>
      <w:r w:rsidR="00D55DA1" w:rsidRPr="664E4FF4">
        <w:rPr>
          <w:rFonts w:asciiTheme="minorHAnsi" w:hAnsiTheme="minorHAnsi"/>
        </w:rPr>
        <w:t>74</w:t>
      </w:r>
      <w:r w:rsidRPr="664E4FF4">
        <w:rPr>
          <w:rFonts w:asciiTheme="minorHAnsi" w:hAnsiTheme="minorHAnsi"/>
        </w:rPr>
        <w:t>%)</w:t>
      </w:r>
      <w:r w:rsidR="00032D7A" w:rsidRPr="664E4FF4">
        <w:rPr>
          <w:rFonts w:asciiTheme="minorHAnsi" w:hAnsiTheme="minorHAnsi"/>
        </w:rPr>
        <w:t xml:space="preserve"> </w:t>
      </w:r>
      <w:r w:rsidRPr="664E4FF4">
        <w:rPr>
          <w:rFonts w:asciiTheme="minorHAnsi" w:hAnsiTheme="minorHAnsi"/>
        </w:rPr>
        <w:t xml:space="preserve">et les </w:t>
      </w:r>
      <w:r w:rsidR="008F52A1" w:rsidRPr="664E4FF4">
        <w:rPr>
          <w:rFonts w:asciiTheme="minorHAnsi" w:hAnsiTheme="minorHAnsi"/>
        </w:rPr>
        <w:t>processus de combustion (</w:t>
      </w:r>
      <w:r w:rsidR="00B63798" w:rsidRPr="664E4FF4">
        <w:rPr>
          <w:rFonts w:asciiTheme="minorHAnsi" w:hAnsiTheme="minorHAnsi"/>
        </w:rPr>
        <w:t>1</w:t>
      </w:r>
      <w:r w:rsidR="00D55DA1" w:rsidRPr="664E4FF4">
        <w:rPr>
          <w:rFonts w:asciiTheme="minorHAnsi" w:hAnsiTheme="minorHAnsi"/>
        </w:rPr>
        <w:t>9</w:t>
      </w:r>
      <w:r w:rsidRPr="664E4FF4">
        <w:rPr>
          <w:rFonts w:asciiTheme="minorHAnsi" w:hAnsiTheme="minorHAnsi"/>
        </w:rPr>
        <w:t xml:space="preserve">%). Enfin, les gaz fluorés représentent </w:t>
      </w:r>
      <w:r w:rsidR="005910B2" w:rsidRPr="664E4FF4">
        <w:rPr>
          <w:rFonts w:asciiTheme="minorHAnsi" w:hAnsiTheme="minorHAnsi"/>
        </w:rPr>
        <w:t>2</w:t>
      </w:r>
      <w:r w:rsidRPr="664E4FF4">
        <w:rPr>
          <w:rFonts w:asciiTheme="minorHAnsi" w:hAnsiTheme="minorHAnsi"/>
        </w:rPr>
        <w:t>% des émissions totales et sont émis lors de la fabrication et l’utilisation de certains produits (réfrigération, mousses isolantes, etc.).</w:t>
      </w:r>
    </w:p>
    <w:p w14:paraId="680E4323" w14:textId="77777777" w:rsidR="008D6507" w:rsidRDefault="00197FDF" w:rsidP="008D6507">
      <w:pPr>
        <w:keepNext/>
        <w:jc w:val="center"/>
      </w:pPr>
      <w:r w:rsidRPr="00AC6CC9">
        <w:rPr>
          <w:rFonts w:asciiTheme="minorHAnsi" w:hAnsiTheme="minorHAnsi" w:cstheme="minorHAnsi"/>
          <w:noProof/>
        </w:rPr>
        <w:drawing>
          <wp:inline distT="0" distB="0" distL="0" distR="0" wp14:anchorId="4274226A" wp14:editId="7C59221B">
            <wp:extent cx="5760720" cy="3793490"/>
            <wp:effectExtent l="0" t="0" r="0" b="0"/>
            <wp:docPr id="1659671695" name="Image 1" descr="Une image contenant texte, diagramme, cercl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671695" name="Image 1" descr="Une image contenant texte, diagramme, cercle, capture d’écran&#10;&#10;Le contenu généré par l’IA peut être incorrect."/>
                    <pic:cNvPicPr/>
                  </pic:nvPicPr>
                  <pic:blipFill>
                    <a:blip r:embed="rId22"/>
                    <a:stretch>
                      <a:fillRect/>
                    </a:stretch>
                  </pic:blipFill>
                  <pic:spPr>
                    <a:xfrm>
                      <a:off x="0" y="0"/>
                      <a:ext cx="5760720" cy="3793490"/>
                    </a:xfrm>
                    <a:prstGeom prst="rect">
                      <a:avLst/>
                    </a:prstGeom>
                  </pic:spPr>
                </pic:pic>
              </a:graphicData>
            </a:graphic>
          </wp:inline>
        </w:drawing>
      </w:r>
    </w:p>
    <w:p w14:paraId="24A14E54" w14:textId="686D56F8" w:rsidR="00197FDF" w:rsidRPr="0068452F" w:rsidRDefault="008D6507" w:rsidP="008D6507">
      <w:pPr>
        <w:pStyle w:val="Lgende"/>
        <w:jc w:val="center"/>
        <w:rPr>
          <w:rFonts w:asciiTheme="minorHAnsi" w:hAnsiTheme="minorHAnsi" w:cstheme="minorHAnsi"/>
        </w:rPr>
      </w:pPr>
      <w:bookmarkStart w:id="1" w:name="_Ref225411553"/>
      <w:r>
        <w:t xml:space="preserve">Figure </w:t>
      </w:r>
      <w:r>
        <w:fldChar w:fldCharType="begin"/>
      </w:r>
      <w:r>
        <w:instrText xml:space="preserve"> SEQ Figure \* ARABIC </w:instrText>
      </w:r>
      <w:r>
        <w:fldChar w:fldCharType="separate"/>
      </w:r>
      <w:r w:rsidR="001D5695">
        <w:rPr>
          <w:noProof/>
        </w:rPr>
        <w:t>2</w:t>
      </w:r>
      <w:r>
        <w:fldChar w:fldCharType="end"/>
      </w:r>
      <w:bookmarkEnd w:id="1"/>
      <w:r w:rsidRPr="00DB0764">
        <w:t>: RÉPARTITION DES ÉMISSIONS DE GES PAR SECTEUR EN WALLONIE EN 2024 (SOURCE AWAC)</w:t>
      </w:r>
    </w:p>
    <w:p w14:paraId="7A01A56F" w14:textId="77777777" w:rsidR="004636D5" w:rsidRDefault="004636D5" w:rsidP="004636D5">
      <w:pPr>
        <w:pStyle w:val="Titre1"/>
      </w:pPr>
    </w:p>
    <w:p w14:paraId="20FAA2D9" w14:textId="7FE11C25" w:rsidR="004636D5" w:rsidRDefault="40A90F03" w:rsidP="004636D5">
      <w:pPr>
        <w:pStyle w:val="Titre1"/>
      </w:pPr>
      <w:r>
        <w:t>Evolution des émissions et objectifs ETS - ESR</w:t>
      </w:r>
    </w:p>
    <w:p w14:paraId="5A9DFF6D" w14:textId="57A646E5" w:rsidR="00D07C3A" w:rsidRDefault="4D3CDA74" w:rsidP="35DAFC00">
      <w:pPr>
        <w:rPr>
          <w:rFonts w:asciiTheme="minorHAnsi" w:hAnsiTheme="minorHAnsi"/>
        </w:rPr>
      </w:pPr>
      <w:r w:rsidRPr="35DAFC00">
        <w:rPr>
          <w:rFonts w:asciiTheme="minorHAnsi" w:hAnsiTheme="minorHAnsi"/>
        </w:rPr>
        <w:t xml:space="preserve">Sur base des dernières estimations disponibles, les émissions anthropiques de GES </w:t>
      </w:r>
      <w:r w:rsidR="5CC755C0" w:rsidRPr="35DAFC00">
        <w:rPr>
          <w:rFonts w:asciiTheme="minorHAnsi" w:hAnsiTheme="minorHAnsi"/>
        </w:rPr>
        <w:t xml:space="preserve">(hors secteur forestier) </w:t>
      </w:r>
      <w:r w:rsidRPr="35DAFC00">
        <w:rPr>
          <w:rFonts w:asciiTheme="minorHAnsi" w:hAnsiTheme="minorHAnsi"/>
        </w:rPr>
        <w:t xml:space="preserve">en Wallonie en </w:t>
      </w:r>
      <w:r w:rsidR="0E044868" w:rsidRPr="35DAFC00">
        <w:rPr>
          <w:rFonts w:asciiTheme="minorHAnsi" w:hAnsiTheme="minorHAnsi"/>
        </w:rPr>
        <w:t>202</w:t>
      </w:r>
      <w:r w:rsidR="1A564642" w:rsidRPr="35DAFC00">
        <w:rPr>
          <w:rFonts w:asciiTheme="minorHAnsi" w:hAnsiTheme="minorHAnsi"/>
        </w:rPr>
        <w:t>4</w:t>
      </w:r>
      <w:r w:rsidR="0E044868" w:rsidRPr="35DAFC00">
        <w:rPr>
          <w:rFonts w:asciiTheme="minorHAnsi" w:hAnsiTheme="minorHAnsi"/>
        </w:rPr>
        <w:t xml:space="preserve"> </w:t>
      </w:r>
      <w:r w:rsidRPr="35DAFC00">
        <w:rPr>
          <w:rFonts w:asciiTheme="minorHAnsi" w:hAnsiTheme="minorHAnsi"/>
        </w:rPr>
        <w:t xml:space="preserve">étaient de </w:t>
      </w:r>
      <w:r w:rsidR="01AD9475" w:rsidRPr="35DAFC00">
        <w:rPr>
          <w:rFonts w:asciiTheme="minorHAnsi" w:hAnsiTheme="minorHAnsi"/>
        </w:rPr>
        <w:t>4</w:t>
      </w:r>
      <w:r w:rsidR="1A564642" w:rsidRPr="35DAFC00">
        <w:rPr>
          <w:rFonts w:asciiTheme="minorHAnsi" w:hAnsiTheme="minorHAnsi"/>
        </w:rPr>
        <w:t>7</w:t>
      </w:r>
      <w:r w:rsidR="436F29A6" w:rsidRPr="35DAFC00">
        <w:rPr>
          <w:rFonts w:asciiTheme="minorHAnsi" w:hAnsiTheme="minorHAnsi"/>
        </w:rPr>
        <w:t>,</w:t>
      </w:r>
      <w:r w:rsidR="1A564642" w:rsidRPr="35DAFC00">
        <w:rPr>
          <w:rFonts w:asciiTheme="minorHAnsi" w:hAnsiTheme="minorHAnsi"/>
        </w:rPr>
        <w:t>8</w:t>
      </w:r>
      <w:r w:rsidRPr="35DAFC00">
        <w:rPr>
          <w:rFonts w:asciiTheme="minorHAnsi" w:hAnsiTheme="minorHAnsi"/>
        </w:rPr>
        <w:t xml:space="preserve">% inférieures à celles de 1990. </w:t>
      </w:r>
    </w:p>
    <w:p w14:paraId="4E391CC8" w14:textId="77777777" w:rsidR="00293C34" w:rsidRDefault="00293C34" w:rsidP="35DAFC00">
      <w:pPr>
        <w:rPr>
          <w:rFonts w:asciiTheme="minorHAnsi" w:hAnsiTheme="minorHAnsi"/>
        </w:rPr>
      </w:pPr>
    </w:p>
    <w:p w14:paraId="0CE21AB4" w14:textId="44901C2B" w:rsidR="00AF552B" w:rsidRPr="0068452F" w:rsidRDefault="38522EBB" w:rsidP="35DAFC00">
      <w:pPr>
        <w:pStyle w:val="Titre2"/>
      </w:pPr>
      <w:r>
        <w:t>Objectifs ESD-ESR</w:t>
      </w:r>
    </w:p>
    <w:p w14:paraId="22FE65E8" w14:textId="298CCBCF" w:rsidR="0057103B" w:rsidRDefault="7C1AA901" w:rsidP="35DAFC00">
      <w:pPr>
        <w:pStyle w:val="Default"/>
        <w:jc w:val="both"/>
        <w:rPr>
          <w:rFonts w:asciiTheme="minorHAnsi" w:hAnsiTheme="minorHAnsi" w:cstheme="minorBidi"/>
        </w:rPr>
      </w:pPr>
      <w:r w:rsidRPr="35DAFC00">
        <w:rPr>
          <w:rFonts w:asciiTheme="minorHAnsi" w:hAnsiTheme="minorHAnsi" w:cstheme="minorBidi"/>
          <w:sz w:val="22"/>
          <w:szCs w:val="22"/>
        </w:rPr>
        <w:t xml:space="preserve">Dans le cadre du </w:t>
      </w:r>
      <w:hyperlink r:id="rId23">
        <w:r w:rsidRPr="35DAFC00">
          <w:rPr>
            <w:rStyle w:val="Lienhypertexte"/>
            <w:rFonts w:asciiTheme="minorHAnsi" w:hAnsiTheme="minorHAnsi" w:cstheme="minorBidi"/>
            <w:sz w:val="22"/>
            <w:szCs w:val="22"/>
          </w:rPr>
          <w:t>burden-sharing</w:t>
        </w:r>
      </w:hyperlink>
      <w:r w:rsidR="7838498D" w:rsidRPr="35DAFC00">
        <w:rPr>
          <w:rFonts w:asciiTheme="minorHAnsi" w:hAnsiTheme="minorHAnsi" w:cstheme="minorBidi"/>
          <w:sz w:val="22"/>
          <w:szCs w:val="22"/>
        </w:rPr>
        <w:t xml:space="preserve"> </w:t>
      </w:r>
      <w:r w:rsidR="40A90F03" w:rsidRPr="35DAFC00">
        <w:rPr>
          <w:rFonts w:asciiTheme="minorHAnsi" w:hAnsiTheme="minorHAnsi" w:cstheme="minorBidi"/>
          <w:sz w:val="22"/>
          <w:szCs w:val="22"/>
        </w:rPr>
        <w:t xml:space="preserve">belge </w:t>
      </w:r>
      <w:r w:rsidR="7838498D" w:rsidRPr="35DAFC00">
        <w:rPr>
          <w:rFonts w:asciiTheme="minorHAnsi" w:hAnsiTheme="minorHAnsi" w:cstheme="minorBidi"/>
          <w:sz w:val="22"/>
          <w:szCs w:val="22"/>
        </w:rPr>
        <w:t>2013-2020</w:t>
      </w:r>
      <w:r w:rsidR="7470137F" w:rsidRPr="35DAFC00">
        <w:rPr>
          <w:rFonts w:asciiTheme="minorHAnsi" w:hAnsiTheme="minorHAnsi" w:cstheme="minorBidi"/>
          <w:sz w:val="22"/>
          <w:szCs w:val="22"/>
        </w:rPr>
        <w:t xml:space="preserve"> (répartition de l’effort de réduction entre les entités belges)</w:t>
      </w:r>
      <w:r w:rsidRPr="35DAFC00">
        <w:rPr>
          <w:rFonts w:asciiTheme="minorHAnsi" w:hAnsiTheme="minorHAnsi" w:cstheme="minorBidi"/>
          <w:sz w:val="22"/>
          <w:szCs w:val="22"/>
        </w:rPr>
        <w:t>, l</w:t>
      </w:r>
      <w:r w:rsidR="02580C45" w:rsidRPr="35DAFC00">
        <w:rPr>
          <w:rFonts w:asciiTheme="minorHAnsi" w:hAnsiTheme="minorHAnsi" w:cstheme="minorBidi"/>
          <w:sz w:val="22"/>
          <w:szCs w:val="22"/>
        </w:rPr>
        <w:t xml:space="preserve">’objectif </w:t>
      </w:r>
      <w:r w:rsidR="1D114875" w:rsidRPr="35DAFC00">
        <w:rPr>
          <w:rFonts w:asciiTheme="minorHAnsi" w:hAnsiTheme="minorHAnsi" w:cstheme="minorBidi"/>
          <w:sz w:val="22"/>
          <w:szCs w:val="22"/>
        </w:rPr>
        <w:t xml:space="preserve">wallon </w:t>
      </w:r>
      <w:r w:rsidR="02580C45" w:rsidRPr="35DAFC00">
        <w:rPr>
          <w:rFonts w:asciiTheme="minorHAnsi" w:hAnsiTheme="minorHAnsi" w:cstheme="minorBidi"/>
          <w:sz w:val="22"/>
          <w:szCs w:val="22"/>
        </w:rPr>
        <w:t xml:space="preserve">pour </w:t>
      </w:r>
      <w:r w:rsidR="0FCFBDD3" w:rsidRPr="35DAFC00">
        <w:rPr>
          <w:rFonts w:asciiTheme="minorHAnsi" w:hAnsiTheme="minorHAnsi" w:cstheme="minorBidi"/>
          <w:sz w:val="22"/>
          <w:szCs w:val="22"/>
        </w:rPr>
        <w:t xml:space="preserve">l’année </w:t>
      </w:r>
      <w:r w:rsidR="02580C45" w:rsidRPr="35DAFC00">
        <w:rPr>
          <w:rFonts w:asciiTheme="minorHAnsi" w:hAnsiTheme="minorHAnsi" w:cstheme="minorBidi"/>
          <w:sz w:val="22"/>
          <w:szCs w:val="22"/>
        </w:rPr>
        <w:t xml:space="preserve">2020 </w:t>
      </w:r>
      <w:r w:rsidR="0E044868" w:rsidRPr="35DAFC00">
        <w:rPr>
          <w:rFonts w:asciiTheme="minorHAnsi" w:hAnsiTheme="minorHAnsi" w:cstheme="minorBidi"/>
          <w:sz w:val="22"/>
          <w:szCs w:val="22"/>
        </w:rPr>
        <w:t xml:space="preserve">était </w:t>
      </w:r>
      <w:r w:rsidR="02580C45" w:rsidRPr="35DAFC00">
        <w:rPr>
          <w:rFonts w:asciiTheme="minorHAnsi" w:hAnsiTheme="minorHAnsi" w:cstheme="minorBidi"/>
          <w:sz w:val="22"/>
          <w:szCs w:val="22"/>
        </w:rPr>
        <w:t>de -1</w:t>
      </w:r>
      <w:r w:rsidR="1D114875" w:rsidRPr="35DAFC00">
        <w:rPr>
          <w:rFonts w:asciiTheme="minorHAnsi" w:hAnsiTheme="minorHAnsi" w:cstheme="minorBidi"/>
          <w:sz w:val="22"/>
          <w:szCs w:val="22"/>
        </w:rPr>
        <w:t>4,7</w:t>
      </w:r>
      <w:r w:rsidR="0FCFBDD3" w:rsidRPr="35DAFC00">
        <w:rPr>
          <w:rFonts w:asciiTheme="minorHAnsi" w:hAnsiTheme="minorHAnsi" w:cstheme="minorBidi"/>
          <w:sz w:val="22"/>
          <w:szCs w:val="22"/>
        </w:rPr>
        <w:t>% par rapport aux émissions de 2005</w:t>
      </w:r>
      <w:r w:rsidRPr="35DAFC00">
        <w:rPr>
          <w:rFonts w:asciiTheme="minorHAnsi" w:hAnsiTheme="minorHAnsi" w:cstheme="minorBidi"/>
          <w:sz w:val="22"/>
          <w:szCs w:val="22"/>
        </w:rPr>
        <w:t xml:space="preserve"> pour les </w:t>
      </w:r>
      <w:r w:rsidRPr="35DAFC00">
        <w:rPr>
          <w:rFonts w:asciiTheme="minorHAnsi" w:hAnsiTheme="minorHAnsi" w:cstheme="minorBidi"/>
          <w:sz w:val="22"/>
          <w:szCs w:val="22"/>
        </w:rPr>
        <w:lastRenderedPageBreak/>
        <w:t xml:space="preserve">secteurs </w:t>
      </w:r>
      <w:r w:rsidR="0F46C846" w:rsidRPr="35DAFC00">
        <w:rPr>
          <w:rFonts w:asciiTheme="minorHAnsi" w:hAnsiTheme="minorHAnsi" w:cstheme="minorBidi"/>
          <w:sz w:val="22"/>
          <w:szCs w:val="22"/>
        </w:rPr>
        <w:t>ESD</w:t>
      </w:r>
      <w:r w:rsidRPr="35DAFC00">
        <w:rPr>
          <w:rFonts w:asciiTheme="minorHAnsi" w:hAnsiTheme="minorHAnsi" w:cstheme="minorBidi"/>
          <w:sz w:val="22"/>
          <w:szCs w:val="22"/>
        </w:rPr>
        <w:t xml:space="preserve"> (</w:t>
      </w:r>
      <w:r w:rsidR="0F46C846" w:rsidRPr="35DAFC00">
        <w:rPr>
          <w:rFonts w:asciiTheme="minorHAnsi" w:hAnsiTheme="minorHAnsi" w:cstheme="minorBidi"/>
          <w:i/>
          <w:iCs/>
          <w:sz w:val="22"/>
          <w:szCs w:val="22"/>
        </w:rPr>
        <w:t>Effort Sharing Decision</w:t>
      </w:r>
      <w:r w:rsidR="0F46C846" w:rsidRPr="35DAFC00">
        <w:rPr>
          <w:rFonts w:asciiTheme="minorHAnsi" w:hAnsiTheme="minorHAnsi" w:cstheme="minorBidi"/>
          <w:sz w:val="22"/>
          <w:szCs w:val="22"/>
        </w:rPr>
        <w:t xml:space="preserve"> CE/406/2009</w:t>
      </w:r>
      <w:r w:rsidR="054AFBDF" w:rsidRPr="35DAFC00">
        <w:rPr>
          <w:rFonts w:asciiTheme="minorHAnsi" w:hAnsiTheme="minorHAnsi" w:cstheme="minorBidi"/>
          <w:sz w:val="22"/>
          <w:szCs w:val="22"/>
        </w:rPr>
        <w:t>)</w:t>
      </w:r>
      <w:r w:rsidR="004636D5">
        <w:rPr>
          <w:rStyle w:val="Appelnotedebasdep"/>
          <w:rFonts w:asciiTheme="minorHAnsi" w:hAnsiTheme="minorHAnsi" w:cstheme="minorHAnsi"/>
          <w:sz w:val="22"/>
          <w:szCs w:val="22"/>
        </w:rPr>
        <w:footnoteReference w:id="2"/>
      </w:r>
      <w:r w:rsidR="546F1224" w:rsidRPr="35DAFC00">
        <w:rPr>
          <w:rFonts w:asciiTheme="minorHAnsi" w:hAnsiTheme="minorHAnsi" w:cstheme="minorBidi"/>
          <w:sz w:val="22"/>
          <w:szCs w:val="22"/>
        </w:rPr>
        <w:t xml:space="preserve">. </w:t>
      </w:r>
      <w:r w:rsidR="13254141" w:rsidRPr="35DAFC00">
        <w:rPr>
          <w:rFonts w:asciiTheme="minorHAnsi" w:hAnsiTheme="minorHAnsi" w:cstheme="minorBidi"/>
        </w:rPr>
        <w:t xml:space="preserve"> </w:t>
      </w:r>
      <w:r w:rsidR="1095B349" w:rsidRPr="35DAFC00">
        <w:rPr>
          <w:rFonts w:asciiTheme="minorHAnsi" w:hAnsiTheme="minorHAnsi" w:cstheme="minorBidi"/>
          <w:sz w:val="22"/>
          <w:szCs w:val="22"/>
        </w:rPr>
        <w:t xml:space="preserve">La Région wallonne a </w:t>
      </w:r>
      <w:r w:rsidR="11E4804B" w:rsidRPr="35DAFC00">
        <w:rPr>
          <w:rFonts w:asciiTheme="minorHAnsi" w:hAnsiTheme="minorHAnsi" w:cstheme="minorBidi"/>
          <w:sz w:val="22"/>
          <w:szCs w:val="22"/>
        </w:rPr>
        <w:t xml:space="preserve">pleinement </w:t>
      </w:r>
      <w:r w:rsidR="1095B349" w:rsidRPr="35DAFC00">
        <w:rPr>
          <w:rFonts w:asciiTheme="minorHAnsi" w:hAnsiTheme="minorHAnsi" w:cstheme="minorBidi"/>
          <w:sz w:val="22"/>
          <w:szCs w:val="22"/>
        </w:rPr>
        <w:t>respecté ses objectifs de réduction pour la période 2013-2020</w:t>
      </w:r>
      <w:r w:rsidR="711E121E" w:rsidRPr="35DAFC00">
        <w:rPr>
          <w:rFonts w:asciiTheme="minorHAnsi" w:hAnsiTheme="minorHAnsi" w:cstheme="minorBidi"/>
          <w:sz w:val="22"/>
          <w:szCs w:val="22"/>
        </w:rPr>
        <w:t>, via des réductions internes et sans recourir à des achats de crédits</w:t>
      </w:r>
      <w:r w:rsidR="1095B349" w:rsidRPr="35DAFC00">
        <w:rPr>
          <w:rFonts w:asciiTheme="minorHAnsi" w:hAnsiTheme="minorHAnsi" w:cstheme="minorBidi"/>
          <w:sz w:val="22"/>
          <w:szCs w:val="22"/>
        </w:rPr>
        <w:t>.</w:t>
      </w:r>
    </w:p>
    <w:p w14:paraId="6F837144" w14:textId="77777777" w:rsidR="00F00F32" w:rsidRPr="00F00F32" w:rsidRDefault="00F00F32" w:rsidP="00F00F32">
      <w:pPr>
        <w:pStyle w:val="Default"/>
        <w:jc w:val="both"/>
        <w:rPr>
          <w:rFonts w:asciiTheme="minorHAnsi" w:hAnsiTheme="minorHAnsi" w:cstheme="minorHAnsi"/>
          <w:sz w:val="22"/>
          <w:szCs w:val="22"/>
        </w:rPr>
      </w:pPr>
    </w:p>
    <w:p w14:paraId="347C8C92" w14:textId="46E65F92" w:rsidR="004636D5" w:rsidRDefault="31D8CE32" w:rsidP="35DAFC00">
      <w:pPr>
        <w:rPr>
          <w:rFonts w:asciiTheme="minorHAnsi" w:hAnsiTheme="minorHAnsi"/>
        </w:rPr>
      </w:pPr>
      <w:r w:rsidRPr="35DAFC00">
        <w:rPr>
          <w:rFonts w:asciiTheme="minorHAnsi" w:hAnsiTheme="minorHAnsi"/>
        </w:rPr>
        <w:t>Vu qu</w:t>
      </w:r>
      <w:r w:rsidR="7470137F" w:rsidRPr="35DAFC00">
        <w:rPr>
          <w:rFonts w:asciiTheme="minorHAnsi" w:hAnsiTheme="minorHAnsi"/>
        </w:rPr>
        <w:t xml:space="preserve">e d’une part, </w:t>
      </w:r>
      <w:r w:rsidRPr="35DAFC00">
        <w:rPr>
          <w:rFonts w:asciiTheme="minorHAnsi" w:hAnsiTheme="minorHAnsi"/>
        </w:rPr>
        <w:t xml:space="preserve">il n’y a pas </w:t>
      </w:r>
      <w:r w:rsidR="3988F4CA" w:rsidRPr="35DAFC00">
        <w:rPr>
          <w:rFonts w:asciiTheme="minorHAnsi" w:hAnsiTheme="minorHAnsi"/>
        </w:rPr>
        <w:t xml:space="preserve">encore </w:t>
      </w:r>
      <w:r w:rsidRPr="35DAFC00">
        <w:rPr>
          <w:rFonts w:asciiTheme="minorHAnsi" w:hAnsiTheme="minorHAnsi"/>
        </w:rPr>
        <w:t xml:space="preserve">d’accord politique sur le </w:t>
      </w:r>
      <w:hyperlink r:id="rId24">
        <w:r w:rsidRPr="35DAFC00">
          <w:rPr>
            <w:rStyle w:val="Lienhypertexte"/>
            <w:rFonts w:asciiTheme="minorHAnsi" w:hAnsiTheme="minorHAnsi"/>
          </w:rPr>
          <w:t>burden-sharing</w:t>
        </w:r>
      </w:hyperlink>
      <w:r w:rsidRPr="35DAFC00">
        <w:rPr>
          <w:rFonts w:asciiTheme="minorHAnsi" w:hAnsiTheme="minorHAnsi"/>
        </w:rPr>
        <w:t xml:space="preserve"> belge 2021-2030 </w:t>
      </w:r>
      <w:r w:rsidR="3FA55F11" w:rsidRPr="35DAFC00">
        <w:rPr>
          <w:rFonts w:asciiTheme="minorHAnsi" w:hAnsiTheme="minorHAnsi"/>
        </w:rPr>
        <w:t>sur la base du</w:t>
      </w:r>
      <w:r w:rsidR="5431AFC5" w:rsidRPr="35DAFC00">
        <w:rPr>
          <w:rFonts w:asciiTheme="minorHAnsi" w:hAnsiTheme="minorHAnsi"/>
        </w:rPr>
        <w:t xml:space="preserve"> </w:t>
      </w:r>
      <w:r w:rsidRPr="35DAFC00">
        <w:rPr>
          <w:rFonts w:asciiTheme="minorHAnsi" w:hAnsiTheme="minorHAnsi"/>
        </w:rPr>
        <w:t xml:space="preserve">Règlement européen </w:t>
      </w:r>
      <w:hyperlink r:id="rId25">
        <w:r w:rsidRPr="35DAFC00">
          <w:rPr>
            <w:rStyle w:val="Lienhypertexte"/>
            <w:rFonts w:asciiTheme="minorHAnsi" w:hAnsiTheme="minorHAnsi"/>
            <w:i/>
            <w:iCs/>
          </w:rPr>
          <w:t>Effort Sharing Regulation</w:t>
        </w:r>
        <w:r w:rsidRPr="35DAFC00">
          <w:rPr>
            <w:rStyle w:val="Lienhypertexte"/>
            <w:rFonts w:asciiTheme="minorHAnsi" w:hAnsiTheme="minorHAnsi"/>
          </w:rPr>
          <w:t xml:space="preserve"> </w:t>
        </w:r>
        <w:r w:rsidR="75A44AC6" w:rsidRPr="35DAFC00">
          <w:rPr>
            <w:rStyle w:val="Lienhypertexte"/>
            <w:rFonts w:asciiTheme="minorHAnsi" w:hAnsiTheme="minorHAnsi"/>
          </w:rPr>
          <w:t>2018</w:t>
        </w:r>
        <w:r w:rsidRPr="35DAFC00">
          <w:rPr>
            <w:rStyle w:val="Lienhypertexte"/>
            <w:rFonts w:asciiTheme="minorHAnsi" w:hAnsiTheme="minorHAnsi"/>
          </w:rPr>
          <w:t>/</w:t>
        </w:r>
        <w:r w:rsidR="0776C7D7" w:rsidRPr="35DAFC00">
          <w:rPr>
            <w:rStyle w:val="Lienhypertexte"/>
            <w:rFonts w:asciiTheme="minorHAnsi" w:hAnsiTheme="minorHAnsi"/>
          </w:rPr>
          <w:t>842</w:t>
        </w:r>
      </w:hyperlink>
      <w:r w:rsidRPr="35DAFC00">
        <w:rPr>
          <w:rFonts w:asciiTheme="minorHAnsi" w:hAnsiTheme="minorHAnsi"/>
        </w:rPr>
        <w:t xml:space="preserve"> </w:t>
      </w:r>
      <w:r w:rsidR="3988F4CA" w:rsidRPr="35DAFC00">
        <w:rPr>
          <w:rFonts w:asciiTheme="minorHAnsi" w:hAnsiTheme="minorHAnsi"/>
        </w:rPr>
        <w:t>e</w:t>
      </w:r>
      <w:r w:rsidR="7470137F" w:rsidRPr="35DAFC00">
        <w:rPr>
          <w:rFonts w:asciiTheme="minorHAnsi" w:hAnsiTheme="minorHAnsi"/>
        </w:rPr>
        <w:t>t</w:t>
      </w:r>
      <w:r w:rsidR="3988F4CA" w:rsidRPr="35DAFC00">
        <w:rPr>
          <w:rFonts w:asciiTheme="minorHAnsi" w:hAnsiTheme="minorHAnsi"/>
        </w:rPr>
        <w:t xml:space="preserve"> que</w:t>
      </w:r>
      <w:r w:rsidR="7470137F" w:rsidRPr="35DAFC00">
        <w:rPr>
          <w:rFonts w:asciiTheme="minorHAnsi" w:hAnsiTheme="minorHAnsi"/>
        </w:rPr>
        <w:t xml:space="preserve"> d’autre part, </w:t>
      </w:r>
      <w:r w:rsidR="3988F4CA" w:rsidRPr="35DAFC00">
        <w:rPr>
          <w:rFonts w:asciiTheme="minorHAnsi" w:hAnsiTheme="minorHAnsi"/>
        </w:rPr>
        <w:t xml:space="preserve">le PACE wallon (Plan Air Climat Energie, adopté le 21/3/2023) fixe un objectif de réduction en 2030 de -47% par rapport à 2005 pour les secteurs non-ETS </w:t>
      </w:r>
      <w:r w:rsidR="7470137F" w:rsidRPr="35DAFC00">
        <w:rPr>
          <w:rFonts w:asciiTheme="minorHAnsi" w:hAnsiTheme="minorHAnsi"/>
        </w:rPr>
        <w:t>sans</w:t>
      </w:r>
      <w:r w:rsidR="3988F4CA" w:rsidRPr="35DAFC00">
        <w:rPr>
          <w:rFonts w:asciiTheme="minorHAnsi" w:hAnsiTheme="minorHAnsi"/>
        </w:rPr>
        <w:t xml:space="preserve"> détermine</w:t>
      </w:r>
      <w:r w:rsidR="7470137F" w:rsidRPr="35DAFC00">
        <w:rPr>
          <w:rFonts w:asciiTheme="minorHAnsi" w:hAnsiTheme="minorHAnsi"/>
        </w:rPr>
        <w:t>r</w:t>
      </w:r>
      <w:r w:rsidR="3988F4CA" w:rsidRPr="35DAFC00">
        <w:rPr>
          <w:rFonts w:asciiTheme="minorHAnsi" w:hAnsiTheme="minorHAnsi"/>
        </w:rPr>
        <w:t xml:space="preserve"> les trajectoires annuelles, </w:t>
      </w:r>
      <w:r w:rsidRPr="35DAFC00">
        <w:rPr>
          <w:rFonts w:asciiTheme="minorHAnsi" w:hAnsiTheme="minorHAnsi"/>
        </w:rPr>
        <w:t xml:space="preserve">il n’est actuellement </w:t>
      </w:r>
      <w:r w:rsidR="3988F4CA" w:rsidRPr="35DAFC00">
        <w:rPr>
          <w:rFonts w:asciiTheme="minorHAnsi" w:hAnsiTheme="minorHAnsi"/>
        </w:rPr>
        <w:t xml:space="preserve">pas possible </w:t>
      </w:r>
      <w:r w:rsidRPr="35DAFC00">
        <w:rPr>
          <w:rFonts w:asciiTheme="minorHAnsi" w:hAnsiTheme="minorHAnsi"/>
        </w:rPr>
        <w:t>de comparer les émissions 202</w:t>
      </w:r>
      <w:r w:rsidR="3FA55F11" w:rsidRPr="35DAFC00">
        <w:rPr>
          <w:rFonts w:asciiTheme="minorHAnsi" w:hAnsiTheme="minorHAnsi"/>
        </w:rPr>
        <w:t>4</w:t>
      </w:r>
      <w:r w:rsidRPr="35DAFC00">
        <w:rPr>
          <w:rFonts w:asciiTheme="minorHAnsi" w:hAnsiTheme="minorHAnsi"/>
        </w:rPr>
        <w:t xml:space="preserve"> à </w:t>
      </w:r>
      <w:r w:rsidR="3988F4CA" w:rsidRPr="35DAFC00">
        <w:rPr>
          <w:rFonts w:asciiTheme="minorHAnsi" w:hAnsiTheme="minorHAnsi"/>
        </w:rPr>
        <w:t>une trajectoire précise.</w:t>
      </w:r>
      <w:r w:rsidR="59C8ACC9" w:rsidRPr="35DAFC00">
        <w:rPr>
          <w:rFonts w:asciiTheme="minorHAnsi" w:hAnsiTheme="minorHAnsi"/>
        </w:rPr>
        <w:t xml:space="preserve"> </w:t>
      </w:r>
    </w:p>
    <w:p w14:paraId="24BDC43A" w14:textId="13BD76BF" w:rsidR="000604F2" w:rsidRDefault="59C8ACC9" w:rsidP="35DAFC00">
      <w:pPr>
        <w:rPr>
          <w:rFonts w:asciiTheme="minorHAnsi" w:hAnsiTheme="minorHAnsi"/>
        </w:rPr>
      </w:pPr>
      <w:r w:rsidRPr="35DAFC00">
        <w:rPr>
          <w:rFonts w:asciiTheme="minorHAnsi" w:hAnsiTheme="minorHAnsi"/>
        </w:rPr>
        <w:t>Néanmoins, l</w:t>
      </w:r>
      <w:r w:rsidR="0B9BBCEF" w:rsidRPr="35DAFC00">
        <w:rPr>
          <w:rFonts w:asciiTheme="minorHAnsi" w:hAnsiTheme="minorHAnsi"/>
        </w:rPr>
        <w:t>a répartition des émissions de gaz à effet de serre, le</w:t>
      </w:r>
      <w:r w:rsidRPr="35DAFC00">
        <w:rPr>
          <w:rFonts w:asciiTheme="minorHAnsi" w:hAnsiTheme="minorHAnsi"/>
        </w:rPr>
        <w:t xml:space="preserve"> chemin parcouru entre 2005 et 202</w:t>
      </w:r>
      <w:r w:rsidR="3FA55F11" w:rsidRPr="35DAFC00">
        <w:rPr>
          <w:rFonts w:asciiTheme="minorHAnsi" w:hAnsiTheme="minorHAnsi"/>
        </w:rPr>
        <w:t>4</w:t>
      </w:r>
      <w:r w:rsidRPr="35DAFC00">
        <w:rPr>
          <w:rFonts w:asciiTheme="minorHAnsi" w:hAnsiTheme="minorHAnsi"/>
        </w:rPr>
        <w:t xml:space="preserve"> </w:t>
      </w:r>
      <w:r w:rsidR="0B9BBCEF" w:rsidRPr="35DAFC00">
        <w:rPr>
          <w:rFonts w:asciiTheme="minorHAnsi" w:hAnsiTheme="minorHAnsi"/>
        </w:rPr>
        <w:t>ainsi que l’objectif décrit dans le PACE 2030</w:t>
      </w:r>
      <w:r w:rsidR="4F5C7040" w:rsidRPr="35DAFC00">
        <w:rPr>
          <w:rFonts w:asciiTheme="minorHAnsi" w:hAnsiTheme="minorHAnsi"/>
        </w:rPr>
        <w:t xml:space="preserve"> so</w:t>
      </w:r>
      <w:r w:rsidR="49892F24" w:rsidRPr="35DAFC00">
        <w:rPr>
          <w:rFonts w:asciiTheme="minorHAnsi" w:hAnsiTheme="minorHAnsi"/>
        </w:rPr>
        <w:t xml:space="preserve">nt </w:t>
      </w:r>
      <w:r w:rsidR="55581EC7" w:rsidRPr="35DAFC00">
        <w:rPr>
          <w:rFonts w:asciiTheme="minorHAnsi" w:hAnsiTheme="minorHAnsi"/>
        </w:rPr>
        <w:t>décrits</w:t>
      </w:r>
      <w:r w:rsidR="49892F24" w:rsidRPr="35DAFC00">
        <w:rPr>
          <w:rFonts w:asciiTheme="minorHAnsi" w:hAnsiTheme="minorHAnsi"/>
        </w:rPr>
        <w:t xml:space="preserve"> dans le </w:t>
      </w:r>
      <w:r w:rsidR="004F7C85" w:rsidRPr="35DAFC00">
        <w:rPr>
          <w:rFonts w:asciiTheme="minorHAnsi" w:hAnsiTheme="minorHAnsi"/>
        </w:rPr>
        <w:fldChar w:fldCharType="begin"/>
      </w:r>
      <w:r w:rsidR="004F7C85" w:rsidRPr="35DAFC00">
        <w:rPr>
          <w:rFonts w:asciiTheme="minorHAnsi" w:hAnsiTheme="minorHAnsi"/>
        </w:rPr>
        <w:instrText xml:space="preserve"> REF _Ref225412071 \h </w:instrText>
      </w:r>
      <w:r w:rsidR="00356944" w:rsidRPr="35DAFC00">
        <w:rPr>
          <w:rFonts w:asciiTheme="minorHAnsi" w:hAnsiTheme="minorHAnsi"/>
        </w:rPr>
        <w:instrText xml:space="preserve"> \* MERGEFORMAT </w:instrText>
      </w:r>
      <w:r w:rsidR="004F7C85" w:rsidRPr="35DAFC00">
        <w:rPr>
          <w:rFonts w:asciiTheme="minorHAnsi" w:hAnsiTheme="minorHAnsi"/>
        </w:rPr>
      </w:r>
      <w:r w:rsidR="004F7C85" w:rsidRPr="35DAFC00">
        <w:rPr>
          <w:rFonts w:asciiTheme="minorHAnsi" w:hAnsiTheme="minorHAnsi"/>
        </w:rPr>
        <w:fldChar w:fldCharType="separate"/>
      </w:r>
      <w:r w:rsidR="001D5695" w:rsidRPr="001D5695">
        <w:rPr>
          <w:rFonts w:asciiTheme="minorHAnsi" w:hAnsiTheme="minorHAnsi"/>
        </w:rPr>
        <w:t xml:space="preserve">Tableau </w:t>
      </w:r>
      <w:r w:rsidR="001D5695" w:rsidRPr="001D5695">
        <w:rPr>
          <w:rFonts w:asciiTheme="minorHAnsi" w:hAnsiTheme="minorHAnsi"/>
          <w:noProof/>
        </w:rPr>
        <w:t>1</w:t>
      </w:r>
      <w:r w:rsidR="004F7C85" w:rsidRPr="35DAFC00">
        <w:rPr>
          <w:rFonts w:asciiTheme="minorHAnsi" w:hAnsiTheme="minorHAnsi"/>
        </w:rPr>
        <w:fldChar w:fldCharType="end"/>
      </w:r>
      <w:r w:rsidR="55581EC7" w:rsidRPr="35DAFC00">
        <w:rPr>
          <w:rFonts w:asciiTheme="minorHAnsi" w:hAnsiTheme="minorHAnsi"/>
        </w:rPr>
        <w:t xml:space="preserve">. En outre, </w:t>
      </w:r>
      <w:r w:rsidR="0A3E43EE" w:rsidRPr="35DAFC00">
        <w:rPr>
          <w:rFonts w:asciiTheme="minorHAnsi" w:hAnsiTheme="minorHAnsi"/>
        </w:rPr>
        <w:t xml:space="preserve">les émissions du secteur non-ETS ont </w:t>
      </w:r>
      <w:r w:rsidR="3FA55F11" w:rsidRPr="35DAFC00">
        <w:rPr>
          <w:rFonts w:asciiTheme="minorHAnsi" w:hAnsiTheme="minorHAnsi"/>
        </w:rPr>
        <w:t xml:space="preserve">stagné </w:t>
      </w:r>
      <w:r w:rsidR="0A3E43EE" w:rsidRPr="35DAFC00">
        <w:rPr>
          <w:rFonts w:asciiTheme="minorHAnsi" w:hAnsiTheme="minorHAnsi"/>
        </w:rPr>
        <w:t>entre 202</w:t>
      </w:r>
      <w:r w:rsidR="3FA55F11" w:rsidRPr="35DAFC00">
        <w:rPr>
          <w:rFonts w:asciiTheme="minorHAnsi" w:hAnsiTheme="minorHAnsi"/>
        </w:rPr>
        <w:t>3</w:t>
      </w:r>
      <w:r w:rsidR="0A3E43EE" w:rsidRPr="35DAFC00">
        <w:rPr>
          <w:rFonts w:asciiTheme="minorHAnsi" w:hAnsiTheme="minorHAnsi"/>
        </w:rPr>
        <w:t xml:space="preserve"> et 202</w:t>
      </w:r>
      <w:r w:rsidR="3FA55F11" w:rsidRPr="35DAFC00">
        <w:rPr>
          <w:rFonts w:asciiTheme="minorHAnsi" w:hAnsiTheme="minorHAnsi"/>
        </w:rPr>
        <w:t>4</w:t>
      </w:r>
      <w:r w:rsidR="0AC0ECEE" w:rsidRPr="35DAFC00">
        <w:rPr>
          <w:rFonts w:asciiTheme="minorHAnsi" w:hAnsiTheme="minorHAnsi"/>
        </w:rPr>
        <w:t>. L’augmentation principale se situe dans le secteur du transport</w:t>
      </w:r>
      <w:r w:rsidR="499C197D" w:rsidRPr="35DAFC00">
        <w:rPr>
          <w:rFonts w:asciiTheme="minorHAnsi" w:hAnsiTheme="minorHAnsi"/>
        </w:rPr>
        <w:t xml:space="preserve"> (+</w:t>
      </w:r>
      <w:r w:rsidR="3FA55F11" w:rsidRPr="35DAFC00">
        <w:rPr>
          <w:rFonts w:asciiTheme="minorHAnsi" w:hAnsiTheme="minorHAnsi"/>
        </w:rPr>
        <w:t>3</w:t>
      </w:r>
      <w:r w:rsidR="499C197D" w:rsidRPr="35DAFC00">
        <w:rPr>
          <w:rFonts w:asciiTheme="minorHAnsi" w:hAnsiTheme="minorHAnsi"/>
        </w:rPr>
        <w:t>%)</w:t>
      </w:r>
      <w:r w:rsidR="0AC0ECEE" w:rsidRPr="35DAFC00">
        <w:rPr>
          <w:rFonts w:asciiTheme="minorHAnsi" w:hAnsiTheme="minorHAnsi"/>
        </w:rPr>
        <w:t>.</w:t>
      </w:r>
      <w:r w:rsidR="4803EEE0" w:rsidRPr="35DAFC00">
        <w:rPr>
          <w:rFonts w:asciiTheme="minorHAnsi" w:hAnsiTheme="minorHAnsi"/>
        </w:rPr>
        <w:t xml:space="preserve"> Entre 2021 et 2024, une réduction de 6% est observée.</w:t>
      </w:r>
    </w:p>
    <w:p w14:paraId="39E1A580" w14:textId="1D66D69F" w:rsidR="00CB7622" w:rsidRDefault="00CB7622">
      <w:bookmarkStart w:id="2" w:name="_Hlk188535789"/>
    </w:p>
    <w:p w14:paraId="0D6EE353" w14:textId="53EB11EB" w:rsidR="008D6507" w:rsidRDefault="7CE79965" w:rsidP="00356944">
      <w:pPr>
        <w:pStyle w:val="Lgende"/>
        <w:keepNext/>
        <w:jc w:val="center"/>
      </w:pPr>
      <w:bookmarkStart w:id="3" w:name="_Ref225412071"/>
      <w:r>
        <w:t xml:space="preserve">Tableau </w:t>
      </w:r>
      <w:r w:rsidR="008D6507">
        <w:fldChar w:fldCharType="begin"/>
      </w:r>
      <w:r w:rsidR="008D6507">
        <w:instrText xml:space="preserve"> SEQ Tableau \* ARABIC </w:instrText>
      </w:r>
      <w:r w:rsidR="008D6507">
        <w:fldChar w:fldCharType="separate"/>
      </w:r>
      <w:r w:rsidR="001D5695">
        <w:rPr>
          <w:noProof/>
        </w:rPr>
        <w:t>1</w:t>
      </w:r>
      <w:r w:rsidR="008D6507">
        <w:fldChar w:fldCharType="end"/>
      </w:r>
      <w:bookmarkEnd w:id="3"/>
      <w:r w:rsidRPr="00200A06">
        <w:t>: RÉPARTITION DES ÉMISSIONS DE GAZ À EFFET DE SERRE NON-ETS PAR SECTEUR NON-ETS EN WALLONIE (SOUMISSION MARS 2026, AWAC)</w:t>
      </w:r>
      <w:r w:rsidR="008D6507">
        <w:rPr>
          <w:rStyle w:val="Appelnotedebasdep"/>
        </w:rPr>
        <w:footnoteReference w:id="3"/>
      </w:r>
    </w:p>
    <w:tbl>
      <w:tblPr>
        <w:tblStyle w:val="Tableausimple3"/>
        <w:tblW w:w="9072" w:type="dxa"/>
        <w:jc w:val="center"/>
        <w:tblLook w:val="04A0" w:firstRow="1" w:lastRow="0" w:firstColumn="1" w:lastColumn="0" w:noHBand="0" w:noVBand="1"/>
      </w:tblPr>
      <w:tblGrid>
        <w:gridCol w:w="1559"/>
        <w:gridCol w:w="731"/>
        <w:gridCol w:w="2052"/>
        <w:gridCol w:w="1725"/>
        <w:gridCol w:w="1722"/>
        <w:gridCol w:w="1283"/>
      </w:tblGrid>
      <w:tr w:rsidR="00781905" w:rsidRPr="00781905" w14:paraId="53146784" w14:textId="57E01880" w:rsidTr="35DAFC00">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100" w:firstRow="0" w:lastRow="0" w:firstColumn="1" w:lastColumn="0" w:oddVBand="0" w:evenVBand="0" w:oddHBand="0" w:evenHBand="0" w:firstRowFirstColumn="1" w:firstRowLastColumn="0" w:lastRowFirstColumn="0" w:lastRowLastColumn="0"/>
            <w:tcW w:w="1559" w:type="dxa"/>
            <w:tcBorders>
              <w:bottom w:val="none" w:sz="0" w:space="0" w:color="auto"/>
              <w:right w:val="single" w:sz="8" w:space="0" w:color="000000" w:themeColor="text1"/>
            </w:tcBorders>
            <w:vAlign w:val="bottom"/>
            <w:hideMark/>
          </w:tcPr>
          <w:p w14:paraId="728DCFF7" w14:textId="242D571B" w:rsidR="00781905" w:rsidRPr="00781905" w:rsidRDefault="00781905" w:rsidP="00494CF1">
            <w:pPr>
              <w:spacing w:after="0" w:line="240" w:lineRule="auto"/>
              <w:jc w:val="center"/>
              <w:rPr>
                <w:rFonts w:ascii="Calibri" w:eastAsia="Times New Roman" w:hAnsi="Calibri" w:cs="Calibri"/>
                <w:caps w:val="0"/>
                <w:sz w:val="20"/>
                <w:szCs w:val="20"/>
                <w:lang w:eastAsia="fr-BE"/>
              </w:rPr>
            </w:pPr>
          </w:p>
        </w:tc>
        <w:tc>
          <w:tcPr>
            <w:tcW w:w="27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355B00B8" w14:textId="61CC8FB7" w:rsidR="00781905" w:rsidRPr="00B761C0" w:rsidRDefault="5A530283" w:rsidP="35DAFC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lang w:val="en-US" w:eastAsia="fr-BE"/>
              </w:rPr>
            </w:pPr>
            <w:r w:rsidRPr="35DAFC00">
              <w:rPr>
                <w:rFonts w:ascii="Calibri" w:hAnsi="Calibri" w:cs="Calibri"/>
                <w:caps w:val="0"/>
                <w:color w:val="000000" w:themeColor="text1"/>
              </w:rPr>
              <w:t xml:space="preserve"> Répartition sectorielle en </w:t>
            </w:r>
            <w:r w:rsidRPr="35DAFC00">
              <w:rPr>
                <w:rFonts w:ascii="Calibri" w:hAnsi="Calibri" w:cs="Calibri"/>
                <w:color w:val="000000" w:themeColor="text1"/>
              </w:rPr>
              <w:t>2024</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7E0B88C8" w14:textId="084D7B6E" w:rsidR="5B3DE0DC" w:rsidRDefault="5B3DE0DC" w:rsidP="35DAFC00">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aps w:val="0"/>
                <w:color w:val="000000" w:themeColor="text1"/>
              </w:rPr>
            </w:pPr>
            <w:r w:rsidRPr="35DAFC00">
              <w:rPr>
                <w:rFonts w:ascii="Calibri" w:hAnsi="Calibri" w:cs="Calibri"/>
                <w:caps w:val="0"/>
                <w:color w:val="000000" w:themeColor="text1"/>
              </w:rPr>
              <w:t>Objectif</w:t>
            </w:r>
            <w:r w:rsidR="65A2CB03" w:rsidRPr="35DAFC00">
              <w:rPr>
                <w:rFonts w:ascii="Calibri" w:hAnsi="Calibri" w:cs="Calibri"/>
                <w:caps w:val="0"/>
                <w:color w:val="000000" w:themeColor="text1"/>
              </w:rPr>
              <w:t xml:space="preserve"> du Plan Air Climat Energie 2030</w:t>
            </w:r>
          </w:p>
        </w:tc>
        <w:tc>
          <w:tcPr>
            <w:tcW w:w="30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4B18CC41" w14:textId="5A1DFD25" w:rsidR="00781905" w:rsidRPr="00B761C0" w:rsidRDefault="5A530283" w:rsidP="35DAFC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fr-BE"/>
              </w:rPr>
            </w:pPr>
            <w:r w:rsidRPr="35DAFC00">
              <w:rPr>
                <w:rFonts w:ascii="Calibri" w:hAnsi="Calibri" w:cs="Calibri"/>
                <w:caps w:val="0"/>
                <w:color w:val="000000" w:themeColor="text1"/>
              </w:rPr>
              <w:t>Chemin parcouru</w:t>
            </w:r>
          </w:p>
        </w:tc>
      </w:tr>
      <w:tr w:rsidR="00B761C0" w:rsidRPr="00781905" w14:paraId="48244D1F" w14:textId="77777777" w:rsidTr="00B761C0">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1559" w:type="dxa"/>
            <w:tcBorders>
              <w:bottom w:val="single" w:sz="4" w:space="0" w:color="auto"/>
              <w:right w:val="single" w:sz="8" w:space="0" w:color="000000" w:themeColor="text1"/>
            </w:tcBorders>
            <w:shd w:val="clear" w:color="auto" w:fill="auto"/>
          </w:tcPr>
          <w:p w14:paraId="110A3784" w14:textId="77777777" w:rsidR="00356944" w:rsidRPr="00781905" w:rsidRDefault="00356944" w:rsidP="35DAFC00">
            <w:pPr>
              <w:spacing w:after="0" w:line="240" w:lineRule="auto"/>
              <w:jc w:val="center"/>
              <w:rPr>
                <w:rFonts w:ascii="Calibri" w:eastAsia="Times New Roman" w:hAnsi="Calibri" w:cs="Calibri"/>
                <w:b w:val="0"/>
                <w:bCs w:val="0"/>
                <w:caps w:val="0"/>
                <w:color w:val="000000" w:themeColor="text1"/>
                <w:sz w:val="18"/>
                <w:szCs w:val="18"/>
                <w:lang w:eastAsia="fr-BE"/>
              </w:rPr>
            </w:pP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00077DA" w14:textId="373A372A" w:rsidR="00356944" w:rsidRPr="00781905" w:rsidRDefault="7470137F" w:rsidP="35DAFC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fr-BE"/>
              </w:rPr>
            </w:pPr>
            <w:r w:rsidRPr="35DAFC00">
              <w:rPr>
                <w:rFonts w:ascii="Calibri" w:eastAsia="Times New Roman" w:hAnsi="Calibri" w:cs="Calibri"/>
                <w:color w:val="000000" w:themeColor="text1"/>
                <w:sz w:val="18"/>
                <w:szCs w:val="18"/>
                <w:lang w:eastAsia="fr-BE"/>
              </w:rPr>
              <w:t>En %</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D02C92D" w14:textId="605970B7" w:rsidR="00356944" w:rsidRPr="00781905" w:rsidRDefault="7470137F" w:rsidP="35DAFC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fr-BE"/>
              </w:rPr>
            </w:pPr>
            <w:r w:rsidRPr="35DAFC00">
              <w:rPr>
                <w:rFonts w:ascii="Calibri" w:eastAsia="Times New Roman" w:hAnsi="Calibri" w:cs="Calibri"/>
                <w:color w:val="000000" w:themeColor="text1"/>
                <w:sz w:val="18"/>
                <w:szCs w:val="18"/>
                <w:lang w:eastAsia="fr-BE"/>
              </w:rPr>
              <w:t>En kt CO2</w:t>
            </w:r>
            <w:r w:rsidR="5A530283" w:rsidRPr="35DAFC00">
              <w:rPr>
                <w:rFonts w:ascii="Calibri" w:eastAsia="Times New Roman" w:hAnsi="Calibri" w:cs="Calibri"/>
                <w:color w:val="000000" w:themeColor="text1"/>
                <w:sz w:val="18"/>
                <w:szCs w:val="18"/>
                <w:lang w:eastAsia="fr-BE"/>
              </w:rPr>
              <w:t>-équivalent</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A0D805" w14:textId="7EF161DD" w:rsidR="04D330D1" w:rsidRDefault="04D330D1" w:rsidP="35DAFC00">
            <w:pPr>
              <w:spacing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fr-BE"/>
              </w:rPr>
            </w:pPr>
            <w:r w:rsidRPr="35DAFC00">
              <w:rPr>
                <w:rFonts w:ascii="Calibri" w:eastAsia="Times New Roman" w:hAnsi="Calibri" w:cs="Calibri"/>
                <w:color w:val="000000" w:themeColor="text1"/>
                <w:sz w:val="18"/>
                <w:szCs w:val="18"/>
                <w:lang w:eastAsia="fr-BE"/>
              </w:rPr>
              <w:t>Entre 2005 et 2030</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EEC9B2A" w14:textId="43BA3818" w:rsidR="00356944" w:rsidRPr="00781905" w:rsidRDefault="5A530283" w:rsidP="35DAFC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fr-BE"/>
              </w:rPr>
            </w:pPr>
            <w:r w:rsidRPr="35DAFC00">
              <w:rPr>
                <w:rFonts w:ascii="Calibri" w:eastAsia="Times New Roman" w:hAnsi="Calibri" w:cs="Calibri"/>
                <w:color w:val="000000" w:themeColor="text1"/>
                <w:sz w:val="18"/>
                <w:szCs w:val="18"/>
                <w:lang w:eastAsia="fr-BE"/>
              </w:rPr>
              <w:t>Entre 2005 et 2024</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96B82D" w14:textId="16D43872" w:rsidR="00356944" w:rsidRPr="00781905" w:rsidRDefault="5A530283" w:rsidP="35DAFC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18"/>
                <w:szCs w:val="18"/>
                <w:lang w:eastAsia="fr-BE"/>
              </w:rPr>
            </w:pPr>
            <w:r w:rsidRPr="35DAFC00">
              <w:rPr>
                <w:rFonts w:ascii="Calibri" w:eastAsia="Times New Roman" w:hAnsi="Calibri" w:cs="Calibri"/>
                <w:color w:val="000000" w:themeColor="text1"/>
                <w:sz w:val="18"/>
                <w:szCs w:val="18"/>
                <w:lang w:eastAsia="fr-BE"/>
              </w:rPr>
              <w:t>Entre 2023 et 2024</w:t>
            </w:r>
          </w:p>
        </w:tc>
      </w:tr>
      <w:tr w:rsidR="00B761C0" w:rsidRPr="005D173C" w14:paraId="1DB124FE" w14:textId="4C07C58A" w:rsidTr="00B761C0">
        <w:trPr>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right w:val="single" w:sz="8" w:space="0" w:color="000000" w:themeColor="text1"/>
            </w:tcBorders>
            <w:vAlign w:val="bottom"/>
            <w:hideMark/>
          </w:tcPr>
          <w:p w14:paraId="50D41196" w14:textId="648298FF" w:rsidR="00AC6CC9" w:rsidRPr="005D173C" w:rsidRDefault="00AC6CC9" w:rsidP="00AC6CC9">
            <w:pPr>
              <w:spacing w:after="0" w:line="240" w:lineRule="auto"/>
              <w:jc w:val="left"/>
              <w:rPr>
                <w:rFonts w:ascii="Calibri" w:eastAsia="Times New Roman" w:hAnsi="Calibri" w:cs="Calibri"/>
                <w:sz w:val="20"/>
                <w:szCs w:val="20"/>
                <w:lang w:eastAsia="fr-BE"/>
              </w:rPr>
            </w:pPr>
            <w:r>
              <w:rPr>
                <w:rFonts w:ascii="Calibri" w:hAnsi="Calibri" w:cs="Calibri"/>
                <w:color w:val="000000"/>
              </w:rPr>
              <w:t>ENERGIE</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2B39123" w14:textId="46C07930"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DD3F043" w14:textId="59D145D1" w:rsidR="00AC6CC9" w:rsidRPr="00F10905" w:rsidRDefault="7AAA7952" w:rsidP="35DAFC00">
            <w:pPr>
              <w:spacing w:after="0" w:line="240" w:lineRule="auto"/>
              <w:ind w:right="314"/>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609.54</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F894156" w14:textId="64DC6189" w:rsidR="5510DB40" w:rsidRDefault="5510DB40" w:rsidP="35DAFC00">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-50%</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6B5209D" w14:textId="5BD44423" w:rsidR="00AC6CC9" w:rsidRPr="00F10905" w:rsidRDefault="2988606C"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w:t>
            </w:r>
            <w:r w:rsidR="7AAA7952" w:rsidRPr="35DAFC00">
              <w:rPr>
                <w:rFonts w:ascii="Calibri" w:hAnsi="Calibri" w:cs="Calibri"/>
                <w:color w:val="000000" w:themeColor="text1"/>
              </w:rPr>
              <w:t>52%</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321A65" w14:textId="38E5FA6A"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-11%</w:t>
            </w:r>
          </w:p>
        </w:tc>
      </w:tr>
      <w:tr w:rsidR="00781905" w:rsidRPr="005D173C" w14:paraId="264BF487" w14:textId="5F8F3450" w:rsidTr="35DAFC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2FE4E4CA" w14:textId="4EE6F551"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INDUSTRIE</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B29DBEA" w14:textId="351CD7ED"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5%</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FE6AB9A" w14:textId="109744DF" w:rsidR="00AC6CC9" w:rsidRPr="00F10905" w:rsidRDefault="7AAA7952" w:rsidP="35DAFC00">
            <w:pPr>
              <w:spacing w:after="0" w:line="240" w:lineRule="auto"/>
              <w:ind w:right="314"/>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1085.84</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1A94798" w14:textId="7A636D4A" w:rsidR="7955673A" w:rsidRDefault="7955673A" w:rsidP="35DAFC00">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-80%</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F51F5B5" w14:textId="45216200"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-67%</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3D6DCFF" w14:textId="43E9D838" w:rsidR="00AC6CC9" w:rsidRPr="00F10905" w:rsidRDefault="026A9360"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w:t>
            </w:r>
            <w:r w:rsidR="7AAA7952" w:rsidRPr="35DAFC00">
              <w:rPr>
                <w:rFonts w:ascii="Calibri" w:hAnsi="Calibri" w:cs="Calibri"/>
                <w:color w:val="000000" w:themeColor="text1"/>
              </w:rPr>
              <w:t>1%</w:t>
            </w:r>
          </w:p>
        </w:tc>
      </w:tr>
      <w:tr w:rsidR="00B761C0" w:rsidRPr="005D173C" w14:paraId="20AF684E" w14:textId="386AE65F" w:rsidTr="00B761C0">
        <w:trPr>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4AF0955E" w14:textId="6C96B551"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TRANSPORT</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A9F0514" w14:textId="4E8A387A"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39%</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928026" w14:textId="131E1F21" w:rsidR="00AC6CC9" w:rsidRPr="00F10905" w:rsidRDefault="7AAA7952" w:rsidP="35DAFC00">
            <w:pPr>
              <w:spacing w:after="0" w:line="240" w:lineRule="auto"/>
              <w:ind w:right="314"/>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7688.31</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A4D20A" w14:textId="31877C6C" w:rsidR="3DEBA5F5" w:rsidRDefault="3DEBA5F5" w:rsidP="35DAFC00">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-43%</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C4AE7E7" w14:textId="70668533"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-4%</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149F2D" w14:textId="774BC6EC" w:rsidR="00AC6CC9" w:rsidRPr="00F10905" w:rsidRDefault="2E97B7D6"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w:t>
            </w:r>
            <w:r w:rsidR="7AAA7952" w:rsidRPr="35DAFC00">
              <w:rPr>
                <w:rFonts w:ascii="Calibri" w:hAnsi="Calibri" w:cs="Calibri"/>
                <w:color w:val="000000" w:themeColor="text1"/>
              </w:rPr>
              <w:t>3%</w:t>
            </w:r>
          </w:p>
        </w:tc>
      </w:tr>
      <w:tr w:rsidR="00781905" w:rsidRPr="005D173C" w14:paraId="3BAC31C2" w14:textId="199A033E" w:rsidTr="35DAFC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04413495" w14:textId="3C238C34"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RESIDENTIEL</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48AED1A" w14:textId="382E2928"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22%</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0B6E864" w14:textId="03A3A168" w:rsidR="00AC6CC9" w:rsidRPr="00F10905" w:rsidRDefault="7AAA7952" w:rsidP="35DAFC00">
            <w:pPr>
              <w:spacing w:after="0" w:line="240" w:lineRule="auto"/>
              <w:ind w:right="314"/>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4377.09</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833DC26" w14:textId="2CDF6A9B" w:rsidR="11213479" w:rsidRDefault="11213479" w:rsidP="35DAFC00">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-52%</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3FE3E63" w14:textId="6C84666F"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-39%</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B0F9B" w14:textId="44F963C0" w:rsidR="00AC6CC9" w:rsidRPr="00F10905" w:rsidRDefault="0757C6E5"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w:t>
            </w:r>
            <w:r w:rsidR="7AAA7952" w:rsidRPr="35DAFC00">
              <w:rPr>
                <w:rFonts w:ascii="Calibri" w:hAnsi="Calibri" w:cs="Calibri"/>
                <w:color w:val="000000" w:themeColor="text1"/>
              </w:rPr>
              <w:t>1%</w:t>
            </w:r>
          </w:p>
        </w:tc>
      </w:tr>
      <w:tr w:rsidR="00B761C0" w:rsidRPr="005D173C" w14:paraId="2DBEEFC5" w14:textId="36861600" w:rsidTr="00B761C0">
        <w:trPr>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57FDB87E" w14:textId="6B4862FC"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TERTIAIRE</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B9B8B85" w14:textId="288AAA47"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6%</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9444DAC" w14:textId="6AB31B24" w:rsidR="00AC6CC9" w:rsidRPr="00F10905" w:rsidRDefault="7AAA7952" w:rsidP="35DAFC00">
            <w:pPr>
              <w:spacing w:after="0" w:line="240" w:lineRule="auto"/>
              <w:ind w:right="314"/>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1258.28</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2CB620E" w14:textId="40C634B0" w:rsidR="6C542C78" w:rsidRDefault="6C542C78" w:rsidP="35DAFC00">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-63%</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C64AFF4" w14:textId="4E76AC51"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-24%</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06E121" w14:textId="691431FD" w:rsidR="00AC6CC9" w:rsidRPr="00F10905" w:rsidRDefault="44A2A436"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w:t>
            </w:r>
            <w:r w:rsidR="7AAA7952" w:rsidRPr="35DAFC00">
              <w:rPr>
                <w:rFonts w:ascii="Calibri" w:hAnsi="Calibri" w:cs="Calibri"/>
                <w:color w:val="000000" w:themeColor="text1"/>
              </w:rPr>
              <w:t>0%</w:t>
            </w:r>
          </w:p>
        </w:tc>
      </w:tr>
      <w:tr w:rsidR="00781905" w:rsidRPr="005D173C" w14:paraId="3CD5FFDE" w14:textId="571B43F1" w:rsidTr="35DAFC0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11012106" w14:textId="4C85457C"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AGRICULTURE</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35CAF74" w14:textId="4450F440"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19%</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5C3F1E5" w14:textId="3BDBD794" w:rsidR="00AC6CC9" w:rsidRPr="00F10905" w:rsidRDefault="7AAA7952" w:rsidP="35DAFC00">
            <w:pPr>
              <w:spacing w:after="0" w:line="240" w:lineRule="auto"/>
              <w:ind w:right="314"/>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3687.09</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DD760FC" w14:textId="508E62FA" w:rsidR="1FED434A" w:rsidRDefault="1FED434A" w:rsidP="35DAFC00">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-27%</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923C8AB" w14:textId="5F35F1E0"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-19%</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0A57FB" w14:textId="4722EDB7"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-4%</w:t>
            </w:r>
          </w:p>
        </w:tc>
      </w:tr>
      <w:tr w:rsidR="00B761C0" w:rsidRPr="005D173C" w14:paraId="2A89F740" w14:textId="5232FD82" w:rsidTr="00B761C0">
        <w:trPr>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000000" w:themeColor="text1"/>
            </w:tcBorders>
            <w:vAlign w:val="bottom"/>
            <w:hideMark/>
          </w:tcPr>
          <w:p w14:paraId="78C5C6E1" w14:textId="12E3E041"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DECHETS</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66BA0C5" w14:textId="68BA6783"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2%</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A03894B" w14:textId="7C7D3A01" w:rsidR="00AC6CC9" w:rsidRPr="00F10905" w:rsidRDefault="7AAA7952" w:rsidP="35DAFC00">
            <w:pPr>
              <w:spacing w:after="0" w:line="240" w:lineRule="auto"/>
              <w:ind w:right="314"/>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379.14</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9D76F4" w14:textId="2EC359FC" w:rsidR="13C9FCFB" w:rsidRDefault="13C9FCFB" w:rsidP="35DAFC00">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-70%</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4B6F961" w14:textId="5B08208B"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-64%</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9343993" w14:textId="4EE04E47"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-8%</w:t>
            </w:r>
          </w:p>
        </w:tc>
      </w:tr>
      <w:tr w:rsidR="00B761C0" w:rsidRPr="005D173C" w14:paraId="180D3FF9" w14:textId="02CFEDC5" w:rsidTr="00B761C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bottom w:val="single" w:sz="4" w:space="0" w:color="auto"/>
              <w:right w:val="single" w:sz="8" w:space="0" w:color="000000" w:themeColor="text1"/>
            </w:tcBorders>
            <w:vAlign w:val="bottom"/>
            <w:hideMark/>
          </w:tcPr>
          <w:p w14:paraId="09DF1337" w14:textId="77AFD7E1" w:rsidR="00AC6CC9" w:rsidRPr="005D173C" w:rsidRDefault="00AC6CC9" w:rsidP="00AC6CC9">
            <w:pPr>
              <w:spacing w:after="0" w:line="240" w:lineRule="auto"/>
              <w:jc w:val="left"/>
              <w:rPr>
                <w:rFonts w:ascii="Calibri" w:eastAsia="Times New Roman" w:hAnsi="Calibri" w:cs="Calibri"/>
                <w:color w:val="000000"/>
                <w:sz w:val="20"/>
                <w:szCs w:val="20"/>
                <w:lang w:eastAsia="fr-BE"/>
              </w:rPr>
            </w:pPr>
            <w:r>
              <w:rPr>
                <w:rFonts w:ascii="Calibri" w:hAnsi="Calibri" w:cs="Calibri"/>
                <w:color w:val="000000"/>
              </w:rPr>
              <w:t>AUTRES</w:t>
            </w:r>
          </w:p>
        </w:tc>
        <w:tc>
          <w:tcPr>
            <w:tcW w:w="731"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DF0EAF7" w14:textId="27ACCE02"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3%</w:t>
            </w:r>
          </w:p>
        </w:tc>
        <w:tc>
          <w:tcPr>
            <w:tcW w:w="205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E72D23C" w14:textId="4F6DD70E" w:rsidR="00AC6CC9" w:rsidRPr="00F10905" w:rsidRDefault="7AAA7952" w:rsidP="35DAFC00">
            <w:pPr>
              <w:spacing w:after="0" w:line="240" w:lineRule="auto"/>
              <w:ind w:right="314"/>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661.15</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E91353" w14:textId="11FD3F1E" w:rsidR="725A701F" w:rsidRDefault="725A701F" w:rsidP="35DAFC00">
            <w:pPr>
              <w:spacing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-43%</w:t>
            </w:r>
          </w:p>
        </w:tc>
        <w:tc>
          <w:tcPr>
            <w:tcW w:w="17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05F80CBC" w14:textId="05049477"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BE"/>
              </w:rPr>
            </w:pPr>
            <w:r w:rsidRPr="35DAFC00">
              <w:rPr>
                <w:rFonts w:ascii="Calibri" w:hAnsi="Calibri" w:cs="Calibri"/>
                <w:color w:val="000000" w:themeColor="text1"/>
              </w:rPr>
              <w:t>-23%</w:t>
            </w:r>
          </w:p>
        </w:tc>
        <w:tc>
          <w:tcPr>
            <w:tcW w:w="1283"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E1576F" w14:textId="39A7E04F" w:rsidR="00AC6CC9" w:rsidRPr="00F10905" w:rsidRDefault="7AAA7952" w:rsidP="35DAFC00">
            <w:pPr>
              <w:spacing w:after="0" w:line="240" w:lineRule="auto"/>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35DAFC00">
              <w:rPr>
                <w:rFonts w:ascii="Calibri" w:hAnsi="Calibri" w:cs="Calibri"/>
                <w:color w:val="000000" w:themeColor="text1"/>
              </w:rPr>
              <w:t>-11%</w:t>
            </w:r>
          </w:p>
        </w:tc>
      </w:tr>
      <w:tr w:rsidR="00B761C0" w:rsidRPr="005D173C" w14:paraId="16745613" w14:textId="67A95494" w:rsidTr="00B761C0">
        <w:trPr>
          <w:trHeight w:val="288"/>
          <w:jc w:val="center"/>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auto"/>
              <w:right w:val="single" w:sz="8" w:space="0" w:color="000000" w:themeColor="text1"/>
            </w:tcBorders>
            <w:vAlign w:val="bottom"/>
            <w:hideMark/>
          </w:tcPr>
          <w:p w14:paraId="4F5BE55C" w14:textId="1C49AE4E" w:rsidR="00AC6CC9" w:rsidRPr="00F10905" w:rsidRDefault="00AC6CC9" w:rsidP="00AC6CC9">
            <w:pPr>
              <w:spacing w:after="0" w:line="240" w:lineRule="auto"/>
              <w:jc w:val="left"/>
              <w:rPr>
                <w:rFonts w:ascii="Calibri" w:eastAsia="Times New Roman" w:hAnsi="Calibri" w:cs="Calibri"/>
                <w:color w:val="000000"/>
                <w:lang w:eastAsia="fr-BE"/>
              </w:rPr>
            </w:pPr>
            <w:r>
              <w:rPr>
                <w:rFonts w:ascii="Calibri" w:hAnsi="Calibri" w:cs="Calibri"/>
                <w:color w:val="000000"/>
              </w:rPr>
              <w:t>TOTAL NON-ETS</w:t>
            </w:r>
          </w:p>
        </w:tc>
        <w:tc>
          <w:tcPr>
            <w:tcW w:w="731"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hideMark/>
          </w:tcPr>
          <w:p w14:paraId="137AD337" w14:textId="70856587"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BE"/>
              </w:rPr>
            </w:pPr>
            <w:r w:rsidRPr="35DAFC00">
              <w:rPr>
                <w:rFonts w:ascii="Calibri" w:hAnsi="Calibri" w:cs="Calibri"/>
                <w:color w:val="000000" w:themeColor="text1"/>
              </w:rPr>
              <w:t>100%</w:t>
            </w:r>
          </w:p>
        </w:tc>
        <w:tc>
          <w:tcPr>
            <w:tcW w:w="2052"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hideMark/>
          </w:tcPr>
          <w:p w14:paraId="6A05A1D2" w14:textId="14717C0D" w:rsidR="00AC6CC9" w:rsidRPr="00F10905" w:rsidRDefault="7AAA7952" w:rsidP="35DAFC00">
            <w:pPr>
              <w:spacing w:after="0" w:line="240" w:lineRule="auto"/>
              <w:ind w:right="314"/>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BE"/>
              </w:rPr>
            </w:pPr>
            <w:r w:rsidRPr="35DAFC00">
              <w:rPr>
                <w:rFonts w:ascii="Calibri" w:hAnsi="Calibri" w:cs="Calibri"/>
                <w:color w:val="000000" w:themeColor="text1"/>
              </w:rPr>
              <w:t>19746.43</w:t>
            </w:r>
          </w:p>
        </w:tc>
        <w:tc>
          <w:tcPr>
            <w:tcW w:w="1725"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70148AFE" w14:textId="2BA5E17F" w:rsidR="1E11000B" w:rsidRDefault="1E11000B" w:rsidP="35DAFC00">
            <w:pPr>
              <w:spacing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35DAFC00">
              <w:rPr>
                <w:rFonts w:ascii="Calibri" w:hAnsi="Calibri" w:cs="Calibri"/>
                <w:color w:val="000000" w:themeColor="text1"/>
              </w:rPr>
              <w:t>-47%</w:t>
            </w:r>
          </w:p>
        </w:tc>
        <w:tc>
          <w:tcPr>
            <w:tcW w:w="1722"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hideMark/>
          </w:tcPr>
          <w:p w14:paraId="751DE202" w14:textId="75D0BEC6" w:rsidR="00AC6CC9" w:rsidRPr="00F10905" w:rsidRDefault="7AAA7952"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fr-BE"/>
              </w:rPr>
            </w:pPr>
            <w:r w:rsidRPr="35DAFC00">
              <w:rPr>
                <w:rFonts w:ascii="Calibri" w:hAnsi="Calibri" w:cs="Calibri"/>
                <w:color w:val="000000" w:themeColor="text1"/>
              </w:rPr>
              <w:t>-27%</w:t>
            </w:r>
          </w:p>
        </w:tc>
        <w:tc>
          <w:tcPr>
            <w:tcW w:w="1283"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661EAF91" w14:textId="48CA1903" w:rsidR="00AC6CC9" w:rsidRPr="00F10905" w:rsidRDefault="5607302B" w:rsidP="35DAFC00">
            <w:pPr>
              <w:spacing w:after="0" w:line="240" w:lineRule="auto"/>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35DAFC00">
              <w:rPr>
                <w:rFonts w:ascii="Calibri" w:hAnsi="Calibri" w:cs="Calibri"/>
                <w:color w:val="000000" w:themeColor="text1"/>
              </w:rPr>
              <w:t>-</w:t>
            </w:r>
            <w:r w:rsidR="7AAA7952" w:rsidRPr="35DAFC00">
              <w:rPr>
                <w:rFonts w:ascii="Calibri" w:hAnsi="Calibri" w:cs="Calibri"/>
                <w:color w:val="000000" w:themeColor="text1"/>
              </w:rPr>
              <w:t>0%</w:t>
            </w:r>
          </w:p>
        </w:tc>
      </w:tr>
      <w:bookmarkEnd w:id="2"/>
    </w:tbl>
    <w:p w14:paraId="7A048ABB" w14:textId="77777777" w:rsidR="008D6507" w:rsidRDefault="008D6507" w:rsidP="00180F55">
      <w:pPr>
        <w:rPr>
          <w:rFonts w:asciiTheme="minorHAnsi" w:hAnsiTheme="minorHAnsi" w:cstheme="minorHAnsi"/>
          <w:bCs/>
          <w:caps/>
        </w:rPr>
      </w:pPr>
    </w:p>
    <w:p w14:paraId="12C399E1" w14:textId="77777777" w:rsidR="00AF552B" w:rsidRDefault="00AF552B" w:rsidP="35DAFC00"/>
    <w:p w14:paraId="37FE92DC" w14:textId="02CD22FB" w:rsidR="00AF552B" w:rsidRDefault="38522EBB" w:rsidP="35DAFC00">
      <w:pPr>
        <w:pStyle w:val="Titre2"/>
      </w:pPr>
      <w:r>
        <w:t>Objectif ETS</w:t>
      </w:r>
    </w:p>
    <w:p w14:paraId="05F7054C" w14:textId="3FCD09D2" w:rsidR="008D3F75" w:rsidRDefault="00177E62" w:rsidP="00180F55">
      <w:pPr>
        <w:rPr>
          <w:rFonts w:asciiTheme="minorHAnsi" w:hAnsiTheme="minorHAnsi" w:cstheme="minorHAnsi"/>
        </w:rPr>
      </w:pPr>
      <w:r w:rsidRPr="0068452F">
        <w:rPr>
          <w:rFonts w:asciiTheme="minorHAnsi" w:hAnsiTheme="minorHAnsi" w:cstheme="minorHAnsi"/>
        </w:rPr>
        <w:t xml:space="preserve">L’objectif ETS </w:t>
      </w:r>
      <w:r>
        <w:rPr>
          <w:rFonts w:asciiTheme="minorHAnsi" w:hAnsiTheme="minorHAnsi" w:cstheme="minorHAnsi"/>
        </w:rPr>
        <w:t>(</w:t>
      </w:r>
      <w:r w:rsidRPr="00286991">
        <w:rPr>
          <w:rFonts w:asciiTheme="minorHAnsi" w:hAnsiTheme="minorHAnsi" w:cstheme="minorHAnsi"/>
          <w:i/>
          <w:iCs/>
        </w:rPr>
        <w:t>Emission Trading Scheme</w:t>
      </w:r>
      <w:r>
        <w:rPr>
          <w:rFonts w:asciiTheme="minorHAnsi" w:hAnsiTheme="minorHAnsi" w:cstheme="minorHAnsi"/>
        </w:rPr>
        <w:t xml:space="preserve">, </w:t>
      </w:r>
      <w:r w:rsidRPr="00CB7622">
        <w:rPr>
          <w:rFonts w:asciiTheme="minorHAnsi" w:hAnsiTheme="minorHAnsi" w:cstheme="minorHAnsi"/>
        </w:rPr>
        <w:t xml:space="preserve">qui couvre </w:t>
      </w:r>
      <w:r w:rsidR="00CB7622" w:rsidRPr="00CB7622">
        <w:rPr>
          <w:rFonts w:asciiTheme="minorHAnsi" w:hAnsiTheme="minorHAnsi" w:cstheme="minorHAnsi"/>
        </w:rPr>
        <w:t>84</w:t>
      </w:r>
      <w:r w:rsidRPr="00CB7622">
        <w:rPr>
          <w:rFonts w:asciiTheme="minorHAnsi" w:hAnsiTheme="minorHAnsi" w:cstheme="minorHAnsi"/>
        </w:rPr>
        <w:t xml:space="preserve"> % des émissions</w:t>
      </w:r>
      <w:r>
        <w:rPr>
          <w:rFonts w:asciiTheme="minorHAnsi" w:hAnsiTheme="minorHAnsi" w:cstheme="minorHAnsi"/>
        </w:rPr>
        <w:t xml:space="preserve"> de l‘industrie et de la production d’électricité en Wallonie) </w:t>
      </w:r>
      <w:r w:rsidRPr="0068452F">
        <w:rPr>
          <w:rFonts w:asciiTheme="minorHAnsi" w:hAnsiTheme="minorHAnsi" w:cstheme="minorHAnsi"/>
        </w:rPr>
        <w:t xml:space="preserve">est directement géré au niveau </w:t>
      </w:r>
      <w:r w:rsidRPr="003A0165">
        <w:rPr>
          <w:rFonts w:asciiTheme="minorHAnsi" w:hAnsiTheme="minorHAnsi" w:cstheme="minorHAnsi"/>
        </w:rPr>
        <w:t>européen, sans objectif défini au niveau national ou régional.</w:t>
      </w:r>
      <w:r w:rsidR="00B6141B">
        <w:rPr>
          <w:rFonts w:asciiTheme="minorHAnsi" w:hAnsiTheme="minorHAnsi" w:cstheme="minorHAnsi"/>
        </w:rPr>
        <w:t xml:space="preserve"> </w:t>
      </w:r>
    </w:p>
    <w:p w14:paraId="0AF2AF7D" w14:textId="77777777" w:rsidR="008D6507" w:rsidRDefault="00AC6CC9" w:rsidP="008D6507">
      <w:pPr>
        <w:keepNext/>
        <w:jc w:val="center"/>
      </w:pPr>
      <w:r>
        <w:rPr>
          <w:noProof/>
        </w:rPr>
        <w:drawing>
          <wp:inline distT="0" distB="0" distL="0" distR="0" wp14:anchorId="0D34CF90" wp14:editId="24E97DA3">
            <wp:extent cx="5760720" cy="3569335"/>
            <wp:effectExtent l="0" t="0" r="5715" b="3810"/>
            <wp:docPr id="104487192" name="Graphique 1">
              <a:extLst xmlns:a="http://schemas.openxmlformats.org/drawingml/2006/main">
                <a:ext uri="{FF2B5EF4-FFF2-40B4-BE49-F238E27FC236}">
                  <a16:creationId xmlns:a16="http://schemas.microsoft.com/office/drawing/2014/main" id="{113D5175-87FB-3536-E1B5-50799F67EE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464F7E6" w14:textId="2FD79AE2" w:rsidR="000A10B2" w:rsidRDefault="008D6507" w:rsidP="008D6507">
      <w:pPr>
        <w:pStyle w:val="Lgende"/>
        <w:jc w:val="center"/>
        <w:rPr>
          <w:rFonts w:asciiTheme="minorHAnsi" w:hAnsiTheme="minorHAnsi" w:cstheme="minorHAnsi"/>
        </w:rPr>
      </w:pPr>
      <w:r>
        <w:t xml:space="preserve">Figure </w:t>
      </w:r>
      <w:r>
        <w:fldChar w:fldCharType="begin"/>
      </w:r>
      <w:r>
        <w:instrText xml:space="preserve"> SEQ Figure \* ARABIC </w:instrText>
      </w:r>
      <w:r>
        <w:fldChar w:fldCharType="separate"/>
      </w:r>
      <w:r w:rsidR="001D5695">
        <w:rPr>
          <w:noProof/>
        </w:rPr>
        <w:t>3</w:t>
      </w:r>
      <w:r>
        <w:fldChar w:fldCharType="end"/>
      </w:r>
      <w:r w:rsidRPr="00077906">
        <w:t>: EVOLUTION DES ÉMISSIONS DES SECTEURS ETS DEPUIS 2005 EN WALLONIE (SOURCE : AWAC)</w:t>
      </w:r>
    </w:p>
    <w:p w14:paraId="37FF7D0D" w14:textId="77777777" w:rsidR="00AF552B" w:rsidRDefault="00AF552B" w:rsidP="00027084">
      <w:pPr>
        <w:jc w:val="left"/>
        <w:rPr>
          <w:rFonts w:asciiTheme="minorHAnsi" w:hAnsiTheme="minorHAnsi" w:cstheme="minorHAnsi"/>
        </w:rPr>
      </w:pPr>
    </w:p>
    <w:p w14:paraId="537D35D8" w14:textId="41781D0E" w:rsidR="00027084" w:rsidRDefault="0DC6C95F" w:rsidP="35DAFC00">
      <w:pPr>
        <w:jc w:val="left"/>
        <w:rPr>
          <w:rFonts w:asciiTheme="minorHAnsi" w:hAnsiTheme="minorHAnsi"/>
        </w:rPr>
      </w:pPr>
      <w:r w:rsidRPr="35DAFC00">
        <w:rPr>
          <w:rFonts w:asciiTheme="minorHAnsi" w:hAnsiTheme="minorHAnsi"/>
        </w:rPr>
        <w:t xml:space="preserve">On observe une diminution de </w:t>
      </w:r>
      <w:r w:rsidR="3FA55F11" w:rsidRPr="35DAFC00">
        <w:rPr>
          <w:rFonts w:asciiTheme="minorHAnsi" w:hAnsiTheme="minorHAnsi"/>
        </w:rPr>
        <w:t>8</w:t>
      </w:r>
      <w:r w:rsidRPr="35DAFC00">
        <w:rPr>
          <w:rFonts w:asciiTheme="minorHAnsi" w:hAnsiTheme="minorHAnsi"/>
        </w:rPr>
        <w:t>% des émissions vérifiées du secteur ETS entre 202</w:t>
      </w:r>
      <w:r w:rsidR="3FA55F11" w:rsidRPr="35DAFC00">
        <w:rPr>
          <w:rFonts w:asciiTheme="minorHAnsi" w:hAnsiTheme="minorHAnsi"/>
        </w:rPr>
        <w:t>3</w:t>
      </w:r>
      <w:r w:rsidRPr="35DAFC00">
        <w:rPr>
          <w:rFonts w:asciiTheme="minorHAnsi" w:hAnsiTheme="minorHAnsi"/>
        </w:rPr>
        <w:t xml:space="preserve"> et 202</w:t>
      </w:r>
      <w:r w:rsidR="3FA55F11" w:rsidRPr="35DAFC00">
        <w:rPr>
          <w:rFonts w:asciiTheme="minorHAnsi" w:hAnsiTheme="minorHAnsi"/>
        </w:rPr>
        <w:t>4</w:t>
      </w:r>
      <w:r w:rsidR="7908190E" w:rsidRPr="35DAFC00">
        <w:rPr>
          <w:rFonts w:asciiTheme="minorHAnsi" w:hAnsiTheme="minorHAnsi"/>
        </w:rPr>
        <w:t xml:space="preserve">. </w:t>
      </w:r>
    </w:p>
    <w:p w14:paraId="33044E55" w14:textId="77777777" w:rsidR="00AF552B" w:rsidRDefault="00AF552B" w:rsidP="35DAFC00">
      <w:pPr>
        <w:jc w:val="left"/>
        <w:rPr>
          <w:rFonts w:asciiTheme="minorHAnsi" w:hAnsiTheme="minorHAnsi"/>
        </w:rPr>
      </w:pPr>
    </w:p>
    <w:p w14:paraId="0C183742" w14:textId="62D0A3DF" w:rsidR="00AF552B" w:rsidRDefault="38522EBB" w:rsidP="00AF552B">
      <w:pPr>
        <w:pStyle w:val="Titre2"/>
      </w:pPr>
      <w:r>
        <w:t>Evolution des émissions globales wallonnes</w:t>
      </w:r>
    </w:p>
    <w:p w14:paraId="3CD8F047" w14:textId="2B5777C5" w:rsidR="00AF552B" w:rsidRPr="00B761C0" w:rsidRDefault="38522EBB" w:rsidP="35DAFC00">
      <w:pPr>
        <w:rPr>
          <w:lang w:eastAsia="fr-BE"/>
        </w:rPr>
      </w:pPr>
      <w:r w:rsidRPr="35DAFC00">
        <w:rPr>
          <w:rFonts w:asciiTheme="minorHAnsi" w:hAnsiTheme="minorHAnsi"/>
        </w:rPr>
        <w:t>La forte variabilité interannuelle des émissions est généralement due à la conjonction de plusieurs facteurs.</w:t>
      </w:r>
    </w:p>
    <w:p w14:paraId="27307CAE" w14:textId="260605A3" w:rsidR="000E6EC5" w:rsidRPr="0068452F" w:rsidRDefault="4D3CDA74" w:rsidP="35DAFC00">
      <w:pPr>
        <w:keepNext/>
        <w:rPr>
          <w:rFonts w:asciiTheme="minorHAnsi" w:hAnsiTheme="minorHAnsi"/>
        </w:rPr>
      </w:pPr>
      <w:r w:rsidRPr="35DAFC00">
        <w:rPr>
          <w:rFonts w:asciiTheme="minorHAnsi" w:hAnsiTheme="minorHAnsi"/>
        </w:rPr>
        <w:t>On peut cependant mentionner quelques évènements dont l’impact sur les émissions annuelles s’est avéré significatif :</w:t>
      </w:r>
    </w:p>
    <w:p w14:paraId="53F599C8" w14:textId="7074E742" w:rsidR="000E6EC5" w:rsidRPr="0068452F" w:rsidRDefault="00AC6CC9" w:rsidP="000E6EC5">
      <w:pPr>
        <w:pStyle w:val="Paragraphedeliste"/>
        <w:numPr>
          <w:ilvl w:val="0"/>
          <w:numId w:val="8"/>
        </w:numPr>
        <w:rPr>
          <w:rFonts w:asciiTheme="minorHAnsi" w:hAnsiTheme="minorHAnsi" w:cstheme="minorHAnsi"/>
        </w:rPr>
      </w:pPr>
      <w:r>
        <w:rPr>
          <w:rFonts w:asciiTheme="minorHAnsi" w:hAnsiTheme="minorHAnsi" w:cstheme="minorHAnsi"/>
        </w:rPr>
        <w:t>1995-</w:t>
      </w:r>
      <w:r w:rsidR="000E6EC5" w:rsidRPr="0068452F">
        <w:rPr>
          <w:rFonts w:asciiTheme="minorHAnsi" w:hAnsiTheme="minorHAnsi" w:cstheme="minorHAnsi"/>
        </w:rPr>
        <w:t>1996 : année</w:t>
      </w:r>
      <w:r>
        <w:rPr>
          <w:rFonts w:asciiTheme="minorHAnsi" w:hAnsiTheme="minorHAnsi" w:cstheme="minorHAnsi"/>
        </w:rPr>
        <w:t>s</w:t>
      </w:r>
      <w:r w:rsidR="000E6EC5" w:rsidRPr="0068452F">
        <w:rPr>
          <w:rFonts w:asciiTheme="minorHAnsi" w:hAnsiTheme="minorHAnsi" w:cstheme="minorHAnsi"/>
        </w:rPr>
        <w:t xml:space="preserve"> froide</w:t>
      </w:r>
      <w:r>
        <w:rPr>
          <w:rFonts w:asciiTheme="minorHAnsi" w:hAnsiTheme="minorHAnsi" w:cstheme="minorHAnsi"/>
        </w:rPr>
        <w:t>s</w:t>
      </w:r>
      <w:r w:rsidR="000E6EC5" w:rsidRPr="0068452F">
        <w:rPr>
          <w:rFonts w:asciiTheme="minorHAnsi" w:hAnsiTheme="minorHAnsi" w:cstheme="minorHAnsi"/>
        </w:rPr>
        <w:t xml:space="preserve"> (besoins en chauffage élevés), mais fermeture d’un haut-fourneau</w:t>
      </w:r>
      <w:r>
        <w:rPr>
          <w:rFonts w:asciiTheme="minorHAnsi" w:hAnsiTheme="minorHAnsi" w:cstheme="minorHAnsi"/>
        </w:rPr>
        <w:t xml:space="preserve"> (1996)</w:t>
      </w:r>
    </w:p>
    <w:p w14:paraId="1019736A" w14:textId="5233F503" w:rsidR="000E6EC5" w:rsidRPr="0068452F" w:rsidRDefault="000E6EC5" w:rsidP="000E6EC5">
      <w:pPr>
        <w:pStyle w:val="Paragraphedeliste"/>
        <w:numPr>
          <w:ilvl w:val="0"/>
          <w:numId w:val="8"/>
        </w:numPr>
        <w:rPr>
          <w:rFonts w:asciiTheme="minorHAnsi" w:hAnsiTheme="minorHAnsi" w:cstheme="minorHAnsi"/>
        </w:rPr>
      </w:pPr>
      <w:r w:rsidRPr="0068452F">
        <w:rPr>
          <w:rFonts w:asciiTheme="minorHAnsi" w:hAnsiTheme="minorHAnsi" w:cstheme="minorHAnsi"/>
        </w:rPr>
        <w:t xml:space="preserve">1997 : fermetures d’une cokerie, de hauts-fourneaux et d’autres outils sidérurgiques </w:t>
      </w:r>
    </w:p>
    <w:p w14:paraId="3B6D503F" w14:textId="4588F16E" w:rsidR="000E6EC5" w:rsidRPr="0068452F" w:rsidRDefault="00A75CA8" w:rsidP="000E6EC5">
      <w:pPr>
        <w:pStyle w:val="Paragraphedeliste"/>
        <w:numPr>
          <w:ilvl w:val="0"/>
          <w:numId w:val="8"/>
        </w:numPr>
        <w:rPr>
          <w:rFonts w:asciiTheme="minorHAnsi" w:hAnsiTheme="minorHAnsi" w:cstheme="minorHAnsi"/>
        </w:rPr>
      </w:pPr>
      <w:r>
        <w:rPr>
          <w:rFonts w:asciiTheme="minorHAnsi" w:hAnsiTheme="minorHAnsi" w:cstheme="minorHAnsi"/>
        </w:rPr>
        <w:t>A</w:t>
      </w:r>
      <w:r w:rsidRPr="0068452F">
        <w:rPr>
          <w:rFonts w:asciiTheme="minorHAnsi" w:hAnsiTheme="minorHAnsi" w:cstheme="minorHAnsi"/>
        </w:rPr>
        <w:t xml:space="preserve"> </w:t>
      </w:r>
      <w:r w:rsidR="000E6EC5" w:rsidRPr="0068452F">
        <w:rPr>
          <w:rFonts w:asciiTheme="minorHAnsi" w:hAnsiTheme="minorHAnsi" w:cstheme="minorHAnsi"/>
        </w:rPr>
        <w:t>partir de 2001 : développement de la combustion de biomasse en cimenterie et de la récupération du méthane dans les centres d’enfouissement technique</w:t>
      </w:r>
    </w:p>
    <w:p w14:paraId="6BAC5734" w14:textId="31A2EB91" w:rsidR="000E6EC5" w:rsidRPr="0068452F" w:rsidRDefault="000E6EC5" w:rsidP="000E6EC5">
      <w:pPr>
        <w:pStyle w:val="Paragraphedeliste"/>
        <w:numPr>
          <w:ilvl w:val="0"/>
          <w:numId w:val="8"/>
        </w:numPr>
        <w:rPr>
          <w:rFonts w:asciiTheme="minorHAnsi" w:hAnsiTheme="minorHAnsi" w:cstheme="minorHAnsi"/>
        </w:rPr>
      </w:pPr>
      <w:r w:rsidRPr="0068452F">
        <w:rPr>
          <w:rFonts w:asciiTheme="minorHAnsi" w:hAnsiTheme="minorHAnsi" w:cstheme="minorHAnsi"/>
        </w:rPr>
        <w:t xml:space="preserve">2002 : arrêt d’un haut-fourneau et d’une cokerie  </w:t>
      </w:r>
    </w:p>
    <w:p w14:paraId="4D9A4952" w14:textId="77777777" w:rsidR="000E6EC5" w:rsidRPr="0068452F" w:rsidRDefault="000E6EC5" w:rsidP="000E6EC5">
      <w:pPr>
        <w:pStyle w:val="Paragraphedeliste"/>
        <w:numPr>
          <w:ilvl w:val="0"/>
          <w:numId w:val="8"/>
        </w:numPr>
        <w:rPr>
          <w:rFonts w:asciiTheme="minorHAnsi" w:hAnsiTheme="minorHAnsi" w:cstheme="minorHAnsi"/>
        </w:rPr>
      </w:pPr>
      <w:r w:rsidRPr="0068452F">
        <w:rPr>
          <w:rFonts w:asciiTheme="minorHAnsi" w:hAnsiTheme="minorHAnsi" w:cstheme="minorHAnsi"/>
        </w:rPr>
        <w:t>2006 et 2007 : hivers très doux</w:t>
      </w:r>
    </w:p>
    <w:p w14:paraId="32FBAA21" w14:textId="16DC5967" w:rsidR="000E6EC5" w:rsidRDefault="000E6EC5" w:rsidP="000E6EC5">
      <w:pPr>
        <w:pStyle w:val="Paragraphedeliste"/>
        <w:numPr>
          <w:ilvl w:val="0"/>
          <w:numId w:val="8"/>
        </w:numPr>
        <w:rPr>
          <w:rFonts w:asciiTheme="minorHAnsi" w:hAnsiTheme="minorHAnsi" w:cstheme="minorHAnsi"/>
        </w:rPr>
      </w:pPr>
      <w:r w:rsidRPr="0068452F">
        <w:rPr>
          <w:rFonts w:asciiTheme="minorHAnsi" w:hAnsiTheme="minorHAnsi" w:cstheme="minorHAnsi"/>
        </w:rPr>
        <w:t>2009 : crise économique</w:t>
      </w:r>
      <w:r w:rsidR="009E14FB">
        <w:rPr>
          <w:rFonts w:asciiTheme="minorHAnsi" w:hAnsiTheme="minorHAnsi" w:cstheme="minorHAnsi"/>
        </w:rPr>
        <w:t xml:space="preserve">, </w:t>
      </w:r>
      <w:r w:rsidRPr="0068452F">
        <w:rPr>
          <w:rFonts w:asciiTheme="minorHAnsi" w:hAnsiTheme="minorHAnsi" w:cstheme="minorHAnsi"/>
        </w:rPr>
        <w:t>ralentissement de l’activité industrielle</w:t>
      </w:r>
    </w:p>
    <w:p w14:paraId="54BC0463" w14:textId="4C23B177" w:rsidR="00F715C4" w:rsidRPr="0068452F" w:rsidRDefault="00F715C4" w:rsidP="000E6EC5">
      <w:pPr>
        <w:pStyle w:val="Paragraphedeliste"/>
        <w:numPr>
          <w:ilvl w:val="0"/>
          <w:numId w:val="8"/>
        </w:numPr>
        <w:rPr>
          <w:rFonts w:asciiTheme="minorHAnsi" w:hAnsiTheme="minorHAnsi" w:cstheme="minorHAnsi"/>
        </w:rPr>
      </w:pPr>
      <w:r>
        <w:rPr>
          <w:rFonts w:asciiTheme="minorHAnsi" w:hAnsiTheme="minorHAnsi" w:cstheme="minorHAnsi"/>
        </w:rPr>
        <w:t>2010 : Certains secteurs industriels se redressent</w:t>
      </w:r>
    </w:p>
    <w:p w14:paraId="3B8A1619" w14:textId="30794832" w:rsidR="00574AFE" w:rsidRPr="00407636" w:rsidRDefault="00574AFE" w:rsidP="000E6EC5">
      <w:pPr>
        <w:pStyle w:val="Paragraphedeliste"/>
        <w:numPr>
          <w:ilvl w:val="0"/>
          <w:numId w:val="8"/>
        </w:numPr>
        <w:rPr>
          <w:rFonts w:asciiTheme="minorHAnsi" w:hAnsiTheme="minorHAnsi" w:cstheme="minorHAnsi"/>
        </w:rPr>
      </w:pPr>
      <w:r w:rsidRPr="00407636">
        <w:rPr>
          <w:rFonts w:asciiTheme="minorHAnsi" w:hAnsiTheme="minorHAnsi" w:cstheme="minorHAnsi"/>
        </w:rPr>
        <w:t xml:space="preserve">2011 : </w:t>
      </w:r>
      <w:r w:rsidR="00595C16">
        <w:rPr>
          <w:rFonts w:asciiTheme="minorHAnsi" w:hAnsiTheme="minorHAnsi" w:cstheme="minorHAnsi"/>
        </w:rPr>
        <w:t>a</w:t>
      </w:r>
      <w:r w:rsidRPr="00407636">
        <w:rPr>
          <w:rFonts w:asciiTheme="minorHAnsi" w:hAnsiTheme="minorHAnsi" w:cstheme="minorHAnsi"/>
        </w:rPr>
        <w:t>mélioration des procédés dans le secteur de la chimie</w:t>
      </w:r>
    </w:p>
    <w:p w14:paraId="3B7E92E0" w14:textId="37D37BA8" w:rsidR="008F52A1" w:rsidRPr="0068452F" w:rsidRDefault="008F52A1" w:rsidP="000E6EC5">
      <w:pPr>
        <w:pStyle w:val="Paragraphedeliste"/>
        <w:numPr>
          <w:ilvl w:val="0"/>
          <w:numId w:val="8"/>
        </w:numPr>
        <w:rPr>
          <w:rFonts w:asciiTheme="minorHAnsi" w:hAnsiTheme="minorHAnsi" w:cstheme="minorHAnsi"/>
        </w:rPr>
      </w:pPr>
      <w:r w:rsidRPr="0068452F">
        <w:rPr>
          <w:rFonts w:asciiTheme="minorHAnsi" w:hAnsiTheme="minorHAnsi" w:cstheme="minorHAnsi"/>
        </w:rPr>
        <w:t>2012</w:t>
      </w:r>
      <w:r w:rsidR="000C022F" w:rsidRPr="0068452F">
        <w:rPr>
          <w:rFonts w:asciiTheme="minorHAnsi" w:hAnsiTheme="minorHAnsi" w:cstheme="minorHAnsi"/>
        </w:rPr>
        <w:t>-2013</w:t>
      </w:r>
      <w:r w:rsidRPr="0068452F">
        <w:rPr>
          <w:rFonts w:asciiTheme="minorHAnsi" w:hAnsiTheme="minorHAnsi" w:cstheme="minorHAnsi"/>
        </w:rPr>
        <w:t xml:space="preserve"> : </w:t>
      </w:r>
      <w:r w:rsidR="00595C16">
        <w:rPr>
          <w:rFonts w:asciiTheme="minorHAnsi" w:hAnsiTheme="minorHAnsi" w:cstheme="minorHAnsi"/>
        </w:rPr>
        <w:t>f</w:t>
      </w:r>
      <w:r w:rsidRPr="0068452F">
        <w:rPr>
          <w:rFonts w:asciiTheme="minorHAnsi" w:hAnsiTheme="minorHAnsi" w:cstheme="minorHAnsi"/>
        </w:rPr>
        <w:t>ermeture d</w:t>
      </w:r>
      <w:r w:rsidR="00574AFE" w:rsidRPr="0068452F">
        <w:rPr>
          <w:rFonts w:asciiTheme="minorHAnsi" w:hAnsiTheme="minorHAnsi" w:cstheme="minorHAnsi"/>
        </w:rPr>
        <w:t>éfinitive</w:t>
      </w:r>
      <w:r w:rsidRPr="0068452F">
        <w:rPr>
          <w:rFonts w:asciiTheme="minorHAnsi" w:hAnsiTheme="minorHAnsi" w:cstheme="minorHAnsi"/>
        </w:rPr>
        <w:t xml:space="preserve"> </w:t>
      </w:r>
      <w:r w:rsidR="00574AFE" w:rsidRPr="0068452F">
        <w:rPr>
          <w:rFonts w:asciiTheme="minorHAnsi" w:hAnsiTheme="minorHAnsi" w:cstheme="minorHAnsi"/>
        </w:rPr>
        <w:t xml:space="preserve">de la phase </w:t>
      </w:r>
      <w:r w:rsidR="00180F55">
        <w:rPr>
          <w:rFonts w:asciiTheme="minorHAnsi" w:hAnsiTheme="minorHAnsi" w:cstheme="minorHAnsi"/>
        </w:rPr>
        <w:t>à</w:t>
      </w:r>
      <w:r w:rsidR="00574AFE" w:rsidRPr="0068452F">
        <w:rPr>
          <w:rFonts w:asciiTheme="minorHAnsi" w:hAnsiTheme="minorHAnsi" w:cstheme="minorHAnsi"/>
        </w:rPr>
        <w:t xml:space="preserve"> chaud </w:t>
      </w:r>
      <w:r w:rsidRPr="0068452F">
        <w:rPr>
          <w:rFonts w:asciiTheme="minorHAnsi" w:hAnsiTheme="minorHAnsi" w:cstheme="minorHAnsi"/>
        </w:rPr>
        <w:t>en sidérurgie</w:t>
      </w:r>
      <w:r w:rsidR="00574AFE" w:rsidRPr="0068452F">
        <w:rPr>
          <w:rFonts w:asciiTheme="minorHAnsi" w:hAnsiTheme="minorHAnsi" w:cstheme="minorHAnsi"/>
        </w:rPr>
        <w:t xml:space="preserve">, ralentissement des centrales </w:t>
      </w:r>
      <w:r w:rsidR="00EA1724" w:rsidRPr="0068452F">
        <w:rPr>
          <w:rFonts w:asciiTheme="minorHAnsi" w:hAnsiTheme="minorHAnsi" w:cstheme="minorHAnsi"/>
        </w:rPr>
        <w:t>électriques</w:t>
      </w:r>
      <w:r w:rsidR="00574AFE" w:rsidRPr="0068452F">
        <w:rPr>
          <w:rFonts w:asciiTheme="minorHAnsi" w:hAnsiTheme="minorHAnsi" w:cstheme="minorHAnsi"/>
        </w:rPr>
        <w:t>, fermeture de 2 lignes de verre</w:t>
      </w:r>
    </w:p>
    <w:p w14:paraId="01D57465" w14:textId="60A70D04" w:rsidR="00766125" w:rsidRDefault="00766125" w:rsidP="000E6EC5">
      <w:pPr>
        <w:pStyle w:val="Paragraphedeliste"/>
        <w:numPr>
          <w:ilvl w:val="0"/>
          <w:numId w:val="8"/>
        </w:numPr>
        <w:rPr>
          <w:rFonts w:asciiTheme="minorHAnsi" w:hAnsiTheme="minorHAnsi" w:cstheme="minorHAnsi"/>
        </w:rPr>
      </w:pPr>
      <w:r w:rsidRPr="0068452F">
        <w:rPr>
          <w:rFonts w:asciiTheme="minorHAnsi" w:hAnsiTheme="minorHAnsi" w:cstheme="minorHAnsi"/>
        </w:rPr>
        <w:t>2014</w:t>
      </w:r>
      <w:r w:rsidR="009E14FB">
        <w:rPr>
          <w:rFonts w:asciiTheme="minorHAnsi" w:hAnsiTheme="minorHAnsi" w:cstheme="minorHAnsi"/>
        </w:rPr>
        <w:t xml:space="preserve"> </w:t>
      </w:r>
      <w:r w:rsidRPr="0068452F">
        <w:rPr>
          <w:rFonts w:asciiTheme="minorHAnsi" w:hAnsiTheme="minorHAnsi" w:cstheme="minorHAnsi"/>
        </w:rPr>
        <w:t xml:space="preserve">: </w:t>
      </w:r>
      <w:r w:rsidR="009E14FB">
        <w:rPr>
          <w:rFonts w:asciiTheme="minorHAnsi" w:hAnsiTheme="minorHAnsi" w:cstheme="minorHAnsi"/>
        </w:rPr>
        <w:t xml:space="preserve">année </w:t>
      </w:r>
      <w:r w:rsidR="00595C16">
        <w:rPr>
          <w:rFonts w:asciiTheme="minorHAnsi" w:hAnsiTheme="minorHAnsi" w:cstheme="minorHAnsi"/>
        </w:rPr>
        <w:t>chaude</w:t>
      </w:r>
      <w:r w:rsidR="00B82385">
        <w:rPr>
          <w:rFonts w:asciiTheme="minorHAnsi" w:hAnsiTheme="minorHAnsi" w:cstheme="minorHAnsi"/>
        </w:rPr>
        <w:t xml:space="preserve"> en </w:t>
      </w:r>
      <w:r w:rsidR="00794D51">
        <w:rPr>
          <w:rFonts w:asciiTheme="minorHAnsi" w:hAnsiTheme="minorHAnsi" w:cstheme="minorHAnsi"/>
        </w:rPr>
        <w:t>Belgique, diminution des émissions liées aux bâtiments</w:t>
      </w:r>
    </w:p>
    <w:p w14:paraId="5CE077F2" w14:textId="7F5BE702" w:rsidR="00F62BC5" w:rsidRDefault="00F62BC5" w:rsidP="000E6EC5">
      <w:pPr>
        <w:pStyle w:val="Paragraphedeliste"/>
        <w:numPr>
          <w:ilvl w:val="0"/>
          <w:numId w:val="8"/>
        </w:numPr>
        <w:rPr>
          <w:rFonts w:asciiTheme="minorHAnsi" w:hAnsiTheme="minorHAnsi" w:cstheme="minorHAnsi"/>
        </w:rPr>
      </w:pPr>
      <w:r>
        <w:rPr>
          <w:rFonts w:asciiTheme="minorHAnsi" w:hAnsiTheme="minorHAnsi" w:cstheme="minorHAnsi"/>
        </w:rPr>
        <w:t xml:space="preserve">2020 : </w:t>
      </w:r>
      <w:r w:rsidR="00595C16">
        <w:rPr>
          <w:rFonts w:asciiTheme="minorHAnsi" w:hAnsiTheme="minorHAnsi" w:cstheme="minorHAnsi"/>
        </w:rPr>
        <w:t>d</w:t>
      </w:r>
      <w:r>
        <w:rPr>
          <w:rFonts w:asciiTheme="minorHAnsi" w:hAnsiTheme="minorHAnsi" w:cstheme="minorHAnsi"/>
        </w:rPr>
        <w:t xml:space="preserve">iminution des émissions du transport, liée au </w:t>
      </w:r>
      <w:r w:rsidR="0092747A">
        <w:rPr>
          <w:rFonts w:asciiTheme="minorHAnsi" w:hAnsiTheme="minorHAnsi" w:cstheme="minorHAnsi"/>
        </w:rPr>
        <w:t xml:space="preserve">confinement </w:t>
      </w:r>
      <w:r>
        <w:rPr>
          <w:rFonts w:asciiTheme="minorHAnsi" w:hAnsiTheme="minorHAnsi" w:cstheme="minorHAnsi"/>
        </w:rPr>
        <w:t>Covid-19. Année chaude observée en Belgique, diminution des émissions liées aux bâtiments</w:t>
      </w:r>
    </w:p>
    <w:p w14:paraId="5829B6DF" w14:textId="0A0368A4" w:rsidR="00B0770C" w:rsidRDefault="00595C16" w:rsidP="00762B65">
      <w:pPr>
        <w:pStyle w:val="Paragraphedeliste"/>
        <w:numPr>
          <w:ilvl w:val="0"/>
          <w:numId w:val="8"/>
        </w:numPr>
        <w:rPr>
          <w:rFonts w:asciiTheme="minorHAnsi" w:hAnsiTheme="minorHAnsi" w:cstheme="minorHAnsi"/>
        </w:rPr>
      </w:pPr>
      <w:r>
        <w:rPr>
          <w:rFonts w:asciiTheme="minorHAnsi" w:hAnsiTheme="minorHAnsi" w:cstheme="minorHAnsi"/>
        </w:rPr>
        <w:t>2022</w:t>
      </w:r>
      <w:r w:rsidR="00794D51">
        <w:rPr>
          <w:rFonts w:asciiTheme="minorHAnsi" w:hAnsiTheme="minorHAnsi" w:cstheme="minorHAnsi"/>
        </w:rPr>
        <w:t xml:space="preserve"> et 2023</w:t>
      </w:r>
      <w:r>
        <w:rPr>
          <w:rFonts w:asciiTheme="minorHAnsi" w:hAnsiTheme="minorHAnsi" w:cstheme="minorHAnsi"/>
        </w:rPr>
        <w:t xml:space="preserve"> : </w:t>
      </w:r>
      <w:r w:rsidR="00794D51">
        <w:rPr>
          <w:rFonts w:asciiTheme="minorHAnsi" w:hAnsiTheme="minorHAnsi" w:cstheme="minorHAnsi"/>
        </w:rPr>
        <w:t>record de température en 2022. H</w:t>
      </w:r>
      <w:r>
        <w:rPr>
          <w:rFonts w:asciiTheme="minorHAnsi" w:hAnsiTheme="minorHAnsi" w:cstheme="minorHAnsi"/>
        </w:rPr>
        <w:t>iver</w:t>
      </w:r>
      <w:r w:rsidR="00794D51">
        <w:rPr>
          <w:rFonts w:asciiTheme="minorHAnsi" w:hAnsiTheme="minorHAnsi" w:cstheme="minorHAnsi"/>
        </w:rPr>
        <w:t>s</w:t>
      </w:r>
      <w:r>
        <w:rPr>
          <w:rFonts w:asciiTheme="minorHAnsi" w:hAnsiTheme="minorHAnsi" w:cstheme="minorHAnsi"/>
        </w:rPr>
        <w:t xml:space="preserve"> très doux et choc de consommation lié aux prix élevés de l’énergie</w:t>
      </w:r>
      <w:r w:rsidR="00A77C88">
        <w:rPr>
          <w:rFonts w:asciiTheme="minorHAnsi" w:hAnsiTheme="minorHAnsi" w:cstheme="minorHAnsi"/>
        </w:rPr>
        <w:t xml:space="preserve">. </w:t>
      </w:r>
    </w:p>
    <w:p w14:paraId="5F6F0ABE" w14:textId="2761D847" w:rsidR="0053211F" w:rsidRPr="0036521D" w:rsidRDefault="6937ED4D" w:rsidP="35DAFC00">
      <w:pPr>
        <w:pStyle w:val="Paragraphedeliste"/>
        <w:numPr>
          <w:ilvl w:val="0"/>
          <w:numId w:val="8"/>
        </w:numPr>
        <w:rPr>
          <w:rFonts w:asciiTheme="minorHAnsi" w:hAnsiTheme="minorHAnsi"/>
        </w:rPr>
      </w:pPr>
      <w:r w:rsidRPr="35DAFC00">
        <w:rPr>
          <w:rFonts w:asciiTheme="minorHAnsi" w:hAnsiTheme="minorHAnsi"/>
        </w:rPr>
        <w:t>2024 : Baisse de la production d’électricité des centrales TGV (Turbine Gaz Vapeur)</w:t>
      </w:r>
    </w:p>
    <w:p w14:paraId="548C67A8" w14:textId="77777777" w:rsidR="00AF552B" w:rsidRDefault="00AF552B" w:rsidP="00AF552B">
      <w:pPr>
        <w:keepNext/>
        <w:ind w:left="708"/>
      </w:pPr>
    </w:p>
    <w:p w14:paraId="22EFF079" w14:textId="091DBA9A" w:rsidR="00AF552B" w:rsidRDefault="38522EBB" w:rsidP="35DAFC00">
      <w:pPr>
        <w:keepNext/>
        <w:jc w:val="center"/>
      </w:pPr>
      <w:r>
        <w:rPr>
          <w:noProof/>
        </w:rPr>
        <w:drawing>
          <wp:inline distT="0" distB="0" distL="0" distR="0" wp14:anchorId="1056B7A4" wp14:editId="7A44EFE5">
            <wp:extent cx="5760720" cy="3879850"/>
            <wp:effectExtent l="0" t="0" r="0" b="6350"/>
            <wp:docPr id="872166660" name="Image 1"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5693" name="Image 1" descr="Une image contenant texte, ligne, diagramme, Tracé&#10;&#10;Le contenu généré par l’IA peut être incorrect."/>
                    <pic:cNvPicPr/>
                  </pic:nvPicPr>
                  <pic:blipFill>
                    <a:blip r:embed="rId27"/>
                    <a:stretch>
                      <a:fillRect/>
                    </a:stretch>
                  </pic:blipFill>
                  <pic:spPr>
                    <a:xfrm>
                      <a:off x="0" y="0"/>
                      <a:ext cx="5760720" cy="3879850"/>
                    </a:xfrm>
                    <a:prstGeom prst="rect">
                      <a:avLst/>
                    </a:prstGeom>
                  </pic:spPr>
                </pic:pic>
              </a:graphicData>
            </a:graphic>
          </wp:inline>
        </w:drawing>
      </w:r>
    </w:p>
    <w:p w14:paraId="69E90521" w14:textId="22497377" w:rsidR="00AF552B" w:rsidRDefault="38522EBB" w:rsidP="00AF552B">
      <w:pPr>
        <w:pStyle w:val="Lgende"/>
        <w:ind w:left="708"/>
        <w:jc w:val="center"/>
      </w:pPr>
      <w:r>
        <w:t xml:space="preserve">Figure </w:t>
      </w:r>
      <w:r w:rsidR="00AF552B">
        <w:fldChar w:fldCharType="begin"/>
      </w:r>
      <w:r w:rsidR="00AF552B">
        <w:instrText xml:space="preserve"> SEQ Figure \* ARABIC </w:instrText>
      </w:r>
      <w:r w:rsidR="00AF552B">
        <w:fldChar w:fldCharType="separate"/>
      </w:r>
      <w:r w:rsidR="001D5695">
        <w:rPr>
          <w:noProof/>
        </w:rPr>
        <w:t>4</w:t>
      </w:r>
      <w:r w:rsidR="00AF552B">
        <w:fldChar w:fldCharType="end"/>
      </w:r>
      <w:r>
        <w:t>: EVOLUTION DES ÉMISSIONS TOTALES DE GES EN WALLONIE DEPUIS 1990 (SOURCE : AWAC)</w:t>
      </w:r>
    </w:p>
    <w:p w14:paraId="1A0C31E0" w14:textId="77777777" w:rsidR="00AF552B" w:rsidRPr="00AF552B" w:rsidRDefault="00AF552B" w:rsidP="35DAFC00"/>
    <w:p w14:paraId="27F9A344" w14:textId="7F6DECA1" w:rsidR="00766125" w:rsidRPr="0068452F" w:rsidRDefault="000E6EC5" w:rsidP="000E6EC5">
      <w:pPr>
        <w:rPr>
          <w:rFonts w:asciiTheme="minorHAnsi" w:hAnsiTheme="minorHAnsi" w:cstheme="minorHAnsi"/>
        </w:rPr>
      </w:pPr>
      <w:r w:rsidRPr="0068452F">
        <w:rPr>
          <w:rFonts w:asciiTheme="minorHAnsi" w:hAnsiTheme="minorHAnsi" w:cstheme="minorHAnsi"/>
        </w:rPr>
        <w:t xml:space="preserve">L’évolution globale est le résultat de tendances </w:t>
      </w:r>
      <w:r w:rsidRPr="0068452F">
        <w:rPr>
          <w:rFonts w:asciiTheme="minorHAnsi" w:hAnsiTheme="minorHAnsi" w:cstheme="minorHAnsi"/>
          <w:b/>
        </w:rPr>
        <w:t xml:space="preserve">très </w:t>
      </w:r>
      <w:r w:rsidR="001B57EB" w:rsidRPr="0068452F">
        <w:rPr>
          <w:rFonts w:asciiTheme="minorHAnsi" w:hAnsiTheme="minorHAnsi" w:cstheme="minorHAnsi"/>
          <w:b/>
        </w:rPr>
        <w:t>contrastées</w:t>
      </w:r>
      <w:r w:rsidRPr="0068452F">
        <w:rPr>
          <w:rFonts w:asciiTheme="minorHAnsi" w:hAnsiTheme="minorHAnsi" w:cstheme="minorHAnsi"/>
        </w:rPr>
        <w:t xml:space="preserve"> selon les secteurs. Les secteurs de l’industrie et de la production d’électricité sont </w:t>
      </w:r>
      <w:r w:rsidR="00CE5D8A">
        <w:rPr>
          <w:rFonts w:asciiTheme="minorHAnsi" w:hAnsiTheme="minorHAnsi" w:cstheme="minorHAnsi"/>
        </w:rPr>
        <w:t xml:space="preserve">les principaux </w:t>
      </w:r>
      <w:r w:rsidR="00B0770C">
        <w:rPr>
          <w:rFonts w:asciiTheme="minorHAnsi" w:hAnsiTheme="minorHAnsi" w:cstheme="minorHAnsi"/>
        </w:rPr>
        <w:t xml:space="preserve">responsables </w:t>
      </w:r>
      <w:r w:rsidR="00CE5D8A">
        <w:rPr>
          <w:rFonts w:asciiTheme="minorHAnsi" w:hAnsiTheme="minorHAnsi" w:cstheme="minorHAnsi"/>
        </w:rPr>
        <w:t xml:space="preserve">de </w:t>
      </w:r>
      <w:r w:rsidR="00B0770C">
        <w:rPr>
          <w:rFonts w:asciiTheme="minorHAnsi" w:hAnsiTheme="minorHAnsi" w:cstheme="minorHAnsi"/>
        </w:rPr>
        <w:t xml:space="preserve">la </w:t>
      </w:r>
      <w:r w:rsidR="00CE5D8A">
        <w:rPr>
          <w:rFonts w:asciiTheme="minorHAnsi" w:hAnsiTheme="minorHAnsi" w:cstheme="minorHAnsi"/>
        </w:rPr>
        <w:t>réduction des émissions, contrairement au transport et aux gaz fluorés (autres) dont les émissions ont augmenté depuis 1990.</w:t>
      </w:r>
      <w:r w:rsidR="00A75CA8">
        <w:rPr>
          <w:rFonts w:asciiTheme="minorHAnsi" w:hAnsiTheme="minorHAnsi" w:cstheme="minorHAnsi"/>
        </w:rPr>
        <w:t xml:space="preserve"> </w:t>
      </w:r>
      <w:r w:rsidR="00766125" w:rsidRPr="0068452F">
        <w:rPr>
          <w:rFonts w:asciiTheme="minorHAnsi" w:hAnsiTheme="minorHAnsi" w:cstheme="minorHAnsi"/>
        </w:rPr>
        <w:t>Les principaux facteurs des évolutions sectorielles sont les suivants :</w:t>
      </w:r>
    </w:p>
    <w:p w14:paraId="2EF92286" w14:textId="77777777" w:rsidR="00412785" w:rsidRPr="0068452F" w:rsidRDefault="00110284" w:rsidP="0056728D">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Energie :</w:t>
      </w:r>
      <w:r w:rsidRPr="0068452F">
        <w:rPr>
          <w:rFonts w:asciiTheme="minorHAnsi" w:hAnsiTheme="minorHAnsi" w:cstheme="minorHAnsi"/>
          <w:lang w:val="fr-FR"/>
        </w:rPr>
        <w:t xml:space="preserve"> </w:t>
      </w:r>
      <w:r w:rsidR="00766125" w:rsidRPr="0068452F">
        <w:rPr>
          <w:rFonts w:asciiTheme="minorHAnsi" w:hAnsiTheme="minorHAnsi" w:cstheme="minorHAnsi"/>
          <w:lang w:val="fr-FR"/>
        </w:rPr>
        <w:t>p</w:t>
      </w:r>
      <w:r w:rsidRPr="0068452F">
        <w:rPr>
          <w:rFonts w:asciiTheme="minorHAnsi" w:hAnsiTheme="minorHAnsi" w:cstheme="minorHAnsi"/>
          <w:lang w:val="fr-FR"/>
        </w:rPr>
        <w:t>assage du charbon au gaz nature</w:t>
      </w:r>
      <w:r w:rsidR="00766125" w:rsidRPr="0068452F">
        <w:rPr>
          <w:rFonts w:asciiTheme="minorHAnsi" w:hAnsiTheme="minorHAnsi" w:cstheme="minorHAnsi"/>
          <w:lang w:val="fr-FR"/>
        </w:rPr>
        <w:t>l ou au bois</w:t>
      </w:r>
      <w:r w:rsidRPr="0068452F">
        <w:rPr>
          <w:rFonts w:asciiTheme="minorHAnsi" w:hAnsiTheme="minorHAnsi" w:cstheme="minorHAnsi"/>
          <w:lang w:val="fr-FR"/>
        </w:rPr>
        <w:t>, fermeture de cokeries</w:t>
      </w:r>
    </w:p>
    <w:p w14:paraId="26AE38B6" w14:textId="639265B2" w:rsidR="00412785" w:rsidRPr="0068452F" w:rsidRDefault="00110284" w:rsidP="0056728D">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Industrie :</w:t>
      </w:r>
      <w:r w:rsidRPr="0068452F">
        <w:rPr>
          <w:rFonts w:asciiTheme="minorHAnsi" w:hAnsiTheme="minorHAnsi" w:cstheme="minorHAnsi"/>
          <w:lang w:val="fr-FR"/>
        </w:rPr>
        <w:t xml:space="preserve"> </w:t>
      </w:r>
      <w:r w:rsidR="00766125" w:rsidRPr="0068452F">
        <w:rPr>
          <w:rFonts w:asciiTheme="minorHAnsi" w:hAnsiTheme="minorHAnsi" w:cstheme="minorHAnsi"/>
          <w:lang w:val="fr-FR"/>
        </w:rPr>
        <w:t>f</w:t>
      </w:r>
      <w:r w:rsidRPr="0068452F">
        <w:rPr>
          <w:rFonts w:asciiTheme="minorHAnsi" w:hAnsiTheme="minorHAnsi" w:cstheme="minorHAnsi"/>
          <w:lang w:val="fr-FR"/>
        </w:rPr>
        <w:t>ermeture</w:t>
      </w:r>
      <w:r w:rsidR="00CE5D8A">
        <w:rPr>
          <w:rFonts w:asciiTheme="minorHAnsi" w:hAnsiTheme="minorHAnsi" w:cstheme="minorHAnsi"/>
          <w:lang w:val="fr-FR"/>
        </w:rPr>
        <w:t>s</w:t>
      </w:r>
      <w:r w:rsidRPr="0068452F">
        <w:rPr>
          <w:rFonts w:asciiTheme="minorHAnsi" w:hAnsiTheme="minorHAnsi" w:cstheme="minorHAnsi"/>
          <w:lang w:val="fr-FR"/>
        </w:rPr>
        <w:t xml:space="preserve"> dans la sidérurgie, usage accru du gaz ou de combustibles de substitution. Accords de branche et ETS. La valeur ajoutée augmente malgré cette diminution</w:t>
      </w:r>
    </w:p>
    <w:p w14:paraId="04C26348" w14:textId="02543E67" w:rsidR="00412785" w:rsidRPr="0068452F" w:rsidRDefault="00110284" w:rsidP="0056728D">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Résidentiel et tertiaire :</w:t>
      </w:r>
      <w:r w:rsidRPr="0068452F">
        <w:rPr>
          <w:rFonts w:asciiTheme="minorHAnsi" w:hAnsiTheme="minorHAnsi" w:cstheme="minorHAnsi"/>
          <w:i/>
          <w:lang w:val="fr-FR"/>
        </w:rPr>
        <w:t xml:space="preserve"> </w:t>
      </w:r>
      <w:r w:rsidR="00766125" w:rsidRPr="0068452F">
        <w:rPr>
          <w:rFonts w:asciiTheme="minorHAnsi" w:hAnsiTheme="minorHAnsi" w:cstheme="minorHAnsi"/>
          <w:lang w:val="fr-FR"/>
        </w:rPr>
        <w:t>a</w:t>
      </w:r>
      <w:r w:rsidRPr="0068452F">
        <w:rPr>
          <w:rFonts w:asciiTheme="minorHAnsi" w:hAnsiTheme="minorHAnsi" w:cstheme="minorHAnsi"/>
          <w:lang w:val="fr-FR"/>
        </w:rPr>
        <w:t xml:space="preserve">ugmentation du parc, consommation électrique accrue, passage limité au gaz naturel, </w:t>
      </w:r>
      <w:r w:rsidR="00C65DC8">
        <w:rPr>
          <w:rFonts w:asciiTheme="minorHAnsi" w:hAnsiTheme="minorHAnsi" w:cstheme="minorHAnsi"/>
          <w:lang w:val="fr-FR"/>
        </w:rPr>
        <w:t>amélioration de l’</w:t>
      </w:r>
      <w:r w:rsidRPr="0068452F">
        <w:rPr>
          <w:rFonts w:asciiTheme="minorHAnsi" w:hAnsiTheme="minorHAnsi" w:cstheme="minorHAnsi"/>
          <w:lang w:val="fr-FR"/>
        </w:rPr>
        <w:t>isolation</w:t>
      </w:r>
      <w:r w:rsidR="00766125" w:rsidRPr="0068452F">
        <w:rPr>
          <w:rFonts w:asciiTheme="minorHAnsi" w:hAnsiTheme="minorHAnsi" w:cstheme="minorHAnsi"/>
          <w:lang w:val="fr-FR"/>
        </w:rPr>
        <w:t xml:space="preserve">, climat </w:t>
      </w:r>
      <w:r w:rsidR="007E17FF">
        <w:rPr>
          <w:rFonts w:asciiTheme="minorHAnsi" w:hAnsiTheme="minorHAnsi" w:cstheme="minorHAnsi"/>
          <w:lang w:val="fr-FR"/>
        </w:rPr>
        <w:t xml:space="preserve">progressivement </w:t>
      </w:r>
      <w:r w:rsidR="00766125" w:rsidRPr="0068452F">
        <w:rPr>
          <w:rFonts w:asciiTheme="minorHAnsi" w:hAnsiTheme="minorHAnsi" w:cstheme="minorHAnsi"/>
          <w:lang w:val="fr-FR"/>
        </w:rPr>
        <w:t>plus doux</w:t>
      </w:r>
      <w:r w:rsidRPr="0068452F">
        <w:rPr>
          <w:rFonts w:asciiTheme="minorHAnsi" w:hAnsiTheme="minorHAnsi" w:cstheme="minorHAnsi"/>
          <w:lang w:val="fr-FR"/>
        </w:rPr>
        <w:t xml:space="preserve"> </w:t>
      </w:r>
    </w:p>
    <w:p w14:paraId="3067675F" w14:textId="74EA95A2" w:rsidR="00412785" w:rsidRPr="0068452F" w:rsidRDefault="00110284" w:rsidP="0056728D">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Transports :</w:t>
      </w:r>
      <w:r w:rsidRPr="0068452F">
        <w:rPr>
          <w:rFonts w:asciiTheme="minorHAnsi" w:hAnsiTheme="minorHAnsi" w:cstheme="minorHAnsi"/>
          <w:lang w:val="fr-FR"/>
        </w:rPr>
        <w:t xml:space="preserve"> augmentation du nombre de voitures, de leur cylindrée et des km parcourus </w:t>
      </w:r>
    </w:p>
    <w:p w14:paraId="09F5736B" w14:textId="667B6C1A" w:rsidR="00412785" w:rsidRPr="0068452F" w:rsidRDefault="00110284" w:rsidP="0056728D">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Agriculture :</w:t>
      </w:r>
      <w:r w:rsidRPr="0068452F">
        <w:rPr>
          <w:rFonts w:asciiTheme="minorHAnsi" w:hAnsiTheme="minorHAnsi" w:cstheme="minorHAnsi"/>
          <w:lang w:val="fr-FR"/>
        </w:rPr>
        <w:t xml:space="preserve"> diminution et modification du cheptel. Diminution des engrais minéraux</w:t>
      </w:r>
    </w:p>
    <w:p w14:paraId="2859836C" w14:textId="4CCC845F" w:rsidR="00766125" w:rsidRPr="00523547" w:rsidRDefault="00110284" w:rsidP="000E6EC5">
      <w:pPr>
        <w:numPr>
          <w:ilvl w:val="0"/>
          <w:numId w:val="21"/>
        </w:numPr>
        <w:spacing w:line="240" w:lineRule="auto"/>
        <w:rPr>
          <w:rFonts w:asciiTheme="minorHAnsi" w:hAnsiTheme="minorHAnsi" w:cstheme="minorHAnsi"/>
        </w:rPr>
      </w:pPr>
      <w:r w:rsidRPr="0068452F">
        <w:rPr>
          <w:rFonts w:asciiTheme="minorHAnsi" w:hAnsiTheme="minorHAnsi" w:cstheme="minorHAnsi"/>
          <w:bCs/>
          <w:i/>
          <w:lang w:val="fr-FR"/>
        </w:rPr>
        <w:t>Déchets :</w:t>
      </w:r>
      <w:r w:rsidRPr="0068452F">
        <w:rPr>
          <w:rFonts w:asciiTheme="minorHAnsi" w:hAnsiTheme="minorHAnsi" w:cstheme="minorHAnsi"/>
          <w:lang w:val="fr-FR"/>
        </w:rPr>
        <w:t xml:space="preserve"> </w:t>
      </w:r>
      <w:r w:rsidR="00766125" w:rsidRPr="0068452F">
        <w:rPr>
          <w:rFonts w:asciiTheme="minorHAnsi" w:hAnsiTheme="minorHAnsi" w:cstheme="minorHAnsi"/>
          <w:lang w:val="fr-FR"/>
        </w:rPr>
        <w:t xml:space="preserve">récupération et </w:t>
      </w:r>
      <w:r w:rsidRPr="0068452F">
        <w:rPr>
          <w:rFonts w:asciiTheme="minorHAnsi" w:hAnsiTheme="minorHAnsi" w:cstheme="minorHAnsi"/>
          <w:lang w:val="fr-FR"/>
        </w:rPr>
        <w:t>valorisation du biogaz dans les CET</w:t>
      </w:r>
    </w:p>
    <w:p w14:paraId="66C1EB3D" w14:textId="27EF02C7" w:rsidR="009F5383" w:rsidRPr="00A75CA8" w:rsidRDefault="00523547" w:rsidP="00A75CA8">
      <w:pPr>
        <w:pStyle w:val="Paragraphedeliste"/>
        <w:numPr>
          <w:ilvl w:val="0"/>
          <w:numId w:val="21"/>
        </w:numPr>
        <w:rPr>
          <w:rFonts w:asciiTheme="minorHAnsi" w:hAnsiTheme="minorHAnsi" w:cstheme="minorHAnsi"/>
        </w:rPr>
      </w:pPr>
      <w:r w:rsidRPr="00A75CA8">
        <w:rPr>
          <w:rFonts w:asciiTheme="minorHAnsi" w:hAnsiTheme="minorHAnsi" w:cstheme="minorHAnsi"/>
          <w:bCs/>
          <w:i/>
          <w:lang w:val="fr-FR"/>
        </w:rPr>
        <w:t>Autres :</w:t>
      </w:r>
      <w:r w:rsidRPr="00A75CA8">
        <w:rPr>
          <w:rFonts w:asciiTheme="minorHAnsi" w:hAnsiTheme="minorHAnsi" w:cstheme="minorHAnsi"/>
        </w:rPr>
        <w:t xml:space="preserve"> augmentation des émissions de gaz fluorés</w:t>
      </w:r>
      <w:r w:rsidR="00DD5E14" w:rsidRPr="00A75CA8">
        <w:rPr>
          <w:rFonts w:asciiTheme="minorHAnsi" w:hAnsiTheme="minorHAnsi" w:cstheme="minorHAnsi"/>
        </w:rPr>
        <w:t xml:space="preserve"> jusqu’en 2017, depuis 2018 les émissions commencent à diminuer, principalement au niveau de la réfrigération commerciale</w:t>
      </w:r>
    </w:p>
    <w:p w14:paraId="739FD456" w14:textId="77777777" w:rsidR="008D6507" w:rsidRDefault="00B0770C" w:rsidP="008D6507">
      <w:pPr>
        <w:keepNext/>
        <w:jc w:val="center"/>
      </w:pPr>
      <w:r w:rsidRPr="00B0770C">
        <w:rPr>
          <w:rFonts w:asciiTheme="minorHAnsi" w:hAnsiTheme="minorHAnsi" w:cstheme="minorHAnsi"/>
        </w:rPr>
        <w:t xml:space="preserve"> </w:t>
      </w:r>
      <w:r w:rsidR="00AC6CC9" w:rsidRPr="00AC6CC9">
        <w:rPr>
          <w:rFonts w:asciiTheme="minorHAnsi" w:hAnsiTheme="minorHAnsi" w:cstheme="minorHAnsi"/>
          <w:noProof/>
        </w:rPr>
        <w:drawing>
          <wp:inline distT="0" distB="0" distL="0" distR="0" wp14:anchorId="36585A9D" wp14:editId="1F4CC72F">
            <wp:extent cx="5760720" cy="3795395"/>
            <wp:effectExtent l="0" t="0" r="0" b="0"/>
            <wp:docPr id="1172648839" name="Image 1" descr="Une image contenant texte, capture d’écran, logiciel, Icône d’ordinat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48839" name="Image 1" descr="Une image contenant texte, capture d’écran, logiciel, Icône d’ordinateur&#10;&#10;Le contenu généré par l’IA peut être incorrect."/>
                    <pic:cNvPicPr/>
                  </pic:nvPicPr>
                  <pic:blipFill>
                    <a:blip r:embed="rId28"/>
                    <a:stretch>
                      <a:fillRect/>
                    </a:stretch>
                  </pic:blipFill>
                  <pic:spPr>
                    <a:xfrm>
                      <a:off x="0" y="0"/>
                      <a:ext cx="5760720" cy="3795395"/>
                    </a:xfrm>
                    <a:prstGeom prst="rect">
                      <a:avLst/>
                    </a:prstGeom>
                  </pic:spPr>
                </pic:pic>
              </a:graphicData>
            </a:graphic>
          </wp:inline>
        </w:drawing>
      </w:r>
    </w:p>
    <w:p w14:paraId="3BAC97CA" w14:textId="3A498826" w:rsidR="00CE5D8A" w:rsidRDefault="7CE79965" w:rsidP="008D6507">
      <w:pPr>
        <w:pStyle w:val="Lgende"/>
        <w:jc w:val="center"/>
      </w:pPr>
      <w:r>
        <w:t xml:space="preserve">Figure </w:t>
      </w:r>
      <w:r w:rsidR="008D6507">
        <w:fldChar w:fldCharType="begin"/>
      </w:r>
      <w:r w:rsidR="008D6507">
        <w:instrText xml:space="preserve"> SEQ Figure \* ARABIC </w:instrText>
      </w:r>
      <w:r w:rsidR="008D6507">
        <w:fldChar w:fldCharType="separate"/>
      </w:r>
      <w:r w:rsidR="001D5695">
        <w:rPr>
          <w:noProof/>
        </w:rPr>
        <w:t>5</w:t>
      </w:r>
      <w:r w:rsidR="008D6507">
        <w:fldChar w:fldCharType="end"/>
      </w:r>
      <w:r>
        <w:t>: EVOLUTION DES ÉMISSIONS DE GES PAR SECTEUR D'ACTIVITÉ EN WALLONIE (KT CO2 EQUIVALENT, ENTRE 1990 ET 2024 ; SOURCE AWAC)</w:t>
      </w:r>
    </w:p>
    <w:p w14:paraId="58710223" w14:textId="77777777" w:rsidR="00AF552B" w:rsidRDefault="00AF552B" w:rsidP="35DAFC00"/>
    <w:p w14:paraId="6BBE9F96" w14:textId="392B5282" w:rsidR="00AF552B" w:rsidRDefault="38522EBB" w:rsidP="35DAFC00">
      <w:pPr>
        <w:pStyle w:val="Titre1"/>
      </w:pPr>
      <w:r>
        <w:t xml:space="preserve">Le secteur </w:t>
      </w:r>
      <w:r w:rsidR="1B001F6C">
        <w:t>UTCATF</w:t>
      </w:r>
      <w:r w:rsidR="6CDC3BCA">
        <w:t xml:space="preserve"> = LULUCF</w:t>
      </w:r>
      <w:r w:rsidR="187BF03C">
        <w:t xml:space="preserve"> </w:t>
      </w:r>
      <w:r w:rsidR="33CCFB77">
        <w:t>(Utilisation des terres, changement d’affectation des terres</w:t>
      </w:r>
      <w:r w:rsidR="34A16204">
        <w:t xml:space="preserve"> et</w:t>
      </w:r>
      <w:r w:rsidR="33CCFB77">
        <w:t xml:space="preserve"> foresterie)</w:t>
      </w:r>
    </w:p>
    <w:p w14:paraId="14269EEA" w14:textId="77777777" w:rsidR="00AF552B" w:rsidRPr="00B761C0" w:rsidRDefault="00AF552B" w:rsidP="35DAFC00"/>
    <w:p w14:paraId="70A0211D" w14:textId="77777777" w:rsidR="00B20195" w:rsidRPr="00B20195" w:rsidRDefault="00B20195" w:rsidP="00B20195">
      <w:pPr>
        <w:jc w:val="left"/>
        <w:rPr>
          <w:rFonts w:asciiTheme="minorHAnsi" w:hAnsiTheme="minorHAnsi" w:cstheme="minorHAnsi"/>
        </w:rPr>
      </w:pPr>
      <w:r w:rsidRPr="00B20195">
        <w:rPr>
          <w:rFonts w:asciiTheme="minorHAnsi" w:hAnsiTheme="minorHAnsi" w:cstheme="minorHAnsi"/>
        </w:rPr>
        <w:t>Le secteur de l’utilisation des terres couvre la gestion des forêts, des terres agricoles, des prairies, des zones humides, des zones urbaines, ainsi que les changements d’affectation des sols. Il peut agir soit comme un puits de carbone, en absorbant le CO₂, soit comme une source, notamment en cas de déforestation.</w:t>
      </w:r>
    </w:p>
    <w:p w14:paraId="4A235690" w14:textId="315AC236" w:rsidR="00B20195" w:rsidRPr="00B20195" w:rsidRDefault="478D1E85" w:rsidP="35DAFC00">
      <w:pPr>
        <w:jc w:val="left"/>
        <w:rPr>
          <w:rFonts w:asciiTheme="minorHAnsi" w:hAnsiTheme="minorHAnsi"/>
        </w:rPr>
      </w:pPr>
      <w:r w:rsidRPr="35DAFC00">
        <w:rPr>
          <w:rFonts w:asciiTheme="minorHAnsi" w:hAnsiTheme="minorHAnsi"/>
        </w:rPr>
        <w:t xml:space="preserve">Pour atteindre l’objectif de neutralité carbone en 2050, l’UE a mis en place le règlement </w:t>
      </w:r>
      <w:r w:rsidR="1B001F6C" w:rsidRPr="35DAFC00">
        <w:rPr>
          <w:rFonts w:asciiTheme="minorHAnsi" w:hAnsiTheme="minorHAnsi"/>
        </w:rPr>
        <w:t>UTCATF</w:t>
      </w:r>
      <w:r w:rsidR="31A15744" w:rsidRPr="35DAFC00">
        <w:rPr>
          <w:rFonts w:asciiTheme="minorHAnsi" w:hAnsiTheme="minorHAnsi"/>
        </w:rPr>
        <w:t xml:space="preserve"> (</w:t>
      </w:r>
      <w:hyperlink r:id="rId29">
        <w:r w:rsidR="31A15744" w:rsidRPr="35DAFC00">
          <w:rPr>
            <w:rStyle w:val="Lienhypertexte"/>
            <w:rFonts w:asciiTheme="minorHAnsi" w:hAnsiTheme="minorHAnsi"/>
          </w:rPr>
          <w:t>EU 2018/841</w:t>
        </w:r>
      </w:hyperlink>
      <w:r w:rsidR="31A15744" w:rsidRPr="35DAFC00">
        <w:rPr>
          <w:rFonts w:asciiTheme="minorHAnsi" w:hAnsiTheme="minorHAnsi"/>
        </w:rPr>
        <w:t>)</w:t>
      </w:r>
      <w:r w:rsidRPr="35DAFC00">
        <w:rPr>
          <w:rFonts w:asciiTheme="minorHAnsi" w:hAnsiTheme="minorHAnsi"/>
        </w:rPr>
        <w:t>, assorti de deux objectifs belges (Pas d’objectif Wallon chiffré, en attente d’un Burden Sharing) :</w:t>
      </w:r>
    </w:p>
    <w:p w14:paraId="48BCA40F" w14:textId="24597642" w:rsidR="00B20195" w:rsidRPr="00B20195" w:rsidRDefault="478D1E85" w:rsidP="35DAFC00">
      <w:pPr>
        <w:numPr>
          <w:ilvl w:val="0"/>
          <w:numId w:val="25"/>
        </w:numPr>
        <w:jc w:val="left"/>
        <w:rPr>
          <w:rFonts w:asciiTheme="minorHAnsi" w:hAnsiTheme="minorHAnsi"/>
        </w:rPr>
      </w:pPr>
      <w:r w:rsidRPr="35DAFC00">
        <w:rPr>
          <w:rFonts w:asciiTheme="minorHAnsi" w:hAnsiTheme="minorHAnsi"/>
          <w:b/>
          <w:bCs/>
        </w:rPr>
        <w:t>Période 2021</w:t>
      </w:r>
      <w:r w:rsidR="06478661" w:rsidRPr="35DAFC00">
        <w:rPr>
          <w:rFonts w:asciiTheme="minorHAnsi" w:hAnsiTheme="minorHAnsi"/>
          <w:b/>
          <w:bCs/>
        </w:rPr>
        <w:t>-</w:t>
      </w:r>
      <w:r w:rsidRPr="35DAFC00">
        <w:rPr>
          <w:rFonts w:asciiTheme="minorHAnsi" w:hAnsiTheme="minorHAnsi"/>
          <w:b/>
          <w:bCs/>
        </w:rPr>
        <w:t>2025</w:t>
      </w:r>
      <w:r w:rsidRPr="35DAFC00">
        <w:rPr>
          <w:rFonts w:asciiTheme="minorHAnsi" w:hAnsiTheme="minorHAnsi"/>
        </w:rPr>
        <w:t xml:space="preserve"> : application de la règle du </w:t>
      </w:r>
      <w:r w:rsidRPr="35DAFC00">
        <w:rPr>
          <w:rFonts w:asciiTheme="minorHAnsi" w:hAnsiTheme="minorHAnsi"/>
          <w:i/>
          <w:iCs/>
        </w:rPr>
        <w:t>« no debit »</w:t>
      </w:r>
      <w:r w:rsidRPr="35DAFC00">
        <w:rPr>
          <w:rFonts w:asciiTheme="minorHAnsi" w:hAnsiTheme="minorHAnsi"/>
        </w:rPr>
        <w:t xml:space="preserve">, imposant que les émissions du secteur </w:t>
      </w:r>
      <w:r w:rsidR="1B001F6C" w:rsidRPr="35DAFC00">
        <w:rPr>
          <w:rFonts w:asciiTheme="minorHAnsi" w:hAnsiTheme="minorHAnsi"/>
        </w:rPr>
        <w:t>UTCATF</w:t>
      </w:r>
      <w:r w:rsidRPr="35DAFC00">
        <w:rPr>
          <w:rFonts w:asciiTheme="minorHAnsi" w:hAnsiTheme="minorHAnsi"/>
        </w:rPr>
        <w:t xml:space="preserve"> soient intégralement compensées par des absorptions équivalentes.</w:t>
      </w:r>
    </w:p>
    <w:p w14:paraId="07EEB3D0" w14:textId="0B0305B2" w:rsidR="00B20195" w:rsidRPr="00B20195" w:rsidRDefault="00B20195" w:rsidP="00B20195">
      <w:pPr>
        <w:numPr>
          <w:ilvl w:val="0"/>
          <w:numId w:val="25"/>
        </w:numPr>
        <w:jc w:val="left"/>
        <w:rPr>
          <w:rFonts w:asciiTheme="minorHAnsi" w:hAnsiTheme="minorHAnsi"/>
        </w:rPr>
      </w:pPr>
      <w:r w:rsidRPr="664E4FF4">
        <w:rPr>
          <w:rFonts w:asciiTheme="minorHAnsi" w:hAnsiTheme="minorHAnsi"/>
          <w:b/>
        </w:rPr>
        <w:t>Période 2026</w:t>
      </w:r>
      <w:r w:rsidR="644A3327" w:rsidRPr="664E4FF4">
        <w:rPr>
          <w:rFonts w:asciiTheme="minorHAnsi" w:hAnsiTheme="minorHAnsi"/>
          <w:b/>
          <w:bCs/>
        </w:rPr>
        <w:t>-</w:t>
      </w:r>
      <w:r w:rsidRPr="664E4FF4">
        <w:rPr>
          <w:rFonts w:asciiTheme="minorHAnsi" w:hAnsiTheme="minorHAnsi"/>
          <w:b/>
        </w:rPr>
        <w:t>2030</w:t>
      </w:r>
      <w:r w:rsidRPr="664E4FF4">
        <w:rPr>
          <w:rFonts w:asciiTheme="minorHAnsi" w:hAnsiTheme="minorHAnsi"/>
        </w:rPr>
        <w:t xml:space="preserve"> : mise en œuvre d’une trajectoire contraignante visant à augmenter le puits net de carbone. Pour la Belgique, cela correspond à une augmentation du puits cumulée de </w:t>
      </w:r>
      <w:r w:rsidRPr="664E4FF4">
        <w:rPr>
          <w:rFonts w:asciiTheme="minorHAnsi" w:hAnsiTheme="minorHAnsi"/>
          <w:b/>
        </w:rPr>
        <w:t xml:space="preserve">(-) 822 kT </w:t>
      </w:r>
      <w:proofErr w:type="spellStart"/>
      <w:r w:rsidRPr="664E4FF4">
        <w:rPr>
          <w:rFonts w:asciiTheme="minorHAnsi" w:hAnsiTheme="minorHAnsi"/>
          <w:b/>
        </w:rPr>
        <w:t>CO</w:t>
      </w:r>
      <w:r w:rsidR="564107F7" w:rsidRPr="664E4FF4">
        <w:rPr>
          <w:rFonts w:asciiTheme="minorHAnsi" w:hAnsiTheme="minorHAnsi"/>
          <w:b/>
          <w:bCs/>
        </w:rPr>
        <w:t>₂</w:t>
      </w:r>
      <w:r w:rsidRPr="664E4FF4">
        <w:rPr>
          <w:rFonts w:asciiTheme="minorHAnsi" w:hAnsiTheme="minorHAnsi"/>
          <w:b/>
        </w:rPr>
        <w:t>eq</w:t>
      </w:r>
      <w:proofErr w:type="spellEnd"/>
      <w:r w:rsidRPr="664E4FF4">
        <w:rPr>
          <w:rFonts w:asciiTheme="minorHAnsi" w:hAnsiTheme="minorHAnsi"/>
        </w:rPr>
        <w:t xml:space="preserve"> sur la période, par rapport à la moyenne du puits observée entre 2016 et 2018.</w:t>
      </w:r>
    </w:p>
    <w:p w14:paraId="6B74D64D" w14:textId="3C445819" w:rsidR="00B20195" w:rsidRPr="00B20195" w:rsidRDefault="478D1E85" w:rsidP="35DAFC00">
      <w:pPr>
        <w:jc w:val="left"/>
        <w:rPr>
          <w:rFonts w:asciiTheme="minorHAnsi" w:hAnsiTheme="minorHAnsi"/>
        </w:rPr>
      </w:pPr>
      <w:r w:rsidRPr="35DAFC00">
        <w:rPr>
          <w:rFonts w:asciiTheme="minorHAnsi" w:hAnsiTheme="minorHAnsi"/>
        </w:rPr>
        <w:t xml:space="preserve">En </w:t>
      </w:r>
      <w:hyperlink r:id="rId30">
        <w:r w:rsidRPr="35DAFC00">
          <w:rPr>
            <w:rStyle w:val="Lienhypertexte"/>
            <w:rFonts w:asciiTheme="minorHAnsi" w:hAnsiTheme="minorHAnsi"/>
          </w:rPr>
          <w:t>Wallonie</w:t>
        </w:r>
      </w:hyperlink>
      <w:r w:rsidRPr="35DAFC00">
        <w:rPr>
          <w:rFonts w:asciiTheme="minorHAnsi" w:hAnsiTheme="minorHAnsi"/>
        </w:rPr>
        <w:t xml:space="preserve">, le secteur </w:t>
      </w:r>
      <w:r w:rsidR="1B001F6C" w:rsidRPr="35DAFC00">
        <w:rPr>
          <w:rFonts w:asciiTheme="minorHAnsi" w:hAnsiTheme="minorHAnsi"/>
        </w:rPr>
        <w:t>UTCATF</w:t>
      </w:r>
      <w:r w:rsidRPr="35DAFC00">
        <w:rPr>
          <w:rFonts w:asciiTheme="minorHAnsi" w:hAnsiTheme="minorHAnsi"/>
        </w:rPr>
        <w:t xml:space="preserve"> (hors « Produits récoltés du bois », disponibles uniquement au niveau belge) constitue un puits de carbone entre 1990 et 2024. Cependant, ce puits s’est réduit de </w:t>
      </w:r>
      <w:r w:rsidRPr="35DAFC00">
        <w:rPr>
          <w:rFonts w:asciiTheme="minorHAnsi" w:hAnsiTheme="minorHAnsi"/>
          <w:b/>
          <w:bCs/>
        </w:rPr>
        <w:t>31 %</w:t>
      </w:r>
      <w:r w:rsidRPr="35DAFC00">
        <w:rPr>
          <w:rFonts w:asciiTheme="minorHAnsi" w:hAnsiTheme="minorHAnsi"/>
        </w:rPr>
        <w:t xml:space="preserve"> au cours de cette période.</w:t>
      </w:r>
    </w:p>
    <w:p w14:paraId="5EF05E9A" w14:textId="77777777" w:rsidR="008D6507" w:rsidRDefault="00197FDF" w:rsidP="008D6507">
      <w:pPr>
        <w:keepNext/>
      </w:pPr>
      <w:r w:rsidRPr="00197FDF">
        <w:rPr>
          <w:noProof/>
        </w:rPr>
        <w:drawing>
          <wp:inline distT="0" distB="0" distL="0" distR="0" wp14:anchorId="0DCADD1F" wp14:editId="191E850C">
            <wp:extent cx="5722620" cy="3935563"/>
            <wp:effectExtent l="0" t="0" r="0" b="8255"/>
            <wp:docPr id="1619640989" name="Image 1" descr="Une image contenant capture d’écran, diagramme, text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40989" name="Image 1" descr="Une image contenant capture d’écran, diagramme, texte, Caractère coloré&#10;&#10;Le contenu généré par l’IA peut être incorrect."/>
                    <pic:cNvPicPr/>
                  </pic:nvPicPr>
                  <pic:blipFill>
                    <a:blip r:embed="rId31"/>
                    <a:stretch>
                      <a:fillRect/>
                    </a:stretch>
                  </pic:blipFill>
                  <pic:spPr>
                    <a:xfrm>
                      <a:off x="0" y="0"/>
                      <a:ext cx="5727761" cy="3939098"/>
                    </a:xfrm>
                    <a:prstGeom prst="rect">
                      <a:avLst/>
                    </a:prstGeom>
                  </pic:spPr>
                </pic:pic>
              </a:graphicData>
            </a:graphic>
          </wp:inline>
        </w:drawing>
      </w:r>
    </w:p>
    <w:p w14:paraId="55BC8FF9" w14:textId="6045172B" w:rsidR="00197FDF" w:rsidRDefault="7CE79965" w:rsidP="008D6507">
      <w:pPr>
        <w:pStyle w:val="Lgende"/>
        <w:jc w:val="center"/>
      </w:pPr>
      <w:r>
        <w:t xml:space="preserve">Figure </w:t>
      </w:r>
      <w:r w:rsidR="008D6507">
        <w:fldChar w:fldCharType="begin"/>
      </w:r>
      <w:r w:rsidR="008D6507">
        <w:instrText xml:space="preserve"> SEQ Figure \* ARABIC </w:instrText>
      </w:r>
      <w:r w:rsidR="008D6507">
        <w:fldChar w:fldCharType="separate"/>
      </w:r>
      <w:r w:rsidR="001D5695">
        <w:rPr>
          <w:noProof/>
        </w:rPr>
        <w:t>6</w:t>
      </w:r>
      <w:r w:rsidR="008D6507">
        <w:fldChar w:fldCharType="end"/>
      </w:r>
      <w:r>
        <w:t xml:space="preserve">: EVOLUTION DU SECTEUR </w:t>
      </w:r>
      <w:r w:rsidR="1B001F6C">
        <w:t>UTCATF</w:t>
      </w:r>
      <w:r>
        <w:t xml:space="preserve"> (HORS DONNÉES DES « PRODUITS RÉCOLTÉS DU BOIS ») EN WALLONIE ENTRE 1990 ET 2024 (KT CO2 EQUIVALENT, SOURCE : AWAC)</w:t>
      </w:r>
    </w:p>
    <w:p w14:paraId="52D39A53" w14:textId="77777777" w:rsidR="000C5716" w:rsidRDefault="000C5716" w:rsidP="00197FDF"/>
    <w:p w14:paraId="5B6A4CCE" w14:textId="7A865F1F" w:rsidR="000C5716" w:rsidRPr="00B20195" w:rsidRDefault="000C5716" w:rsidP="00B761C0">
      <w:pPr>
        <w:pStyle w:val="Titre4"/>
      </w:pPr>
      <w:r w:rsidRPr="00B20195">
        <w:t xml:space="preserve">Pour aller plus loin : </w:t>
      </w:r>
    </w:p>
    <w:p w14:paraId="5BF0D826" w14:textId="5FB3CF98" w:rsidR="002F2CAE" w:rsidRPr="00B20195" w:rsidRDefault="002F2CAE" w:rsidP="002F2CAE">
      <w:pPr>
        <w:pStyle w:val="Paragraphedeliste"/>
        <w:numPr>
          <w:ilvl w:val="0"/>
          <w:numId w:val="24"/>
        </w:numPr>
      </w:pPr>
      <w:r w:rsidRPr="00B20195">
        <w:t xml:space="preserve">Les émissions de gaz à effet de serre en Belgique : </w:t>
      </w:r>
      <w:hyperlink r:id="rId32" w:history="1">
        <w:r w:rsidRPr="00B20195">
          <w:rPr>
            <w:rStyle w:val="Lienhypertexte"/>
          </w:rPr>
          <w:t>Émissions des gaz à effet de serre</w:t>
        </w:r>
      </w:hyperlink>
    </w:p>
    <w:p w14:paraId="4EBD77C5" w14:textId="7EE2C01B" w:rsidR="000C5716" w:rsidRPr="00B20195" w:rsidRDefault="000C5716" w:rsidP="000C5716">
      <w:pPr>
        <w:pStyle w:val="Paragraphedeliste"/>
        <w:numPr>
          <w:ilvl w:val="0"/>
          <w:numId w:val="24"/>
        </w:numPr>
      </w:pPr>
      <w:r w:rsidRPr="00B20195">
        <w:t xml:space="preserve">Données de rapportage européen : </w:t>
      </w:r>
      <w:hyperlink r:id="rId33" w:history="1">
        <w:r w:rsidRPr="00B20195">
          <w:rPr>
            <w:rStyle w:val="Lienhypertexte"/>
          </w:rPr>
          <w:t xml:space="preserve">EU </w:t>
        </w:r>
        <w:proofErr w:type="spellStart"/>
        <w:r w:rsidRPr="00B20195">
          <w:rPr>
            <w:rStyle w:val="Lienhypertexte"/>
          </w:rPr>
          <w:t>Governance</w:t>
        </w:r>
        <w:proofErr w:type="spellEnd"/>
        <w:r w:rsidRPr="00B20195">
          <w:rPr>
            <w:rStyle w:val="Lienhypertexte"/>
          </w:rPr>
          <w:t xml:space="preserve"> </w:t>
        </w:r>
        <w:proofErr w:type="spellStart"/>
        <w:r w:rsidRPr="00B20195">
          <w:rPr>
            <w:rStyle w:val="Lienhypertexte"/>
          </w:rPr>
          <w:t>Regulation</w:t>
        </w:r>
        <w:proofErr w:type="spellEnd"/>
      </w:hyperlink>
    </w:p>
    <w:p w14:paraId="6D37688F" w14:textId="06FDD45B" w:rsidR="000C5716" w:rsidRPr="00B20195" w:rsidRDefault="000C5716" w:rsidP="000C5716">
      <w:pPr>
        <w:pStyle w:val="Paragraphedeliste"/>
        <w:numPr>
          <w:ilvl w:val="0"/>
          <w:numId w:val="24"/>
        </w:numPr>
        <w:rPr>
          <w:lang w:val="en-US"/>
        </w:rPr>
      </w:pPr>
      <w:r w:rsidRPr="00B20195">
        <w:rPr>
          <w:lang w:val="en-US"/>
        </w:rPr>
        <w:t xml:space="preserve">Rapport, National Inventory </w:t>
      </w:r>
      <w:proofErr w:type="gramStart"/>
      <w:r w:rsidRPr="00B20195">
        <w:rPr>
          <w:lang w:val="en-US"/>
        </w:rPr>
        <w:t>Document :</w:t>
      </w:r>
      <w:proofErr w:type="gramEnd"/>
      <w:r w:rsidRPr="00B20195">
        <w:rPr>
          <w:lang w:val="en-US"/>
        </w:rPr>
        <w:t xml:space="preserve"> </w:t>
      </w:r>
      <w:hyperlink r:id="rId34" w:history="1">
        <w:r w:rsidRPr="00B20195">
          <w:rPr>
            <w:rStyle w:val="Lienhypertexte"/>
            <w:lang w:val="en-US"/>
          </w:rPr>
          <w:t>National Inventory Document submitted under the United Nations Framework Convention of Climate Change about Belgium’s greenhouse gas inventory 1990-2024 on 15 march 2026</w:t>
        </w:r>
      </w:hyperlink>
    </w:p>
    <w:p w14:paraId="0F2BEE19" w14:textId="2329EDFB" w:rsidR="000C5716" w:rsidRPr="00B20195" w:rsidRDefault="000C5716" w:rsidP="000C5716">
      <w:pPr>
        <w:pStyle w:val="Paragraphedeliste"/>
        <w:numPr>
          <w:ilvl w:val="0"/>
          <w:numId w:val="24"/>
        </w:numPr>
      </w:pPr>
      <w:r w:rsidRPr="00B20195">
        <w:t xml:space="preserve">EU </w:t>
      </w:r>
      <w:proofErr w:type="spellStart"/>
      <w:r w:rsidRPr="00B20195">
        <w:t>Governance</w:t>
      </w:r>
      <w:proofErr w:type="spellEnd"/>
      <w:r w:rsidRPr="00B20195">
        <w:t xml:space="preserve"> </w:t>
      </w:r>
      <w:proofErr w:type="spellStart"/>
      <w:r w:rsidRPr="00B20195">
        <w:t>Regulation</w:t>
      </w:r>
      <w:proofErr w:type="spellEnd"/>
      <w:r w:rsidRPr="00B20195">
        <w:t xml:space="preserve"> 2018/1999 : </w:t>
      </w:r>
      <w:hyperlink r:id="rId35" w:history="1">
        <w:r w:rsidRPr="00B20195">
          <w:rPr>
            <w:rStyle w:val="Lienhypertexte"/>
          </w:rPr>
          <w:t>EUR-Lex - 02018R1999-20231120 - EN - EUR-Lex</w:t>
        </w:r>
      </w:hyperlink>
    </w:p>
    <w:p w14:paraId="322E3414" w14:textId="4E155007" w:rsidR="000C5716" w:rsidRPr="00B20195" w:rsidRDefault="1B001F6C" w:rsidP="000C5716">
      <w:pPr>
        <w:pStyle w:val="Paragraphedeliste"/>
        <w:numPr>
          <w:ilvl w:val="0"/>
          <w:numId w:val="24"/>
        </w:numPr>
      </w:pPr>
      <w:r>
        <w:t>UTCATF</w:t>
      </w:r>
      <w:r w:rsidR="35D27278">
        <w:t xml:space="preserve">, Regulation (EU) 2018/841 : </w:t>
      </w:r>
      <w:hyperlink r:id="rId36">
        <w:r w:rsidR="35D27278" w:rsidRPr="35DAFC00">
          <w:rPr>
            <w:rStyle w:val="Lienhypertexte"/>
          </w:rPr>
          <w:t>EUR-Lex - 02018R0841-20230511 - EN - EUR-Lex</w:t>
        </w:r>
      </w:hyperlink>
    </w:p>
    <w:p w14:paraId="5BC67F21" w14:textId="2951C053" w:rsidR="53E867A2" w:rsidRDefault="53E867A2" w:rsidP="35DAFC00">
      <w:pPr>
        <w:pStyle w:val="Paragraphedeliste"/>
        <w:numPr>
          <w:ilvl w:val="0"/>
          <w:numId w:val="24"/>
        </w:numPr>
        <w:rPr>
          <w:lang w:val="en-US"/>
        </w:rPr>
      </w:pPr>
      <w:r w:rsidRPr="35DAFC00">
        <w:rPr>
          <w:lang w:val="en-US"/>
        </w:rPr>
        <w:t xml:space="preserve">Effort sharing 2021-2030 : Targets and flexibilities : </w:t>
      </w:r>
      <w:hyperlink r:id="rId37">
        <w:r w:rsidRPr="35DAFC00">
          <w:rPr>
            <w:rStyle w:val="Lienhypertexte"/>
            <w:lang w:val="en-US"/>
          </w:rPr>
          <w:t>Effort sharing 2021-2030: targets and flexibilities - Climate Action</w:t>
        </w:r>
      </w:hyperlink>
    </w:p>
    <w:sectPr w:rsidR="53E867A2" w:rsidSect="001F086E">
      <w:headerReference w:type="even" r:id="rId38"/>
      <w:headerReference w:type="default" r:id="rId39"/>
      <w:footerReference w:type="even" r:id="rId40"/>
      <w:footerReference w:type="default" r:id="rId41"/>
      <w:headerReference w:type="first" r:id="rId42"/>
      <w:footerReference w:type="first" r:id="rId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6BD3" w14:textId="77777777" w:rsidR="00FF595A" w:rsidRDefault="00FF595A" w:rsidP="000E6EC5">
      <w:pPr>
        <w:spacing w:after="0" w:line="240" w:lineRule="auto"/>
      </w:pPr>
      <w:r>
        <w:separator/>
      </w:r>
    </w:p>
  </w:endnote>
  <w:endnote w:type="continuationSeparator" w:id="0">
    <w:p w14:paraId="7A761ECB" w14:textId="77777777" w:rsidR="00FF595A" w:rsidRDefault="00FF595A" w:rsidP="000E6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0034" w14:textId="77777777" w:rsidR="00542CEB" w:rsidRDefault="00542C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8550"/>
      <w:docPartObj>
        <w:docPartGallery w:val="Page Numbers (Bottom of Page)"/>
        <w:docPartUnique/>
      </w:docPartObj>
    </w:sdtPr>
    <w:sdtEndPr/>
    <w:sdtContent>
      <w:p w14:paraId="56E8117B" w14:textId="77777777" w:rsidR="00F832DA" w:rsidRDefault="00CD6D8E">
        <w:pPr>
          <w:pStyle w:val="Pieddepage"/>
          <w:jc w:val="right"/>
        </w:pPr>
        <w:r>
          <w:rPr>
            <w:noProof/>
          </w:rPr>
          <w:fldChar w:fldCharType="begin"/>
        </w:r>
        <w:r>
          <w:rPr>
            <w:noProof/>
          </w:rPr>
          <w:instrText xml:space="preserve"> PAGE   \* MERGEFORMAT </w:instrText>
        </w:r>
        <w:r>
          <w:rPr>
            <w:noProof/>
          </w:rPr>
          <w:fldChar w:fldCharType="separate"/>
        </w:r>
        <w:r w:rsidR="00EF4F08">
          <w:rPr>
            <w:noProof/>
          </w:rPr>
          <w:t>3</w:t>
        </w:r>
        <w:r>
          <w:rPr>
            <w:noProof/>
          </w:rPr>
          <w:fldChar w:fldCharType="end"/>
        </w:r>
      </w:p>
    </w:sdtContent>
  </w:sdt>
  <w:p w14:paraId="1FF3809D" w14:textId="77777777" w:rsidR="00F832DA" w:rsidRDefault="00F832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ADB6" w14:textId="77777777" w:rsidR="00542CEB" w:rsidRDefault="00542C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AEA7" w14:textId="77777777" w:rsidR="00FF595A" w:rsidRDefault="00FF595A" w:rsidP="000E6EC5">
      <w:pPr>
        <w:spacing w:after="0" w:line="240" w:lineRule="auto"/>
      </w:pPr>
      <w:r>
        <w:separator/>
      </w:r>
    </w:p>
  </w:footnote>
  <w:footnote w:type="continuationSeparator" w:id="0">
    <w:p w14:paraId="46F6E854" w14:textId="77777777" w:rsidR="00FF595A" w:rsidRDefault="00FF595A" w:rsidP="000E6EC5">
      <w:pPr>
        <w:spacing w:after="0" w:line="240" w:lineRule="auto"/>
      </w:pPr>
      <w:r>
        <w:continuationSeparator/>
      </w:r>
    </w:p>
  </w:footnote>
  <w:footnote w:id="1">
    <w:p w14:paraId="748134EC" w14:textId="77777777" w:rsidR="004636D5" w:rsidRPr="0068452F" w:rsidRDefault="004636D5" w:rsidP="004636D5">
      <w:pPr>
        <w:pStyle w:val="Notedebasdepage"/>
        <w:rPr>
          <w:rFonts w:asciiTheme="minorHAnsi" w:hAnsiTheme="minorHAnsi" w:cstheme="minorHAnsi"/>
          <w:sz w:val="16"/>
          <w:szCs w:val="16"/>
        </w:rPr>
      </w:pPr>
      <w:r w:rsidRPr="0068452F">
        <w:rPr>
          <w:rStyle w:val="Appelnotedebasdep"/>
          <w:rFonts w:asciiTheme="minorHAnsi" w:hAnsiTheme="minorHAnsi" w:cstheme="minorHAnsi"/>
          <w:sz w:val="16"/>
          <w:szCs w:val="16"/>
        </w:rPr>
        <w:footnoteRef/>
      </w:r>
      <w:r w:rsidRPr="0068452F">
        <w:rPr>
          <w:rFonts w:asciiTheme="minorHAnsi" w:hAnsiTheme="minorHAnsi" w:cstheme="minorHAnsi"/>
          <w:sz w:val="16"/>
          <w:szCs w:val="16"/>
        </w:rPr>
        <w:t xml:space="preserve"> PRG applicables</w:t>
      </w:r>
      <w:r>
        <w:rPr>
          <w:rFonts w:asciiTheme="minorHAnsi" w:hAnsiTheme="minorHAnsi" w:cstheme="minorHAnsi"/>
          <w:sz w:val="16"/>
          <w:szCs w:val="16"/>
        </w:rPr>
        <w:t xml:space="preserve"> (AR5 GIEC)</w:t>
      </w:r>
      <w:r w:rsidRPr="0068452F">
        <w:rPr>
          <w:rFonts w:asciiTheme="minorHAnsi" w:hAnsiTheme="minorHAnsi" w:cstheme="minorHAnsi"/>
          <w:sz w:val="16"/>
          <w:szCs w:val="16"/>
        </w:rPr>
        <w:t> : CH</w:t>
      </w:r>
      <w:r w:rsidRPr="0068452F">
        <w:rPr>
          <w:rFonts w:asciiTheme="minorHAnsi" w:hAnsiTheme="minorHAnsi" w:cstheme="minorHAnsi"/>
          <w:sz w:val="16"/>
          <w:szCs w:val="16"/>
          <w:vertAlign w:val="subscript"/>
        </w:rPr>
        <w:t>4</w:t>
      </w:r>
      <w:r w:rsidRPr="0068452F">
        <w:rPr>
          <w:rFonts w:asciiTheme="minorHAnsi" w:hAnsiTheme="minorHAnsi" w:cstheme="minorHAnsi"/>
          <w:sz w:val="16"/>
          <w:szCs w:val="16"/>
        </w:rPr>
        <w:t>= 2</w:t>
      </w:r>
      <w:r>
        <w:rPr>
          <w:rFonts w:asciiTheme="minorHAnsi" w:hAnsiTheme="minorHAnsi" w:cstheme="minorHAnsi"/>
          <w:sz w:val="16"/>
          <w:szCs w:val="16"/>
        </w:rPr>
        <w:t>8</w:t>
      </w:r>
      <w:r w:rsidRPr="0068452F">
        <w:rPr>
          <w:rFonts w:asciiTheme="minorHAnsi" w:hAnsiTheme="minorHAnsi" w:cstheme="minorHAnsi"/>
          <w:sz w:val="16"/>
          <w:szCs w:val="16"/>
        </w:rPr>
        <w:t xml:space="preserve"> et N</w:t>
      </w:r>
      <w:r w:rsidRPr="0068452F">
        <w:rPr>
          <w:rFonts w:asciiTheme="minorHAnsi" w:hAnsiTheme="minorHAnsi" w:cstheme="minorHAnsi"/>
          <w:sz w:val="16"/>
          <w:szCs w:val="16"/>
          <w:vertAlign w:val="subscript"/>
        </w:rPr>
        <w:t>2</w:t>
      </w:r>
      <w:r w:rsidRPr="0068452F">
        <w:rPr>
          <w:rFonts w:asciiTheme="minorHAnsi" w:hAnsiTheme="minorHAnsi" w:cstheme="minorHAnsi"/>
          <w:sz w:val="16"/>
          <w:szCs w:val="16"/>
        </w:rPr>
        <w:t>O = 2</w:t>
      </w:r>
      <w:r>
        <w:rPr>
          <w:rFonts w:asciiTheme="minorHAnsi" w:hAnsiTheme="minorHAnsi" w:cstheme="minorHAnsi"/>
          <w:sz w:val="16"/>
          <w:szCs w:val="16"/>
        </w:rPr>
        <w:t>65</w:t>
      </w:r>
      <w:r w:rsidRPr="0068452F">
        <w:rPr>
          <w:rFonts w:asciiTheme="minorHAnsi" w:hAnsiTheme="minorHAnsi" w:cstheme="minorHAnsi"/>
          <w:sz w:val="16"/>
          <w:szCs w:val="16"/>
        </w:rPr>
        <w:t>. Les PRG des gaz fluorés sont également revus.</w:t>
      </w:r>
      <w:r>
        <w:rPr>
          <w:rFonts w:asciiTheme="minorHAnsi" w:hAnsiTheme="minorHAnsi" w:cstheme="minorHAnsi"/>
          <w:sz w:val="16"/>
          <w:szCs w:val="16"/>
        </w:rPr>
        <w:t xml:space="preserve"> Les émissions du transport routier ont été adaptées sur la base des ventes de carburant dont les statistiques sont maintenant régionalisées.</w:t>
      </w:r>
    </w:p>
  </w:footnote>
  <w:footnote w:id="2">
    <w:p w14:paraId="197398B9" w14:textId="7C4B8D35" w:rsidR="004636D5" w:rsidRPr="004636D5" w:rsidRDefault="004636D5">
      <w:pPr>
        <w:pStyle w:val="Notedebasdepage"/>
      </w:pPr>
      <w:r>
        <w:rPr>
          <w:rStyle w:val="Appelnotedebasdep"/>
        </w:rPr>
        <w:footnoteRef/>
      </w:r>
      <w:r>
        <w:t xml:space="preserve"> Pour la période 2013-2020, les secteurs hors ETS étaient visés par l’</w:t>
      </w:r>
      <w:r w:rsidRPr="00B761C0">
        <w:rPr>
          <w:i/>
          <w:iCs/>
        </w:rPr>
        <w:t xml:space="preserve">Effort Sharing </w:t>
      </w:r>
      <w:proofErr w:type="spellStart"/>
      <w:r w:rsidRPr="00B761C0">
        <w:rPr>
          <w:i/>
          <w:iCs/>
        </w:rPr>
        <w:t>Decision</w:t>
      </w:r>
      <w:proofErr w:type="spellEnd"/>
      <w:r>
        <w:rPr>
          <w:i/>
          <w:iCs/>
        </w:rPr>
        <w:t xml:space="preserve"> (ESD)</w:t>
      </w:r>
      <w:r>
        <w:t>. Pour la période 2021-2030, la « </w:t>
      </w:r>
      <w:proofErr w:type="spellStart"/>
      <w:r w:rsidRPr="00B761C0">
        <w:rPr>
          <w:i/>
          <w:iCs/>
        </w:rPr>
        <w:t>Decision</w:t>
      </w:r>
      <w:proofErr w:type="spellEnd"/>
      <w:r>
        <w:t> » a évolué en « </w:t>
      </w:r>
      <w:proofErr w:type="spellStart"/>
      <w:r w:rsidRPr="00B761C0">
        <w:rPr>
          <w:i/>
          <w:iCs/>
        </w:rPr>
        <w:t>Regulation</w:t>
      </w:r>
      <w:proofErr w:type="spellEnd"/>
      <w:r>
        <w:t xml:space="preserve"> » </w:t>
      </w:r>
      <w:r w:rsidR="007E055E">
        <w:t>et donc on parle à présent d’objectifs ESR et plus d’objectifs ESD.</w:t>
      </w:r>
    </w:p>
  </w:footnote>
  <w:footnote w:id="3">
    <w:p w14:paraId="570B0B77" w14:textId="0FE60E05" w:rsidR="008D6507" w:rsidRDefault="008D6507">
      <w:pPr>
        <w:pStyle w:val="Notedebasdepage"/>
      </w:pPr>
      <w:r>
        <w:rPr>
          <w:rStyle w:val="Appelnotedebasdep"/>
        </w:rPr>
        <w:footnoteRef/>
      </w:r>
      <w:r>
        <w:t xml:space="preserve"> </w:t>
      </w:r>
      <w:r w:rsidRPr="008D6507">
        <w:rPr>
          <w:sz w:val="14"/>
          <w:szCs w:val="16"/>
        </w:rPr>
        <w:t>Toute la série temporelle (1990 à 2024) est revue sur base de l’adoption de nouvelles méthodologies, de nouvelles répartitions sectorielles ou suivant la consolidation des sources de données (e.g. Bilan énergétique). Les inventaires GES de 2005 et 2023 (années de comparaison figurant dans le tableau 1) ont été sensiblement revus durant l’inventaire de mars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CC90" w14:textId="77777777" w:rsidR="00542CEB" w:rsidRDefault="00542C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3896" w14:textId="77777777" w:rsidR="00542CEB" w:rsidRDefault="00542C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F8E7" w14:textId="77777777" w:rsidR="00542CEB" w:rsidRDefault="00542C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4D1"/>
    <w:multiLevelType w:val="hybridMultilevel"/>
    <w:tmpl w:val="AB9ABB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37F1405"/>
    <w:multiLevelType w:val="hybridMultilevel"/>
    <w:tmpl w:val="7F067DB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15:restartNumberingAfterBreak="0">
    <w:nsid w:val="259C110B"/>
    <w:multiLevelType w:val="hybridMultilevel"/>
    <w:tmpl w:val="3250A9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AE6628C"/>
    <w:multiLevelType w:val="hybridMultilevel"/>
    <w:tmpl w:val="D33A1A22"/>
    <w:lvl w:ilvl="0" w:tplc="55786090">
      <w:start w:val="14"/>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2D6A7133"/>
    <w:multiLevelType w:val="hybridMultilevel"/>
    <w:tmpl w:val="E8BAD8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FC72041"/>
    <w:multiLevelType w:val="hybridMultilevel"/>
    <w:tmpl w:val="4DA66F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88C1305"/>
    <w:multiLevelType w:val="hybridMultilevel"/>
    <w:tmpl w:val="AA96B846"/>
    <w:lvl w:ilvl="0" w:tplc="3ED8325A">
      <w:start w:val="1"/>
      <w:numFmt w:val="bullet"/>
      <w:lvlText w:val=""/>
      <w:lvlJc w:val="left"/>
      <w:pPr>
        <w:ind w:left="1080" w:hanging="360"/>
      </w:pPr>
      <w:rPr>
        <w:rFonts w:ascii="Symbol" w:hAnsi="Symbol" w:hint="default"/>
      </w:rPr>
    </w:lvl>
    <w:lvl w:ilvl="1" w:tplc="321CCCE0" w:tentative="1">
      <w:start w:val="1"/>
      <w:numFmt w:val="bullet"/>
      <w:lvlText w:val="o"/>
      <w:lvlJc w:val="left"/>
      <w:pPr>
        <w:ind w:left="1800" w:hanging="360"/>
      </w:pPr>
      <w:rPr>
        <w:rFonts w:ascii="Courier New" w:hAnsi="Courier New" w:cs="Courier New" w:hint="default"/>
      </w:rPr>
    </w:lvl>
    <w:lvl w:ilvl="2" w:tplc="34145B40" w:tentative="1">
      <w:start w:val="1"/>
      <w:numFmt w:val="bullet"/>
      <w:lvlText w:val=""/>
      <w:lvlJc w:val="left"/>
      <w:pPr>
        <w:ind w:left="2520" w:hanging="360"/>
      </w:pPr>
      <w:rPr>
        <w:rFonts w:ascii="Wingdings" w:hAnsi="Wingdings" w:hint="default"/>
      </w:rPr>
    </w:lvl>
    <w:lvl w:ilvl="3" w:tplc="FBF69590" w:tentative="1">
      <w:start w:val="1"/>
      <w:numFmt w:val="bullet"/>
      <w:lvlText w:val=""/>
      <w:lvlJc w:val="left"/>
      <w:pPr>
        <w:ind w:left="3240" w:hanging="360"/>
      </w:pPr>
      <w:rPr>
        <w:rFonts w:ascii="Symbol" w:hAnsi="Symbol" w:hint="default"/>
      </w:rPr>
    </w:lvl>
    <w:lvl w:ilvl="4" w:tplc="5DD63F1A" w:tentative="1">
      <w:start w:val="1"/>
      <w:numFmt w:val="bullet"/>
      <w:lvlText w:val="o"/>
      <w:lvlJc w:val="left"/>
      <w:pPr>
        <w:ind w:left="3960" w:hanging="360"/>
      </w:pPr>
      <w:rPr>
        <w:rFonts w:ascii="Courier New" w:hAnsi="Courier New" w:cs="Courier New" w:hint="default"/>
      </w:rPr>
    </w:lvl>
    <w:lvl w:ilvl="5" w:tplc="1CD6A8A2" w:tentative="1">
      <w:start w:val="1"/>
      <w:numFmt w:val="bullet"/>
      <w:lvlText w:val=""/>
      <w:lvlJc w:val="left"/>
      <w:pPr>
        <w:ind w:left="4680" w:hanging="360"/>
      </w:pPr>
      <w:rPr>
        <w:rFonts w:ascii="Wingdings" w:hAnsi="Wingdings" w:hint="default"/>
      </w:rPr>
    </w:lvl>
    <w:lvl w:ilvl="6" w:tplc="E4308BB6" w:tentative="1">
      <w:start w:val="1"/>
      <w:numFmt w:val="bullet"/>
      <w:lvlText w:val=""/>
      <w:lvlJc w:val="left"/>
      <w:pPr>
        <w:ind w:left="5400" w:hanging="360"/>
      </w:pPr>
      <w:rPr>
        <w:rFonts w:ascii="Symbol" w:hAnsi="Symbol" w:hint="default"/>
      </w:rPr>
    </w:lvl>
    <w:lvl w:ilvl="7" w:tplc="5576293A" w:tentative="1">
      <w:start w:val="1"/>
      <w:numFmt w:val="bullet"/>
      <w:lvlText w:val="o"/>
      <w:lvlJc w:val="left"/>
      <w:pPr>
        <w:ind w:left="6120" w:hanging="360"/>
      </w:pPr>
      <w:rPr>
        <w:rFonts w:ascii="Courier New" w:hAnsi="Courier New" w:cs="Courier New" w:hint="default"/>
      </w:rPr>
    </w:lvl>
    <w:lvl w:ilvl="8" w:tplc="EB7817F6" w:tentative="1">
      <w:start w:val="1"/>
      <w:numFmt w:val="bullet"/>
      <w:lvlText w:val=""/>
      <w:lvlJc w:val="left"/>
      <w:pPr>
        <w:ind w:left="6840" w:hanging="360"/>
      </w:pPr>
      <w:rPr>
        <w:rFonts w:ascii="Wingdings" w:hAnsi="Wingdings" w:hint="default"/>
      </w:rPr>
    </w:lvl>
  </w:abstractNum>
  <w:abstractNum w:abstractNumId="7" w15:restartNumberingAfterBreak="0">
    <w:nsid w:val="3BF97679"/>
    <w:multiLevelType w:val="hybridMultilevel"/>
    <w:tmpl w:val="53F6857E"/>
    <w:lvl w:ilvl="0" w:tplc="7B981956">
      <w:start w:val="29"/>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8" w15:restartNumberingAfterBreak="0">
    <w:nsid w:val="3DEA7226"/>
    <w:multiLevelType w:val="hybridMultilevel"/>
    <w:tmpl w:val="2814EC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EF45E87"/>
    <w:multiLevelType w:val="hybridMultilevel"/>
    <w:tmpl w:val="39A4BB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0D31029"/>
    <w:multiLevelType w:val="hybridMultilevel"/>
    <w:tmpl w:val="33E09E5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15:restartNumberingAfterBreak="0">
    <w:nsid w:val="459764C6"/>
    <w:multiLevelType w:val="hybridMultilevel"/>
    <w:tmpl w:val="76E4744E"/>
    <w:lvl w:ilvl="0" w:tplc="08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AA410B"/>
    <w:multiLevelType w:val="hybridMultilevel"/>
    <w:tmpl w:val="26B44C42"/>
    <w:lvl w:ilvl="0" w:tplc="6B0C0FEC">
      <w:start w:val="2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 w15:restartNumberingAfterBreak="0">
    <w:nsid w:val="490E740C"/>
    <w:multiLevelType w:val="hybridMultilevel"/>
    <w:tmpl w:val="1D546A3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E8A56D1"/>
    <w:multiLevelType w:val="hybridMultilevel"/>
    <w:tmpl w:val="9AECDA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5F725F3"/>
    <w:multiLevelType w:val="hybridMultilevel"/>
    <w:tmpl w:val="FEE890FC"/>
    <w:lvl w:ilvl="0" w:tplc="2A7E73A4">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1E6F0F"/>
    <w:multiLevelType w:val="hybridMultilevel"/>
    <w:tmpl w:val="CB82F5C2"/>
    <w:lvl w:ilvl="0" w:tplc="BE6E0EEC">
      <w:start w:val="2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5ED011D7"/>
    <w:multiLevelType w:val="hybridMultilevel"/>
    <w:tmpl w:val="013E0D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5EC5918"/>
    <w:multiLevelType w:val="hybridMultilevel"/>
    <w:tmpl w:val="81344C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F3F0472"/>
    <w:multiLevelType w:val="hybridMultilevel"/>
    <w:tmpl w:val="6EFE6C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884240"/>
    <w:multiLevelType w:val="hybridMultilevel"/>
    <w:tmpl w:val="53FC6D7C"/>
    <w:lvl w:ilvl="0" w:tplc="5C4C5144">
      <w:start w:val="1"/>
      <w:numFmt w:val="bullet"/>
      <w:lvlText w:val="•"/>
      <w:lvlJc w:val="left"/>
      <w:pPr>
        <w:tabs>
          <w:tab w:val="num" w:pos="720"/>
        </w:tabs>
        <w:ind w:left="720" w:hanging="360"/>
      </w:pPr>
      <w:rPr>
        <w:rFonts w:ascii="Arial" w:hAnsi="Arial" w:hint="default"/>
      </w:rPr>
    </w:lvl>
    <w:lvl w:ilvl="1" w:tplc="2DC2BD78" w:tentative="1">
      <w:start w:val="1"/>
      <w:numFmt w:val="bullet"/>
      <w:lvlText w:val="•"/>
      <w:lvlJc w:val="left"/>
      <w:pPr>
        <w:tabs>
          <w:tab w:val="num" w:pos="1440"/>
        </w:tabs>
        <w:ind w:left="1440" w:hanging="360"/>
      </w:pPr>
      <w:rPr>
        <w:rFonts w:ascii="Arial" w:hAnsi="Arial" w:hint="default"/>
      </w:rPr>
    </w:lvl>
    <w:lvl w:ilvl="2" w:tplc="1DD86474" w:tentative="1">
      <w:start w:val="1"/>
      <w:numFmt w:val="bullet"/>
      <w:lvlText w:val="•"/>
      <w:lvlJc w:val="left"/>
      <w:pPr>
        <w:tabs>
          <w:tab w:val="num" w:pos="2160"/>
        </w:tabs>
        <w:ind w:left="2160" w:hanging="360"/>
      </w:pPr>
      <w:rPr>
        <w:rFonts w:ascii="Arial" w:hAnsi="Arial" w:hint="default"/>
      </w:rPr>
    </w:lvl>
    <w:lvl w:ilvl="3" w:tplc="2C92400A" w:tentative="1">
      <w:start w:val="1"/>
      <w:numFmt w:val="bullet"/>
      <w:lvlText w:val="•"/>
      <w:lvlJc w:val="left"/>
      <w:pPr>
        <w:tabs>
          <w:tab w:val="num" w:pos="2880"/>
        </w:tabs>
        <w:ind w:left="2880" w:hanging="360"/>
      </w:pPr>
      <w:rPr>
        <w:rFonts w:ascii="Arial" w:hAnsi="Arial" w:hint="default"/>
      </w:rPr>
    </w:lvl>
    <w:lvl w:ilvl="4" w:tplc="097A1008" w:tentative="1">
      <w:start w:val="1"/>
      <w:numFmt w:val="bullet"/>
      <w:lvlText w:val="•"/>
      <w:lvlJc w:val="left"/>
      <w:pPr>
        <w:tabs>
          <w:tab w:val="num" w:pos="3600"/>
        </w:tabs>
        <w:ind w:left="3600" w:hanging="360"/>
      </w:pPr>
      <w:rPr>
        <w:rFonts w:ascii="Arial" w:hAnsi="Arial" w:hint="default"/>
      </w:rPr>
    </w:lvl>
    <w:lvl w:ilvl="5" w:tplc="6326FFDE" w:tentative="1">
      <w:start w:val="1"/>
      <w:numFmt w:val="bullet"/>
      <w:lvlText w:val="•"/>
      <w:lvlJc w:val="left"/>
      <w:pPr>
        <w:tabs>
          <w:tab w:val="num" w:pos="4320"/>
        </w:tabs>
        <w:ind w:left="4320" w:hanging="360"/>
      </w:pPr>
      <w:rPr>
        <w:rFonts w:ascii="Arial" w:hAnsi="Arial" w:hint="default"/>
      </w:rPr>
    </w:lvl>
    <w:lvl w:ilvl="6" w:tplc="ABDEEB92" w:tentative="1">
      <w:start w:val="1"/>
      <w:numFmt w:val="bullet"/>
      <w:lvlText w:val="•"/>
      <w:lvlJc w:val="left"/>
      <w:pPr>
        <w:tabs>
          <w:tab w:val="num" w:pos="5040"/>
        </w:tabs>
        <w:ind w:left="5040" w:hanging="360"/>
      </w:pPr>
      <w:rPr>
        <w:rFonts w:ascii="Arial" w:hAnsi="Arial" w:hint="default"/>
      </w:rPr>
    </w:lvl>
    <w:lvl w:ilvl="7" w:tplc="BE622FE2" w:tentative="1">
      <w:start w:val="1"/>
      <w:numFmt w:val="bullet"/>
      <w:lvlText w:val="•"/>
      <w:lvlJc w:val="left"/>
      <w:pPr>
        <w:tabs>
          <w:tab w:val="num" w:pos="5760"/>
        </w:tabs>
        <w:ind w:left="5760" w:hanging="360"/>
      </w:pPr>
      <w:rPr>
        <w:rFonts w:ascii="Arial" w:hAnsi="Arial" w:hint="default"/>
      </w:rPr>
    </w:lvl>
    <w:lvl w:ilvl="8" w:tplc="5B04133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887373F"/>
    <w:multiLevelType w:val="multilevel"/>
    <w:tmpl w:val="5C0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6243DC"/>
    <w:multiLevelType w:val="hybridMultilevel"/>
    <w:tmpl w:val="41AA82EA"/>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3" w15:restartNumberingAfterBreak="0">
    <w:nsid w:val="7AD05540"/>
    <w:multiLevelType w:val="hybridMultilevel"/>
    <w:tmpl w:val="1B48E22A"/>
    <w:lvl w:ilvl="0" w:tplc="3DB268EC">
      <w:start w:val="1"/>
      <w:numFmt w:val="decimal"/>
      <w:lvlText w:val="%1."/>
      <w:lvlJc w:val="left"/>
      <w:pPr>
        <w:ind w:left="1134" w:hanging="1134"/>
      </w:pPr>
      <w:rPr>
        <w:rFonts w:ascii="Arial" w:hAnsi="Arial" w:cs="Arial" w:hint="default"/>
        <w:b/>
        <w:i w:val="0"/>
        <w:color w:val="808080" w:themeColor="background1" w:themeShade="80"/>
        <w:sz w:val="18"/>
        <w:lang w:val="fr-BE"/>
      </w:rPr>
    </w:lvl>
    <w:lvl w:ilvl="1" w:tplc="080C0019">
      <w:start w:val="1"/>
      <w:numFmt w:val="lowerLetter"/>
      <w:lvlText w:val="%2."/>
      <w:lvlJc w:val="left"/>
      <w:pPr>
        <w:ind w:left="1364" w:hanging="360"/>
      </w:pPr>
    </w:lvl>
    <w:lvl w:ilvl="2" w:tplc="080C001B">
      <w:start w:val="1"/>
      <w:numFmt w:val="lowerRoman"/>
      <w:lvlText w:val="%3."/>
      <w:lvlJc w:val="right"/>
      <w:pPr>
        <w:ind w:left="2084" w:hanging="180"/>
      </w:pPr>
    </w:lvl>
    <w:lvl w:ilvl="3" w:tplc="11A64E2C">
      <w:numFmt w:val="bullet"/>
      <w:lvlText w:val="–"/>
      <w:lvlJc w:val="left"/>
      <w:pPr>
        <w:ind w:left="2804" w:hanging="360"/>
      </w:pPr>
      <w:rPr>
        <w:rFonts w:ascii="Arial" w:eastAsia="Times New Roman" w:hAnsi="Arial" w:cs="Arial" w:hint="default"/>
      </w:r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4" w15:restartNumberingAfterBreak="0">
    <w:nsid w:val="7F8A2C6F"/>
    <w:multiLevelType w:val="hybridMultilevel"/>
    <w:tmpl w:val="925E8E5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03027460">
    <w:abstractNumId w:val="19"/>
  </w:num>
  <w:num w:numId="2" w16cid:durableId="873730869">
    <w:abstractNumId w:val="6"/>
  </w:num>
  <w:num w:numId="3" w16cid:durableId="1781334354">
    <w:abstractNumId w:val="5"/>
  </w:num>
  <w:num w:numId="4" w16cid:durableId="1349940985">
    <w:abstractNumId w:val="9"/>
  </w:num>
  <w:num w:numId="5" w16cid:durableId="1141922045">
    <w:abstractNumId w:val="4"/>
  </w:num>
  <w:num w:numId="6" w16cid:durableId="707679012">
    <w:abstractNumId w:val="24"/>
  </w:num>
  <w:num w:numId="7" w16cid:durableId="879242620">
    <w:abstractNumId w:val="2"/>
  </w:num>
  <w:num w:numId="8" w16cid:durableId="1197350048">
    <w:abstractNumId w:val="11"/>
  </w:num>
  <w:num w:numId="9" w16cid:durableId="517811846">
    <w:abstractNumId w:val="22"/>
  </w:num>
  <w:num w:numId="10" w16cid:durableId="1366910886">
    <w:abstractNumId w:val="10"/>
  </w:num>
  <w:num w:numId="11" w16cid:durableId="743722724">
    <w:abstractNumId w:val="1"/>
  </w:num>
  <w:num w:numId="12" w16cid:durableId="1493641799">
    <w:abstractNumId w:val="14"/>
  </w:num>
  <w:num w:numId="13" w16cid:durableId="985546612">
    <w:abstractNumId w:val="18"/>
  </w:num>
  <w:num w:numId="14" w16cid:durableId="873931080">
    <w:abstractNumId w:val="0"/>
  </w:num>
  <w:num w:numId="15" w16cid:durableId="294219496">
    <w:abstractNumId w:val="8"/>
  </w:num>
  <w:num w:numId="16" w16cid:durableId="418796765">
    <w:abstractNumId w:val="13"/>
  </w:num>
  <w:num w:numId="17" w16cid:durableId="1753353194">
    <w:abstractNumId w:val="16"/>
  </w:num>
  <w:num w:numId="18" w16cid:durableId="835075198">
    <w:abstractNumId w:val="7"/>
  </w:num>
  <w:num w:numId="19" w16cid:durableId="16279040">
    <w:abstractNumId w:val="12"/>
  </w:num>
  <w:num w:numId="20" w16cid:durableId="1141654047">
    <w:abstractNumId w:val="3"/>
  </w:num>
  <w:num w:numId="21" w16cid:durableId="714741768">
    <w:abstractNumId w:val="20"/>
  </w:num>
  <w:num w:numId="22" w16cid:durableId="992025478">
    <w:abstractNumId w:val="23"/>
  </w:num>
  <w:num w:numId="23" w16cid:durableId="639119775">
    <w:abstractNumId w:val="17"/>
  </w:num>
  <w:num w:numId="24" w16cid:durableId="1425223099">
    <w:abstractNumId w:val="15"/>
  </w:num>
  <w:num w:numId="25" w16cid:durableId="6359096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5"/>
    <w:rsid w:val="00010CAC"/>
    <w:rsid w:val="00017DB3"/>
    <w:rsid w:val="00022815"/>
    <w:rsid w:val="00027084"/>
    <w:rsid w:val="00032D7A"/>
    <w:rsid w:val="000341A5"/>
    <w:rsid w:val="00042923"/>
    <w:rsid w:val="00043DB7"/>
    <w:rsid w:val="00051686"/>
    <w:rsid w:val="00053C78"/>
    <w:rsid w:val="00055B73"/>
    <w:rsid w:val="000604F2"/>
    <w:rsid w:val="00067185"/>
    <w:rsid w:val="00075911"/>
    <w:rsid w:val="00082A6F"/>
    <w:rsid w:val="00094C6B"/>
    <w:rsid w:val="00095F6A"/>
    <w:rsid w:val="0009783B"/>
    <w:rsid w:val="000A10B2"/>
    <w:rsid w:val="000A1A64"/>
    <w:rsid w:val="000A2E3E"/>
    <w:rsid w:val="000A5108"/>
    <w:rsid w:val="000B1243"/>
    <w:rsid w:val="000B6F0D"/>
    <w:rsid w:val="000C022F"/>
    <w:rsid w:val="000C5716"/>
    <w:rsid w:val="000D09FC"/>
    <w:rsid w:val="000D38FA"/>
    <w:rsid w:val="000D53BF"/>
    <w:rsid w:val="000E401C"/>
    <w:rsid w:val="000E6EC5"/>
    <w:rsid w:val="000F4BA2"/>
    <w:rsid w:val="00100DB7"/>
    <w:rsid w:val="001032FF"/>
    <w:rsid w:val="00110284"/>
    <w:rsid w:val="0012184A"/>
    <w:rsid w:val="00121F3E"/>
    <w:rsid w:val="00130950"/>
    <w:rsid w:val="00134F4E"/>
    <w:rsid w:val="00136C24"/>
    <w:rsid w:val="001406FF"/>
    <w:rsid w:val="0014530A"/>
    <w:rsid w:val="00145CC0"/>
    <w:rsid w:val="0015238D"/>
    <w:rsid w:val="00153207"/>
    <w:rsid w:val="00173F46"/>
    <w:rsid w:val="00177E62"/>
    <w:rsid w:val="00180F55"/>
    <w:rsid w:val="00181155"/>
    <w:rsid w:val="00190DD7"/>
    <w:rsid w:val="001976A8"/>
    <w:rsid w:val="00197FDF"/>
    <w:rsid w:val="001B5561"/>
    <w:rsid w:val="001B57EB"/>
    <w:rsid w:val="001C12AE"/>
    <w:rsid w:val="001C45AD"/>
    <w:rsid w:val="001C59DD"/>
    <w:rsid w:val="001C7512"/>
    <w:rsid w:val="001D1FD6"/>
    <w:rsid w:val="001D2E58"/>
    <w:rsid w:val="001D5695"/>
    <w:rsid w:val="001D782F"/>
    <w:rsid w:val="001F086E"/>
    <w:rsid w:val="001F10E2"/>
    <w:rsid w:val="001F2728"/>
    <w:rsid w:val="001F307B"/>
    <w:rsid w:val="00201483"/>
    <w:rsid w:val="00201CBD"/>
    <w:rsid w:val="00202F01"/>
    <w:rsid w:val="002043C8"/>
    <w:rsid w:val="00212FE9"/>
    <w:rsid w:val="002138F8"/>
    <w:rsid w:val="00213AFA"/>
    <w:rsid w:val="00221860"/>
    <w:rsid w:val="00227AFE"/>
    <w:rsid w:val="002337D6"/>
    <w:rsid w:val="00237684"/>
    <w:rsid w:val="002447A1"/>
    <w:rsid w:val="00256D9E"/>
    <w:rsid w:val="002600D2"/>
    <w:rsid w:val="002618C2"/>
    <w:rsid w:val="00262059"/>
    <w:rsid w:val="00263890"/>
    <w:rsid w:val="002647CF"/>
    <w:rsid w:val="00266FF1"/>
    <w:rsid w:val="0027361F"/>
    <w:rsid w:val="002738C8"/>
    <w:rsid w:val="0027734D"/>
    <w:rsid w:val="002847C6"/>
    <w:rsid w:val="00286991"/>
    <w:rsid w:val="00291342"/>
    <w:rsid w:val="00293C34"/>
    <w:rsid w:val="0029556D"/>
    <w:rsid w:val="002A3A8B"/>
    <w:rsid w:val="002A3F18"/>
    <w:rsid w:val="002A5932"/>
    <w:rsid w:val="002B00F6"/>
    <w:rsid w:val="002B43BC"/>
    <w:rsid w:val="002C0FBB"/>
    <w:rsid w:val="002C28AB"/>
    <w:rsid w:val="002C2AD2"/>
    <w:rsid w:val="002C3C73"/>
    <w:rsid w:val="002C6455"/>
    <w:rsid w:val="002D3136"/>
    <w:rsid w:val="002D57D1"/>
    <w:rsid w:val="002D5E83"/>
    <w:rsid w:val="002E0F1D"/>
    <w:rsid w:val="002F1B28"/>
    <w:rsid w:val="002F2CAE"/>
    <w:rsid w:val="002F4EB8"/>
    <w:rsid w:val="002F5907"/>
    <w:rsid w:val="002F7103"/>
    <w:rsid w:val="00306823"/>
    <w:rsid w:val="00314723"/>
    <w:rsid w:val="00314BCD"/>
    <w:rsid w:val="0032138F"/>
    <w:rsid w:val="00337334"/>
    <w:rsid w:val="00356944"/>
    <w:rsid w:val="00361D2D"/>
    <w:rsid w:val="0036521D"/>
    <w:rsid w:val="00370F6C"/>
    <w:rsid w:val="0039059C"/>
    <w:rsid w:val="00393680"/>
    <w:rsid w:val="00394BC9"/>
    <w:rsid w:val="003A0165"/>
    <w:rsid w:val="003A6E59"/>
    <w:rsid w:val="003B0AC8"/>
    <w:rsid w:val="003B2B6D"/>
    <w:rsid w:val="003C43F4"/>
    <w:rsid w:val="003C5410"/>
    <w:rsid w:val="003D6DAD"/>
    <w:rsid w:val="003F1174"/>
    <w:rsid w:val="0040017F"/>
    <w:rsid w:val="00401C9E"/>
    <w:rsid w:val="004050FC"/>
    <w:rsid w:val="00407636"/>
    <w:rsid w:val="00411E74"/>
    <w:rsid w:val="00412785"/>
    <w:rsid w:val="00431413"/>
    <w:rsid w:val="004453C1"/>
    <w:rsid w:val="004541F7"/>
    <w:rsid w:val="00455300"/>
    <w:rsid w:val="004553B0"/>
    <w:rsid w:val="00462DD2"/>
    <w:rsid w:val="004636D5"/>
    <w:rsid w:val="00473396"/>
    <w:rsid w:val="00487703"/>
    <w:rsid w:val="0048778A"/>
    <w:rsid w:val="00490ECE"/>
    <w:rsid w:val="00491BC3"/>
    <w:rsid w:val="00494CF1"/>
    <w:rsid w:val="004A5A19"/>
    <w:rsid w:val="004B1E7C"/>
    <w:rsid w:val="004C4F0B"/>
    <w:rsid w:val="004D1042"/>
    <w:rsid w:val="004D3559"/>
    <w:rsid w:val="004E1747"/>
    <w:rsid w:val="004E5A87"/>
    <w:rsid w:val="004E6708"/>
    <w:rsid w:val="004F7C85"/>
    <w:rsid w:val="00502289"/>
    <w:rsid w:val="00503E91"/>
    <w:rsid w:val="00516F76"/>
    <w:rsid w:val="00523547"/>
    <w:rsid w:val="00524712"/>
    <w:rsid w:val="00525AC6"/>
    <w:rsid w:val="0052636F"/>
    <w:rsid w:val="0053211F"/>
    <w:rsid w:val="0053538B"/>
    <w:rsid w:val="00536B0F"/>
    <w:rsid w:val="00542CEB"/>
    <w:rsid w:val="0054488C"/>
    <w:rsid w:val="00561066"/>
    <w:rsid w:val="00565179"/>
    <w:rsid w:val="0056728D"/>
    <w:rsid w:val="00567461"/>
    <w:rsid w:val="0057103B"/>
    <w:rsid w:val="00574AFE"/>
    <w:rsid w:val="00574B48"/>
    <w:rsid w:val="005823FC"/>
    <w:rsid w:val="005910B2"/>
    <w:rsid w:val="00593135"/>
    <w:rsid w:val="00595C16"/>
    <w:rsid w:val="00596CA6"/>
    <w:rsid w:val="005B1995"/>
    <w:rsid w:val="005B25C1"/>
    <w:rsid w:val="005B3E98"/>
    <w:rsid w:val="005D0534"/>
    <w:rsid w:val="005D092E"/>
    <w:rsid w:val="005D173C"/>
    <w:rsid w:val="005D4CD9"/>
    <w:rsid w:val="005E09D1"/>
    <w:rsid w:val="005E4681"/>
    <w:rsid w:val="00602609"/>
    <w:rsid w:val="006142F7"/>
    <w:rsid w:val="00623042"/>
    <w:rsid w:val="0062397B"/>
    <w:rsid w:val="00641288"/>
    <w:rsid w:val="006505D8"/>
    <w:rsid w:val="00651199"/>
    <w:rsid w:val="006611A3"/>
    <w:rsid w:val="006629F9"/>
    <w:rsid w:val="00675B00"/>
    <w:rsid w:val="0068452F"/>
    <w:rsid w:val="00691CC6"/>
    <w:rsid w:val="006A644A"/>
    <w:rsid w:val="006B4406"/>
    <w:rsid w:val="006B73E8"/>
    <w:rsid w:val="006B7773"/>
    <w:rsid w:val="006C0940"/>
    <w:rsid w:val="006C42F3"/>
    <w:rsid w:val="006C765D"/>
    <w:rsid w:val="006D2A3C"/>
    <w:rsid w:val="006E5EBB"/>
    <w:rsid w:val="006F2513"/>
    <w:rsid w:val="006F4851"/>
    <w:rsid w:val="007027EF"/>
    <w:rsid w:val="00707463"/>
    <w:rsid w:val="00722594"/>
    <w:rsid w:val="0072286F"/>
    <w:rsid w:val="007265E1"/>
    <w:rsid w:val="007323E4"/>
    <w:rsid w:val="00734A5E"/>
    <w:rsid w:val="007350C0"/>
    <w:rsid w:val="0075128C"/>
    <w:rsid w:val="00756F04"/>
    <w:rsid w:val="007622CB"/>
    <w:rsid w:val="00762B65"/>
    <w:rsid w:val="007633FE"/>
    <w:rsid w:val="00766125"/>
    <w:rsid w:val="00780302"/>
    <w:rsid w:val="00781905"/>
    <w:rsid w:val="00787EBC"/>
    <w:rsid w:val="00794D51"/>
    <w:rsid w:val="00796F57"/>
    <w:rsid w:val="007A328B"/>
    <w:rsid w:val="007A41C8"/>
    <w:rsid w:val="007A4C34"/>
    <w:rsid w:val="007B05A3"/>
    <w:rsid w:val="007B1055"/>
    <w:rsid w:val="007B5296"/>
    <w:rsid w:val="007C659F"/>
    <w:rsid w:val="007D41FE"/>
    <w:rsid w:val="007E055E"/>
    <w:rsid w:val="007E1146"/>
    <w:rsid w:val="007E17FF"/>
    <w:rsid w:val="007E71A4"/>
    <w:rsid w:val="007F2273"/>
    <w:rsid w:val="007F2853"/>
    <w:rsid w:val="007F3D80"/>
    <w:rsid w:val="007F5219"/>
    <w:rsid w:val="00802DD1"/>
    <w:rsid w:val="00804AC2"/>
    <w:rsid w:val="00805CFF"/>
    <w:rsid w:val="00810098"/>
    <w:rsid w:val="008160AF"/>
    <w:rsid w:val="00821CFB"/>
    <w:rsid w:val="0082514D"/>
    <w:rsid w:val="00825861"/>
    <w:rsid w:val="008429C8"/>
    <w:rsid w:val="008448C7"/>
    <w:rsid w:val="008473EC"/>
    <w:rsid w:val="00856106"/>
    <w:rsid w:val="00861B97"/>
    <w:rsid w:val="00861C3B"/>
    <w:rsid w:val="00865068"/>
    <w:rsid w:val="008715A4"/>
    <w:rsid w:val="00874329"/>
    <w:rsid w:val="00876DD6"/>
    <w:rsid w:val="00881595"/>
    <w:rsid w:val="00886A37"/>
    <w:rsid w:val="008970B9"/>
    <w:rsid w:val="008B5CA7"/>
    <w:rsid w:val="008B65E6"/>
    <w:rsid w:val="008C1190"/>
    <w:rsid w:val="008D25E8"/>
    <w:rsid w:val="008D3F75"/>
    <w:rsid w:val="008D6507"/>
    <w:rsid w:val="008F52A1"/>
    <w:rsid w:val="008F57A4"/>
    <w:rsid w:val="00900D1B"/>
    <w:rsid w:val="00915CDA"/>
    <w:rsid w:val="0092747A"/>
    <w:rsid w:val="00942C24"/>
    <w:rsid w:val="0094745D"/>
    <w:rsid w:val="009531EC"/>
    <w:rsid w:val="009603E8"/>
    <w:rsid w:val="0097689D"/>
    <w:rsid w:val="00977EA2"/>
    <w:rsid w:val="00983FCC"/>
    <w:rsid w:val="009A01F4"/>
    <w:rsid w:val="009A4834"/>
    <w:rsid w:val="009B0771"/>
    <w:rsid w:val="009B412F"/>
    <w:rsid w:val="009B658D"/>
    <w:rsid w:val="009C415B"/>
    <w:rsid w:val="009D79B2"/>
    <w:rsid w:val="009E14FB"/>
    <w:rsid w:val="009F0D3C"/>
    <w:rsid w:val="009F5383"/>
    <w:rsid w:val="00A049E1"/>
    <w:rsid w:val="00A06713"/>
    <w:rsid w:val="00A1079D"/>
    <w:rsid w:val="00A128DE"/>
    <w:rsid w:val="00A22E64"/>
    <w:rsid w:val="00A301CF"/>
    <w:rsid w:val="00A42C7D"/>
    <w:rsid w:val="00A509E9"/>
    <w:rsid w:val="00A5365F"/>
    <w:rsid w:val="00A64875"/>
    <w:rsid w:val="00A64C5F"/>
    <w:rsid w:val="00A66968"/>
    <w:rsid w:val="00A707DB"/>
    <w:rsid w:val="00A75CA8"/>
    <w:rsid w:val="00A77C88"/>
    <w:rsid w:val="00A81EA2"/>
    <w:rsid w:val="00A9204D"/>
    <w:rsid w:val="00A92CFA"/>
    <w:rsid w:val="00A97A43"/>
    <w:rsid w:val="00AA54C8"/>
    <w:rsid w:val="00AA62C1"/>
    <w:rsid w:val="00AC6CC9"/>
    <w:rsid w:val="00AD2285"/>
    <w:rsid w:val="00AD2DBF"/>
    <w:rsid w:val="00AD3D2A"/>
    <w:rsid w:val="00AD5E4C"/>
    <w:rsid w:val="00AF14F6"/>
    <w:rsid w:val="00AF552B"/>
    <w:rsid w:val="00B0770C"/>
    <w:rsid w:val="00B11C0A"/>
    <w:rsid w:val="00B13D06"/>
    <w:rsid w:val="00B14487"/>
    <w:rsid w:val="00B20195"/>
    <w:rsid w:val="00B203A5"/>
    <w:rsid w:val="00B2141F"/>
    <w:rsid w:val="00B273E2"/>
    <w:rsid w:val="00B3F92F"/>
    <w:rsid w:val="00B44115"/>
    <w:rsid w:val="00B470B8"/>
    <w:rsid w:val="00B50C35"/>
    <w:rsid w:val="00B524A2"/>
    <w:rsid w:val="00B557F5"/>
    <w:rsid w:val="00B60F21"/>
    <w:rsid w:val="00B6141B"/>
    <w:rsid w:val="00B617AB"/>
    <w:rsid w:val="00B63798"/>
    <w:rsid w:val="00B7458A"/>
    <w:rsid w:val="00B761C0"/>
    <w:rsid w:val="00B8124D"/>
    <w:rsid w:val="00B82385"/>
    <w:rsid w:val="00B82734"/>
    <w:rsid w:val="00B874CC"/>
    <w:rsid w:val="00B91347"/>
    <w:rsid w:val="00B9307C"/>
    <w:rsid w:val="00BA1259"/>
    <w:rsid w:val="00BA42DD"/>
    <w:rsid w:val="00BA49D7"/>
    <w:rsid w:val="00BA79CA"/>
    <w:rsid w:val="00BB2F64"/>
    <w:rsid w:val="00BB6352"/>
    <w:rsid w:val="00BC0218"/>
    <w:rsid w:val="00BC0B5E"/>
    <w:rsid w:val="00BC79EE"/>
    <w:rsid w:val="00BD131A"/>
    <w:rsid w:val="00BD6364"/>
    <w:rsid w:val="00BD70E8"/>
    <w:rsid w:val="00BE0ECA"/>
    <w:rsid w:val="00BE13A3"/>
    <w:rsid w:val="00BF1095"/>
    <w:rsid w:val="00BF34CD"/>
    <w:rsid w:val="00BF4D58"/>
    <w:rsid w:val="00C0483A"/>
    <w:rsid w:val="00C0495B"/>
    <w:rsid w:val="00C113AF"/>
    <w:rsid w:val="00C133ED"/>
    <w:rsid w:val="00C17348"/>
    <w:rsid w:val="00C23EF9"/>
    <w:rsid w:val="00C27488"/>
    <w:rsid w:val="00C32547"/>
    <w:rsid w:val="00C45FAA"/>
    <w:rsid w:val="00C4629B"/>
    <w:rsid w:val="00C46DBD"/>
    <w:rsid w:val="00C5526F"/>
    <w:rsid w:val="00C646B1"/>
    <w:rsid w:val="00C65DC8"/>
    <w:rsid w:val="00C6740C"/>
    <w:rsid w:val="00C75333"/>
    <w:rsid w:val="00C7548E"/>
    <w:rsid w:val="00C77120"/>
    <w:rsid w:val="00C921D1"/>
    <w:rsid w:val="00C9547F"/>
    <w:rsid w:val="00C9663B"/>
    <w:rsid w:val="00C9751D"/>
    <w:rsid w:val="00CA43A9"/>
    <w:rsid w:val="00CB0AC8"/>
    <w:rsid w:val="00CB7622"/>
    <w:rsid w:val="00CC04F1"/>
    <w:rsid w:val="00CD1E7F"/>
    <w:rsid w:val="00CD6D8E"/>
    <w:rsid w:val="00CE0A3A"/>
    <w:rsid w:val="00CE1650"/>
    <w:rsid w:val="00CE5D8A"/>
    <w:rsid w:val="00CF127F"/>
    <w:rsid w:val="00CF2FBD"/>
    <w:rsid w:val="00CF6168"/>
    <w:rsid w:val="00CF67CE"/>
    <w:rsid w:val="00D07550"/>
    <w:rsid w:val="00D07C3A"/>
    <w:rsid w:val="00D30488"/>
    <w:rsid w:val="00D36DF6"/>
    <w:rsid w:val="00D47664"/>
    <w:rsid w:val="00D52105"/>
    <w:rsid w:val="00D528B0"/>
    <w:rsid w:val="00D55DA1"/>
    <w:rsid w:val="00D83FAD"/>
    <w:rsid w:val="00D8671C"/>
    <w:rsid w:val="00DA0430"/>
    <w:rsid w:val="00DA229A"/>
    <w:rsid w:val="00DA2B6C"/>
    <w:rsid w:val="00DA71CC"/>
    <w:rsid w:val="00DB1FB9"/>
    <w:rsid w:val="00DD5E14"/>
    <w:rsid w:val="00E12B6F"/>
    <w:rsid w:val="00E213D7"/>
    <w:rsid w:val="00E2330D"/>
    <w:rsid w:val="00E235CC"/>
    <w:rsid w:val="00E4337C"/>
    <w:rsid w:val="00E43A80"/>
    <w:rsid w:val="00E60171"/>
    <w:rsid w:val="00E72A6F"/>
    <w:rsid w:val="00E75E32"/>
    <w:rsid w:val="00E84AC8"/>
    <w:rsid w:val="00E94B17"/>
    <w:rsid w:val="00E969D5"/>
    <w:rsid w:val="00EA1724"/>
    <w:rsid w:val="00EA7A84"/>
    <w:rsid w:val="00EB4CAB"/>
    <w:rsid w:val="00EB59E1"/>
    <w:rsid w:val="00ED0733"/>
    <w:rsid w:val="00ED6989"/>
    <w:rsid w:val="00ED6B19"/>
    <w:rsid w:val="00EE5802"/>
    <w:rsid w:val="00EF3EF9"/>
    <w:rsid w:val="00EF46AE"/>
    <w:rsid w:val="00EF4F08"/>
    <w:rsid w:val="00F00F32"/>
    <w:rsid w:val="00F10905"/>
    <w:rsid w:val="00F11AF7"/>
    <w:rsid w:val="00F21EAF"/>
    <w:rsid w:val="00F259F3"/>
    <w:rsid w:val="00F34F56"/>
    <w:rsid w:val="00F46159"/>
    <w:rsid w:val="00F55442"/>
    <w:rsid w:val="00F62BC5"/>
    <w:rsid w:val="00F715C4"/>
    <w:rsid w:val="00F7347E"/>
    <w:rsid w:val="00F74337"/>
    <w:rsid w:val="00F76C16"/>
    <w:rsid w:val="00F76DE4"/>
    <w:rsid w:val="00F82DC2"/>
    <w:rsid w:val="00F832DA"/>
    <w:rsid w:val="00F83838"/>
    <w:rsid w:val="00F90731"/>
    <w:rsid w:val="00F917F5"/>
    <w:rsid w:val="00FA634D"/>
    <w:rsid w:val="00FB5251"/>
    <w:rsid w:val="00FC0CFB"/>
    <w:rsid w:val="00FC686E"/>
    <w:rsid w:val="00FC79F4"/>
    <w:rsid w:val="00FD28A4"/>
    <w:rsid w:val="00FD47CA"/>
    <w:rsid w:val="00FD7D0F"/>
    <w:rsid w:val="00FF354D"/>
    <w:rsid w:val="00FF595A"/>
    <w:rsid w:val="01AD9475"/>
    <w:rsid w:val="0249974C"/>
    <w:rsid w:val="02580C45"/>
    <w:rsid w:val="026A9360"/>
    <w:rsid w:val="02DB3E05"/>
    <w:rsid w:val="0401D381"/>
    <w:rsid w:val="04D330D1"/>
    <w:rsid w:val="054AFBDF"/>
    <w:rsid w:val="05AA1CF5"/>
    <w:rsid w:val="0629248B"/>
    <w:rsid w:val="06478661"/>
    <w:rsid w:val="06B0796E"/>
    <w:rsid w:val="0757C6E5"/>
    <w:rsid w:val="0776C7D7"/>
    <w:rsid w:val="0A3E43EE"/>
    <w:rsid w:val="0AC0ECEE"/>
    <w:rsid w:val="0B9BBCEF"/>
    <w:rsid w:val="0DB1A574"/>
    <w:rsid w:val="0DC6C95F"/>
    <w:rsid w:val="0E044868"/>
    <w:rsid w:val="0E6A227F"/>
    <w:rsid w:val="0F46C846"/>
    <w:rsid w:val="0FCFBDD3"/>
    <w:rsid w:val="1095B349"/>
    <w:rsid w:val="11213479"/>
    <w:rsid w:val="1185FC5C"/>
    <w:rsid w:val="11E2F45A"/>
    <w:rsid w:val="11E4804B"/>
    <w:rsid w:val="12769AC3"/>
    <w:rsid w:val="128D07B1"/>
    <w:rsid w:val="12C827AB"/>
    <w:rsid w:val="13254141"/>
    <w:rsid w:val="13C9FCFB"/>
    <w:rsid w:val="1447C25A"/>
    <w:rsid w:val="162DD3B9"/>
    <w:rsid w:val="1867910A"/>
    <w:rsid w:val="187BF03C"/>
    <w:rsid w:val="189ABC08"/>
    <w:rsid w:val="194D4257"/>
    <w:rsid w:val="1975579E"/>
    <w:rsid w:val="197C3E6A"/>
    <w:rsid w:val="1A32F25F"/>
    <w:rsid w:val="1A564642"/>
    <w:rsid w:val="1AADF418"/>
    <w:rsid w:val="1B001F6C"/>
    <w:rsid w:val="1B2048D8"/>
    <w:rsid w:val="1CAAA192"/>
    <w:rsid w:val="1D0D0843"/>
    <w:rsid w:val="1D114875"/>
    <w:rsid w:val="1D127CCD"/>
    <w:rsid w:val="1E11000B"/>
    <w:rsid w:val="1F66E781"/>
    <w:rsid w:val="1F835F86"/>
    <w:rsid w:val="1FED434A"/>
    <w:rsid w:val="215D7828"/>
    <w:rsid w:val="21A41464"/>
    <w:rsid w:val="23F96E07"/>
    <w:rsid w:val="24963ACD"/>
    <w:rsid w:val="2566C2F9"/>
    <w:rsid w:val="25B1698D"/>
    <w:rsid w:val="27CB3591"/>
    <w:rsid w:val="2988606C"/>
    <w:rsid w:val="2A21BA41"/>
    <w:rsid w:val="2ADD7CC0"/>
    <w:rsid w:val="2B44C3D7"/>
    <w:rsid w:val="2B8250D2"/>
    <w:rsid w:val="2CAF8403"/>
    <w:rsid w:val="2CE1FA24"/>
    <w:rsid w:val="2DA59EC4"/>
    <w:rsid w:val="2E97B7D6"/>
    <w:rsid w:val="311F6B7F"/>
    <w:rsid w:val="31A15744"/>
    <w:rsid w:val="31D8CE32"/>
    <w:rsid w:val="3290C1AD"/>
    <w:rsid w:val="33CCFB77"/>
    <w:rsid w:val="34679D73"/>
    <w:rsid w:val="34A16204"/>
    <w:rsid w:val="35D27278"/>
    <w:rsid w:val="35DAFC00"/>
    <w:rsid w:val="36076B27"/>
    <w:rsid w:val="371705EA"/>
    <w:rsid w:val="37AB0578"/>
    <w:rsid w:val="38522EBB"/>
    <w:rsid w:val="38E06D66"/>
    <w:rsid w:val="3988F4CA"/>
    <w:rsid w:val="3B8B12EA"/>
    <w:rsid w:val="3D607211"/>
    <w:rsid w:val="3D9ECF43"/>
    <w:rsid w:val="3DD78855"/>
    <w:rsid w:val="3DEBA5F5"/>
    <w:rsid w:val="3FA55F11"/>
    <w:rsid w:val="40A90F03"/>
    <w:rsid w:val="4269AA17"/>
    <w:rsid w:val="4315CA7F"/>
    <w:rsid w:val="436F29A6"/>
    <w:rsid w:val="4465E48F"/>
    <w:rsid w:val="44A2A436"/>
    <w:rsid w:val="44B1B47D"/>
    <w:rsid w:val="452E3813"/>
    <w:rsid w:val="45E0EC8C"/>
    <w:rsid w:val="478D1E85"/>
    <w:rsid w:val="47D77863"/>
    <w:rsid w:val="4803EEE0"/>
    <w:rsid w:val="48A18D8B"/>
    <w:rsid w:val="49892F24"/>
    <w:rsid w:val="499C197D"/>
    <w:rsid w:val="49D3E627"/>
    <w:rsid w:val="4B600C6D"/>
    <w:rsid w:val="4B8B7FE8"/>
    <w:rsid w:val="4C385FFB"/>
    <w:rsid w:val="4C3AA149"/>
    <w:rsid w:val="4D3CDA74"/>
    <w:rsid w:val="4F5C7040"/>
    <w:rsid w:val="4FF66636"/>
    <w:rsid w:val="507D9273"/>
    <w:rsid w:val="5281F33A"/>
    <w:rsid w:val="5349803C"/>
    <w:rsid w:val="53E867A2"/>
    <w:rsid w:val="5431AFC5"/>
    <w:rsid w:val="546F1224"/>
    <w:rsid w:val="5510DB40"/>
    <w:rsid w:val="55581EC7"/>
    <w:rsid w:val="5607302B"/>
    <w:rsid w:val="564107F7"/>
    <w:rsid w:val="56DE252E"/>
    <w:rsid w:val="59C8ACC9"/>
    <w:rsid w:val="5A530283"/>
    <w:rsid w:val="5AAFF25F"/>
    <w:rsid w:val="5ADD1944"/>
    <w:rsid w:val="5B3DE0DC"/>
    <w:rsid w:val="5B5C8936"/>
    <w:rsid w:val="5BD61CDD"/>
    <w:rsid w:val="5CC755C0"/>
    <w:rsid w:val="5D25D3A6"/>
    <w:rsid w:val="5D3F163D"/>
    <w:rsid w:val="5D862081"/>
    <w:rsid w:val="5DA58550"/>
    <w:rsid w:val="5DF931D1"/>
    <w:rsid w:val="5F610ABD"/>
    <w:rsid w:val="5FB5DDAF"/>
    <w:rsid w:val="61ED3FBA"/>
    <w:rsid w:val="623A77C2"/>
    <w:rsid w:val="644A3327"/>
    <w:rsid w:val="648B6EC7"/>
    <w:rsid w:val="653B77F7"/>
    <w:rsid w:val="65A2CB03"/>
    <w:rsid w:val="65ECDD82"/>
    <w:rsid w:val="664E4FF4"/>
    <w:rsid w:val="66BB88C9"/>
    <w:rsid w:val="68F466D5"/>
    <w:rsid w:val="6937ED4D"/>
    <w:rsid w:val="6C47F559"/>
    <w:rsid w:val="6C542C78"/>
    <w:rsid w:val="6CDC3BCA"/>
    <w:rsid w:val="6ED52EBA"/>
    <w:rsid w:val="6ED60FF7"/>
    <w:rsid w:val="6FB91CE3"/>
    <w:rsid w:val="70A4C35B"/>
    <w:rsid w:val="711E121E"/>
    <w:rsid w:val="71C03B19"/>
    <w:rsid w:val="722E89BB"/>
    <w:rsid w:val="725A701F"/>
    <w:rsid w:val="72AE4295"/>
    <w:rsid w:val="72E5826F"/>
    <w:rsid w:val="7470137F"/>
    <w:rsid w:val="75A44AC6"/>
    <w:rsid w:val="77C63C16"/>
    <w:rsid w:val="782043A8"/>
    <w:rsid w:val="7838498D"/>
    <w:rsid w:val="788AFDBC"/>
    <w:rsid w:val="7908190E"/>
    <w:rsid w:val="7955673A"/>
    <w:rsid w:val="79E8FFDF"/>
    <w:rsid w:val="7AAA7952"/>
    <w:rsid w:val="7B16BA9B"/>
    <w:rsid w:val="7C1AA901"/>
    <w:rsid w:val="7CE79965"/>
    <w:rsid w:val="7CFC71F9"/>
    <w:rsid w:val="7DCB7FDD"/>
    <w:rsid w:val="7EDA43D6"/>
    <w:rsid w:val="7F7D724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053F5"/>
  <w15:docId w15:val="{891E1E34-C786-4100-992A-712857FF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EC5"/>
    <w:pPr>
      <w:spacing w:after="200" w:line="276" w:lineRule="auto"/>
      <w:jc w:val="both"/>
    </w:pPr>
    <w:rPr>
      <w:rFonts w:ascii="Trebuchet MS" w:eastAsiaTheme="minorHAnsi" w:hAnsi="Trebuchet MS" w:cstheme="minorBidi"/>
      <w:sz w:val="22"/>
      <w:szCs w:val="22"/>
      <w:lang w:eastAsia="en-US"/>
    </w:rPr>
  </w:style>
  <w:style w:type="paragraph" w:styleId="Titre1">
    <w:name w:val="heading 1"/>
    <w:basedOn w:val="Normal"/>
    <w:next w:val="Normal"/>
    <w:link w:val="Titre1Car"/>
    <w:uiPriority w:val="9"/>
    <w:qFormat/>
    <w:rsid w:val="00B874CC"/>
    <w:pPr>
      <w:spacing w:before="300" w:after="40"/>
      <w:jc w:val="left"/>
      <w:outlineLvl w:val="0"/>
    </w:pPr>
    <w:rPr>
      <w:smallCaps/>
      <w:spacing w:val="5"/>
      <w:sz w:val="32"/>
      <w:szCs w:val="32"/>
      <w:lang w:eastAsia="fr-BE"/>
    </w:rPr>
  </w:style>
  <w:style w:type="paragraph" w:styleId="Titre2">
    <w:name w:val="heading 2"/>
    <w:basedOn w:val="Normal"/>
    <w:next w:val="Normal"/>
    <w:link w:val="Titre2Car"/>
    <w:uiPriority w:val="9"/>
    <w:unhideWhenUsed/>
    <w:qFormat/>
    <w:rsid w:val="00B874CC"/>
    <w:pPr>
      <w:spacing w:before="240" w:after="80"/>
      <w:jc w:val="left"/>
      <w:outlineLvl w:val="1"/>
    </w:pPr>
    <w:rPr>
      <w:smallCaps/>
      <w:spacing w:val="5"/>
      <w:sz w:val="28"/>
      <w:szCs w:val="28"/>
      <w:lang w:eastAsia="fr-BE"/>
    </w:rPr>
  </w:style>
  <w:style w:type="paragraph" w:styleId="Titre3">
    <w:name w:val="heading 3"/>
    <w:basedOn w:val="Normal"/>
    <w:next w:val="Normal"/>
    <w:link w:val="Titre3Car"/>
    <w:uiPriority w:val="9"/>
    <w:unhideWhenUsed/>
    <w:qFormat/>
    <w:rsid w:val="00B874CC"/>
    <w:pPr>
      <w:spacing w:after="0"/>
      <w:jc w:val="left"/>
      <w:outlineLvl w:val="2"/>
    </w:pPr>
    <w:rPr>
      <w:smallCaps/>
      <w:spacing w:val="5"/>
      <w:sz w:val="24"/>
      <w:szCs w:val="24"/>
      <w:lang w:eastAsia="fr-BE"/>
    </w:rPr>
  </w:style>
  <w:style w:type="paragraph" w:styleId="Titre4">
    <w:name w:val="heading 4"/>
    <w:basedOn w:val="Normal"/>
    <w:next w:val="Normal"/>
    <w:link w:val="Titre4Car"/>
    <w:uiPriority w:val="9"/>
    <w:unhideWhenUsed/>
    <w:qFormat/>
    <w:rsid w:val="00B874CC"/>
    <w:pPr>
      <w:spacing w:before="240" w:after="0"/>
      <w:jc w:val="left"/>
      <w:outlineLvl w:val="3"/>
    </w:pPr>
    <w:rPr>
      <w:smallCaps/>
      <w:spacing w:val="10"/>
      <w:lang w:eastAsia="fr-BE"/>
    </w:rPr>
  </w:style>
  <w:style w:type="paragraph" w:styleId="Titre5">
    <w:name w:val="heading 5"/>
    <w:basedOn w:val="Normal"/>
    <w:next w:val="Normal"/>
    <w:link w:val="Titre5Car"/>
    <w:uiPriority w:val="9"/>
    <w:unhideWhenUsed/>
    <w:qFormat/>
    <w:rsid w:val="00B874CC"/>
    <w:pPr>
      <w:spacing w:before="200" w:after="0"/>
      <w:jc w:val="left"/>
      <w:outlineLvl w:val="4"/>
    </w:pPr>
    <w:rPr>
      <w:smallCaps/>
      <w:color w:val="943634"/>
      <w:spacing w:val="10"/>
      <w:szCs w:val="26"/>
      <w:lang w:eastAsia="fr-BE"/>
    </w:rPr>
  </w:style>
  <w:style w:type="paragraph" w:styleId="Titre6">
    <w:name w:val="heading 6"/>
    <w:basedOn w:val="Normal"/>
    <w:next w:val="Normal"/>
    <w:link w:val="Titre6Car"/>
    <w:uiPriority w:val="9"/>
    <w:semiHidden/>
    <w:unhideWhenUsed/>
    <w:qFormat/>
    <w:rsid w:val="00B874CC"/>
    <w:pPr>
      <w:spacing w:after="0"/>
      <w:jc w:val="left"/>
      <w:outlineLvl w:val="5"/>
    </w:pPr>
    <w:rPr>
      <w:smallCaps/>
      <w:color w:val="C0504D"/>
      <w:spacing w:val="5"/>
      <w:lang w:eastAsia="fr-BE"/>
    </w:rPr>
  </w:style>
  <w:style w:type="paragraph" w:styleId="Titre7">
    <w:name w:val="heading 7"/>
    <w:basedOn w:val="Normal"/>
    <w:next w:val="Normal"/>
    <w:link w:val="Titre7Car"/>
    <w:uiPriority w:val="9"/>
    <w:semiHidden/>
    <w:unhideWhenUsed/>
    <w:qFormat/>
    <w:rsid w:val="00B874CC"/>
    <w:pPr>
      <w:spacing w:after="0"/>
      <w:jc w:val="left"/>
      <w:outlineLvl w:val="6"/>
    </w:pPr>
    <w:rPr>
      <w:b/>
      <w:smallCaps/>
      <w:color w:val="C0504D"/>
      <w:spacing w:val="10"/>
      <w:lang w:eastAsia="fr-BE"/>
    </w:rPr>
  </w:style>
  <w:style w:type="paragraph" w:styleId="Titre8">
    <w:name w:val="heading 8"/>
    <w:basedOn w:val="Normal"/>
    <w:next w:val="Normal"/>
    <w:link w:val="Titre8Car"/>
    <w:uiPriority w:val="9"/>
    <w:semiHidden/>
    <w:unhideWhenUsed/>
    <w:qFormat/>
    <w:rsid w:val="00B874CC"/>
    <w:pPr>
      <w:spacing w:after="0"/>
      <w:jc w:val="left"/>
      <w:outlineLvl w:val="7"/>
    </w:pPr>
    <w:rPr>
      <w:b/>
      <w:i/>
      <w:smallCaps/>
      <w:color w:val="943634"/>
      <w:lang w:eastAsia="fr-BE"/>
    </w:rPr>
  </w:style>
  <w:style w:type="paragraph" w:styleId="Titre9">
    <w:name w:val="heading 9"/>
    <w:basedOn w:val="Normal"/>
    <w:next w:val="Normal"/>
    <w:link w:val="Titre9Car"/>
    <w:uiPriority w:val="9"/>
    <w:semiHidden/>
    <w:unhideWhenUsed/>
    <w:qFormat/>
    <w:rsid w:val="00B874CC"/>
    <w:pPr>
      <w:spacing w:after="0"/>
      <w:jc w:val="left"/>
      <w:outlineLvl w:val="8"/>
    </w:pPr>
    <w:rPr>
      <w:b/>
      <w:i/>
      <w:smallCaps/>
      <w:color w:val="622423"/>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74CC"/>
    <w:rPr>
      <w:smallCaps/>
      <w:spacing w:val="5"/>
      <w:sz w:val="32"/>
      <w:szCs w:val="32"/>
    </w:rPr>
  </w:style>
  <w:style w:type="character" w:customStyle="1" w:styleId="Titre2Car">
    <w:name w:val="Titre 2 Car"/>
    <w:basedOn w:val="Policepardfaut"/>
    <w:link w:val="Titre2"/>
    <w:uiPriority w:val="9"/>
    <w:rsid w:val="00B874CC"/>
    <w:rPr>
      <w:smallCaps/>
      <w:spacing w:val="5"/>
      <w:sz w:val="28"/>
      <w:szCs w:val="28"/>
    </w:rPr>
  </w:style>
  <w:style w:type="character" w:customStyle="1" w:styleId="Titre3Car">
    <w:name w:val="Titre 3 Car"/>
    <w:basedOn w:val="Policepardfaut"/>
    <w:link w:val="Titre3"/>
    <w:uiPriority w:val="9"/>
    <w:rsid w:val="00B874CC"/>
    <w:rPr>
      <w:smallCaps/>
      <w:spacing w:val="5"/>
      <w:sz w:val="24"/>
      <w:szCs w:val="24"/>
    </w:rPr>
  </w:style>
  <w:style w:type="character" w:customStyle="1" w:styleId="Titre4Car">
    <w:name w:val="Titre 4 Car"/>
    <w:basedOn w:val="Policepardfaut"/>
    <w:link w:val="Titre4"/>
    <w:uiPriority w:val="9"/>
    <w:rsid w:val="00B874CC"/>
    <w:rPr>
      <w:smallCaps/>
      <w:spacing w:val="10"/>
      <w:sz w:val="22"/>
      <w:szCs w:val="22"/>
    </w:rPr>
  </w:style>
  <w:style w:type="character" w:customStyle="1" w:styleId="Titre5Car">
    <w:name w:val="Titre 5 Car"/>
    <w:basedOn w:val="Policepardfaut"/>
    <w:link w:val="Titre5"/>
    <w:uiPriority w:val="9"/>
    <w:rsid w:val="00B874CC"/>
    <w:rPr>
      <w:smallCaps/>
      <w:color w:val="943634"/>
      <w:spacing w:val="10"/>
      <w:sz w:val="22"/>
      <w:szCs w:val="26"/>
    </w:rPr>
  </w:style>
  <w:style w:type="character" w:customStyle="1" w:styleId="Titre6Car">
    <w:name w:val="Titre 6 Car"/>
    <w:basedOn w:val="Policepardfaut"/>
    <w:link w:val="Titre6"/>
    <w:uiPriority w:val="9"/>
    <w:semiHidden/>
    <w:rsid w:val="00B874CC"/>
    <w:rPr>
      <w:smallCaps/>
      <w:color w:val="C0504D"/>
      <w:spacing w:val="5"/>
      <w:sz w:val="22"/>
    </w:rPr>
  </w:style>
  <w:style w:type="character" w:customStyle="1" w:styleId="Titre7Car">
    <w:name w:val="Titre 7 Car"/>
    <w:basedOn w:val="Policepardfaut"/>
    <w:link w:val="Titre7"/>
    <w:uiPriority w:val="9"/>
    <w:semiHidden/>
    <w:rsid w:val="00B874CC"/>
    <w:rPr>
      <w:b/>
      <w:smallCaps/>
      <w:color w:val="C0504D"/>
      <w:spacing w:val="10"/>
    </w:rPr>
  </w:style>
  <w:style w:type="character" w:customStyle="1" w:styleId="Titre8Car">
    <w:name w:val="Titre 8 Car"/>
    <w:basedOn w:val="Policepardfaut"/>
    <w:link w:val="Titre8"/>
    <w:uiPriority w:val="9"/>
    <w:semiHidden/>
    <w:rsid w:val="00B874CC"/>
    <w:rPr>
      <w:b/>
      <w:i/>
      <w:smallCaps/>
      <w:color w:val="943634"/>
    </w:rPr>
  </w:style>
  <w:style w:type="character" w:customStyle="1" w:styleId="Titre9Car">
    <w:name w:val="Titre 9 Car"/>
    <w:basedOn w:val="Policepardfaut"/>
    <w:link w:val="Titre9"/>
    <w:uiPriority w:val="9"/>
    <w:semiHidden/>
    <w:rsid w:val="00B874CC"/>
    <w:rPr>
      <w:b/>
      <w:i/>
      <w:smallCaps/>
      <w:color w:val="622423"/>
    </w:rPr>
  </w:style>
  <w:style w:type="paragraph" w:styleId="Lgende">
    <w:name w:val="caption"/>
    <w:basedOn w:val="Normal"/>
    <w:next w:val="Normal"/>
    <w:link w:val="LgendeCar"/>
    <w:unhideWhenUsed/>
    <w:qFormat/>
    <w:rsid w:val="00B874CC"/>
    <w:rPr>
      <w:b/>
      <w:bCs/>
      <w:caps/>
      <w:sz w:val="16"/>
      <w:szCs w:val="18"/>
    </w:rPr>
  </w:style>
  <w:style w:type="paragraph" w:styleId="Titre">
    <w:name w:val="Title"/>
    <w:basedOn w:val="Normal"/>
    <w:next w:val="Normal"/>
    <w:link w:val="TitreCar"/>
    <w:uiPriority w:val="10"/>
    <w:qFormat/>
    <w:rsid w:val="00B874CC"/>
    <w:pPr>
      <w:pBdr>
        <w:top w:val="single" w:sz="12" w:space="1" w:color="C0504D"/>
      </w:pBdr>
      <w:spacing w:line="240" w:lineRule="auto"/>
      <w:jc w:val="right"/>
    </w:pPr>
    <w:rPr>
      <w:smallCaps/>
      <w:sz w:val="48"/>
      <w:szCs w:val="48"/>
      <w:lang w:eastAsia="fr-BE"/>
    </w:rPr>
  </w:style>
  <w:style w:type="character" w:customStyle="1" w:styleId="TitreCar">
    <w:name w:val="Titre Car"/>
    <w:basedOn w:val="Policepardfaut"/>
    <w:link w:val="Titre"/>
    <w:uiPriority w:val="10"/>
    <w:rsid w:val="00B874CC"/>
    <w:rPr>
      <w:smallCaps/>
      <w:sz w:val="48"/>
      <w:szCs w:val="48"/>
    </w:rPr>
  </w:style>
  <w:style w:type="paragraph" w:styleId="Sous-titre">
    <w:name w:val="Subtitle"/>
    <w:basedOn w:val="Normal"/>
    <w:next w:val="Normal"/>
    <w:link w:val="Sous-titreCar"/>
    <w:uiPriority w:val="11"/>
    <w:qFormat/>
    <w:rsid w:val="00B874CC"/>
    <w:pPr>
      <w:spacing w:after="720" w:line="240" w:lineRule="auto"/>
      <w:jc w:val="right"/>
    </w:pPr>
    <w:rPr>
      <w:rFonts w:ascii="Cambria" w:hAnsi="Cambria"/>
      <w:lang w:eastAsia="fr-BE"/>
    </w:rPr>
  </w:style>
  <w:style w:type="character" w:customStyle="1" w:styleId="Sous-titreCar">
    <w:name w:val="Sous-titre Car"/>
    <w:basedOn w:val="Policepardfaut"/>
    <w:link w:val="Sous-titre"/>
    <w:uiPriority w:val="11"/>
    <w:rsid w:val="00B874CC"/>
    <w:rPr>
      <w:rFonts w:ascii="Cambria" w:eastAsia="Times New Roman" w:hAnsi="Cambria" w:cs="Times New Roman"/>
      <w:szCs w:val="22"/>
    </w:rPr>
  </w:style>
  <w:style w:type="character" w:styleId="lev">
    <w:name w:val="Strong"/>
    <w:uiPriority w:val="22"/>
    <w:qFormat/>
    <w:rsid w:val="00B874CC"/>
    <w:rPr>
      <w:b/>
      <w:color w:val="C0504D"/>
    </w:rPr>
  </w:style>
  <w:style w:type="character" w:styleId="Accentuation">
    <w:name w:val="Emphasis"/>
    <w:uiPriority w:val="20"/>
    <w:qFormat/>
    <w:rsid w:val="00B874CC"/>
    <w:rPr>
      <w:b/>
      <w:i/>
      <w:spacing w:val="10"/>
    </w:rPr>
  </w:style>
  <w:style w:type="paragraph" w:styleId="Sansinterligne">
    <w:name w:val="No Spacing"/>
    <w:basedOn w:val="Normal"/>
    <w:link w:val="SansinterligneCar"/>
    <w:uiPriority w:val="1"/>
    <w:qFormat/>
    <w:rsid w:val="00B874CC"/>
    <w:pPr>
      <w:spacing w:after="0" w:line="240" w:lineRule="auto"/>
    </w:pPr>
  </w:style>
  <w:style w:type="character" w:customStyle="1" w:styleId="SansinterligneCar">
    <w:name w:val="Sans interligne Car"/>
    <w:basedOn w:val="Policepardfaut"/>
    <w:link w:val="Sansinterligne"/>
    <w:uiPriority w:val="1"/>
    <w:rsid w:val="00B874CC"/>
  </w:style>
  <w:style w:type="paragraph" w:styleId="Paragraphedeliste">
    <w:name w:val="List Paragraph"/>
    <w:aliases w:val="Lettre d'introduction"/>
    <w:basedOn w:val="Normal"/>
    <w:link w:val="ParagraphedelisteCar"/>
    <w:uiPriority w:val="34"/>
    <w:qFormat/>
    <w:rsid w:val="00B874CC"/>
    <w:pPr>
      <w:ind w:left="720"/>
      <w:contextualSpacing/>
    </w:pPr>
  </w:style>
  <w:style w:type="paragraph" w:styleId="Citation">
    <w:name w:val="Quote"/>
    <w:basedOn w:val="Normal"/>
    <w:next w:val="Normal"/>
    <w:link w:val="CitationCar"/>
    <w:uiPriority w:val="29"/>
    <w:qFormat/>
    <w:rsid w:val="00B874CC"/>
    <w:rPr>
      <w:i/>
      <w:lang w:eastAsia="fr-BE"/>
    </w:rPr>
  </w:style>
  <w:style w:type="character" w:customStyle="1" w:styleId="CitationCar">
    <w:name w:val="Citation Car"/>
    <w:basedOn w:val="Policepardfaut"/>
    <w:link w:val="Citation"/>
    <w:uiPriority w:val="29"/>
    <w:rsid w:val="00B874CC"/>
    <w:rPr>
      <w:i/>
    </w:rPr>
  </w:style>
  <w:style w:type="paragraph" w:styleId="Citationintense">
    <w:name w:val="Intense Quote"/>
    <w:basedOn w:val="Normal"/>
    <w:next w:val="Normal"/>
    <w:link w:val="CitationintenseCar"/>
    <w:uiPriority w:val="30"/>
    <w:qFormat/>
    <w:rsid w:val="00B874C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eastAsia="fr-BE"/>
    </w:rPr>
  </w:style>
  <w:style w:type="character" w:customStyle="1" w:styleId="CitationintenseCar">
    <w:name w:val="Citation intense Car"/>
    <w:basedOn w:val="Policepardfaut"/>
    <w:link w:val="Citationintense"/>
    <w:uiPriority w:val="30"/>
    <w:rsid w:val="00B874CC"/>
    <w:rPr>
      <w:b/>
      <w:i/>
      <w:color w:val="FFFFFF"/>
      <w:shd w:val="clear" w:color="auto" w:fill="C0504D"/>
    </w:rPr>
  </w:style>
  <w:style w:type="character" w:styleId="Accentuationlgre">
    <w:name w:val="Subtle Emphasis"/>
    <w:uiPriority w:val="19"/>
    <w:qFormat/>
    <w:rsid w:val="00B874CC"/>
    <w:rPr>
      <w:i/>
    </w:rPr>
  </w:style>
  <w:style w:type="character" w:styleId="Accentuationintense">
    <w:name w:val="Intense Emphasis"/>
    <w:uiPriority w:val="21"/>
    <w:qFormat/>
    <w:rsid w:val="00B874CC"/>
    <w:rPr>
      <w:b/>
      <w:i/>
      <w:color w:val="C0504D"/>
      <w:spacing w:val="10"/>
    </w:rPr>
  </w:style>
  <w:style w:type="character" w:styleId="Rfrencelgre">
    <w:name w:val="Subtle Reference"/>
    <w:uiPriority w:val="31"/>
    <w:qFormat/>
    <w:rsid w:val="00B874CC"/>
    <w:rPr>
      <w:b/>
    </w:rPr>
  </w:style>
  <w:style w:type="character" w:styleId="Rfrenceintense">
    <w:name w:val="Intense Reference"/>
    <w:uiPriority w:val="32"/>
    <w:qFormat/>
    <w:rsid w:val="00B874CC"/>
    <w:rPr>
      <w:b/>
      <w:bCs/>
      <w:smallCaps/>
      <w:spacing w:val="5"/>
      <w:sz w:val="22"/>
      <w:szCs w:val="22"/>
      <w:u w:val="single"/>
    </w:rPr>
  </w:style>
  <w:style w:type="character" w:styleId="Titredulivre">
    <w:name w:val="Book Title"/>
    <w:uiPriority w:val="33"/>
    <w:qFormat/>
    <w:rsid w:val="00B874CC"/>
    <w:rPr>
      <w:rFonts w:ascii="Cambria" w:eastAsia="Times New Roman" w:hAnsi="Cambria" w:cs="Times New Roman"/>
      <w:i/>
      <w:iCs/>
      <w:sz w:val="20"/>
      <w:szCs w:val="20"/>
    </w:rPr>
  </w:style>
  <w:style w:type="paragraph" w:styleId="En-ttedetabledesmatires">
    <w:name w:val="TOC Heading"/>
    <w:basedOn w:val="Titre1"/>
    <w:next w:val="Normal"/>
    <w:uiPriority w:val="39"/>
    <w:semiHidden/>
    <w:unhideWhenUsed/>
    <w:qFormat/>
    <w:rsid w:val="00B874CC"/>
    <w:pPr>
      <w:outlineLvl w:val="9"/>
    </w:pPr>
    <w:rPr>
      <w:lang w:val="en-US" w:eastAsia="en-US" w:bidi="en-US"/>
    </w:rPr>
  </w:style>
  <w:style w:type="paragraph" w:styleId="Notedebasdepage">
    <w:name w:val="footnote text"/>
    <w:aliases w:val="ALTS FOOTNOTE,fn,Footnotes,Footnote ak"/>
    <w:basedOn w:val="Normal"/>
    <w:link w:val="NotedebasdepageCar"/>
    <w:uiPriority w:val="99"/>
    <w:unhideWhenUsed/>
    <w:rsid w:val="000E6EC5"/>
    <w:pPr>
      <w:spacing w:after="0" w:line="240" w:lineRule="auto"/>
    </w:pPr>
    <w:rPr>
      <w:sz w:val="18"/>
      <w:szCs w:val="20"/>
    </w:rPr>
  </w:style>
  <w:style w:type="character" w:customStyle="1" w:styleId="NotedebasdepageCar">
    <w:name w:val="Note de bas de page Car"/>
    <w:aliases w:val="ALTS FOOTNOTE Car,fn Car,Footnotes Car,Footnote ak Car"/>
    <w:basedOn w:val="Policepardfaut"/>
    <w:link w:val="Notedebasdepage"/>
    <w:uiPriority w:val="99"/>
    <w:rsid w:val="000E6EC5"/>
    <w:rPr>
      <w:rFonts w:ascii="Trebuchet MS" w:eastAsiaTheme="minorHAnsi" w:hAnsi="Trebuchet MS" w:cstheme="minorBidi"/>
      <w:sz w:val="18"/>
      <w:lang w:eastAsia="en-US"/>
    </w:rPr>
  </w:style>
  <w:style w:type="character" w:styleId="Appelnotedebasdep">
    <w:name w:val="footnote reference"/>
    <w:aliases w:val="Titre 1 Car1,Footnote Reference_LVL6"/>
    <w:basedOn w:val="Policepardfaut"/>
    <w:uiPriority w:val="99"/>
    <w:unhideWhenUsed/>
    <w:rsid w:val="000E6EC5"/>
    <w:rPr>
      <w:vertAlign w:val="superscript"/>
    </w:rPr>
  </w:style>
  <w:style w:type="paragraph" w:styleId="Corpsdetexte">
    <w:name w:val="Body Text"/>
    <w:basedOn w:val="Normal"/>
    <w:link w:val="CorpsdetexteCar"/>
    <w:rsid w:val="000E6EC5"/>
    <w:pPr>
      <w:spacing w:after="0" w:line="30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0E6EC5"/>
    <w:rPr>
      <w:rFonts w:ascii="Times New Roman" w:hAnsi="Times New Roman"/>
      <w:sz w:val="24"/>
      <w:szCs w:val="24"/>
      <w:lang w:eastAsia="fr-FR"/>
    </w:rPr>
  </w:style>
  <w:style w:type="character" w:customStyle="1" w:styleId="LgendeCar">
    <w:name w:val="Légende Car"/>
    <w:link w:val="Lgende"/>
    <w:locked/>
    <w:rsid w:val="000E6EC5"/>
    <w:rPr>
      <w:b/>
      <w:bCs/>
      <w:caps/>
      <w:sz w:val="16"/>
      <w:szCs w:val="18"/>
      <w:lang w:val="en-US" w:eastAsia="en-US" w:bidi="en-US"/>
    </w:rPr>
  </w:style>
  <w:style w:type="character" w:customStyle="1" w:styleId="ParagraphedelisteCar">
    <w:name w:val="Paragraphe de liste Car"/>
    <w:aliases w:val="Lettre d'introduction Car"/>
    <w:basedOn w:val="Policepardfaut"/>
    <w:link w:val="Paragraphedeliste"/>
    <w:uiPriority w:val="99"/>
    <w:rsid w:val="000E6EC5"/>
    <w:rPr>
      <w:lang w:val="en-US" w:eastAsia="en-US" w:bidi="en-US"/>
    </w:rPr>
  </w:style>
  <w:style w:type="paragraph" w:styleId="Textedebulles">
    <w:name w:val="Balloon Text"/>
    <w:basedOn w:val="Normal"/>
    <w:link w:val="TextedebullesCar"/>
    <w:uiPriority w:val="99"/>
    <w:semiHidden/>
    <w:unhideWhenUsed/>
    <w:rsid w:val="000E6E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6EC5"/>
    <w:rPr>
      <w:rFonts w:ascii="Tahoma" w:eastAsiaTheme="minorHAnsi" w:hAnsi="Tahoma" w:cs="Tahoma"/>
      <w:sz w:val="16"/>
      <w:szCs w:val="16"/>
      <w:lang w:eastAsia="en-US"/>
    </w:rPr>
  </w:style>
  <w:style w:type="character" w:styleId="Marquedecommentaire">
    <w:name w:val="annotation reference"/>
    <w:basedOn w:val="Policepardfaut"/>
    <w:uiPriority w:val="99"/>
    <w:semiHidden/>
    <w:unhideWhenUsed/>
    <w:rsid w:val="0072286F"/>
    <w:rPr>
      <w:sz w:val="16"/>
      <w:szCs w:val="16"/>
    </w:rPr>
  </w:style>
  <w:style w:type="paragraph" w:styleId="Commentaire">
    <w:name w:val="annotation text"/>
    <w:basedOn w:val="Normal"/>
    <w:link w:val="CommentaireCar"/>
    <w:uiPriority w:val="99"/>
    <w:unhideWhenUsed/>
    <w:rsid w:val="0072286F"/>
    <w:pPr>
      <w:spacing w:line="240" w:lineRule="auto"/>
    </w:pPr>
    <w:rPr>
      <w:sz w:val="20"/>
      <w:szCs w:val="20"/>
    </w:rPr>
  </w:style>
  <w:style w:type="character" w:customStyle="1" w:styleId="CommentaireCar">
    <w:name w:val="Commentaire Car"/>
    <w:basedOn w:val="Policepardfaut"/>
    <w:link w:val="Commentaire"/>
    <w:uiPriority w:val="99"/>
    <w:rsid w:val="0072286F"/>
    <w:rPr>
      <w:rFonts w:ascii="Trebuchet MS" w:eastAsiaTheme="minorHAnsi" w:hAnsi="Trebuchet MS" w:cstheme="minorBidi"/>
      <w:lang w:eastAsia="en-US"/>
    </w:rPr>
  </w:style>
  <w:style w:type="paragraph" w:styleId="Objetducommentaire">
    <w:name w:val="annotation subject"/>
    <w:basedOn w:val="Commentaire"/>
    <w:next w:val="Commentaire"/>
    <w:link w:val="ObjetducommentaireCar"/>
    <w:uiPriority w:val="99"/>
    <w:semiHidden/>
    <w:unhideWhenUsed/>
    <w:rsid w:val="0072286F"/>
    <w:rPr>
      <w:b/>
      <w:bCs/>
    </w:rPr>
  </w:style>
  <w:style w:type="character" w:customStyle="1" w:styleId="ObjetducommentaireCar">
    <w:name w:val="Objet du commentaire Car"/>
    <w:basedOn w:val="CommentaireCar"/>
    <w:link w:val="Objetducommentaire"/>
    <w:uiPriority w:val="99"/>
    <w:semiHidden/>
    <w:rsid w:val="0072286F"/>
    <w:rPr>
      <w:rFonts w:ascii="Trebuchet MS" w:eastAsiaTheme="minorHAnsi" w:hAnsi="Trebuchet MS" w:cstheme="minorBidi"/>
      <w:b/>
      <w:bCs/>
      <w:lang w:eastAsia="en-US"/>
    </w:rPr>
  </w:style>
  <w:style w:type="character" w:customStyle="1" w:styleId="apple-converted-space">
    <w:name w:val="apple-converted-space"/>
    <w:basedOn w:val="Policepardfaut"/>
    <w:rsid w:val="003A6E59"/>
  </w:style>
  <w:style w:type="paragraph" w:styleId="En-tte">
    <w:name w:val="header"/>
    <w:basedOn w:val="Normal"/>
    <w:link w:val="En-tteCar"/>
    <w:uiPriority w:val="99"/>
    <w:unhideWhenUsed/>
    <w:rsid w:val="00F832DA"/>
    <w:pPr>
      <w:tabs>
        <w:tab w:val="center" w:pos="4536"/>
        <w:tab w:val="right" w:pos="9072"/>
      </w:tabs>
      <w:spacing w:after="0" w:line="240" w:lineRule="auto"/>
    </w:pPr>
  </w:style>
  <w:style w:type="character" w:customStyle="1" w:styleId="En-tteCar">
    <w:name w:val="En-tête Car"/>
    <w:basedOn w:val="Policepardfaut"/>
    <w:link w:val="En-tte"/>
    <w:uiPriority w:val="99"/>
    <w:rsid w:val="00F832DA"/>
    <w:rPr>
      <w:rFonts w:ascii="Trebuchet MS" w:eastAsiaTheme="minorHAnsi" w:hAnsi="Trebuchet MS" w:cstheme="minorBidi"/>
      <w:sz w:val="22"/>
      <w:szCs w:val="22"/>
      <w:lang w:eastAsia="en-US"/>
    </w:rPr>
  </w:style>
  <w:style w:type="paragraph" w:styleId="Pieddepage">
    <w:name w:val="footer"/>
    <w:basedOn w:val="Normal"/>
    <w:link w:val="PieddepageCar"/>
    <w:uiPriority w:val="99"/>
    <w:unhideWhenUsed/>
    <w:rsid w:val="00F832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32DA"/>
    <w:rPr>
      <w:rFonts w:ascii="Trebuchet MS" w:eastAsiaTheme="minorHAnsi" w:hAnsi="Trebuchet MS" w:cstheme="minorBidi"/>
      <w:sz w:val="22"/>
      <w:szCs w:val="22"/>
      <w:lang w:eastAsia="en-US"/>
    </w:rPr>
  </w:style>
  <w:style w:type="paragraph" w:customStyle="1" w:styleId="Default">
    <w:name w:val="Default"/>
    <w:rsid w:val="0057103B"/>
    <w:pPr>
      <w:autoSpaceDE w:val="0"/>
      <w:autoSpaceDN w:val="0"/>
      <w:adjustRightInd w:val="0"/>
    </w:pPr>
    <w:rPr>
      <w:rFonts w:ascii="Times" w:eastAsiaTheme="minorHAnsi" w:hAnsi="Times" w:cs="Times"/>
      <w:color w:val="000000"/>
      <w:sz w:val="24"/>
      <w:szCs w:val="24"/>
      <w:lang w:val="fr-FR" w:eastAsia="en-US"/>
    </w:rPr>
  </w:style>
  <w:style w:type="paragraph" w:styleId="Rvision">
    <w:name w:val="Revision"/>
    <w:hidden/>
    <w:uiPriority w:val="99"/>
    <w:semiHidden/>
    <w:rsid w:val="00A22E64"/>
    <w:rPr>
      <w:rFonts w:ascii="Trebuchet MS" w:eastAsiaTheme="minorHAnsi" w:hAnsi="Trebuchet MS" w:cstheme="minorBidi"/>
      <w:sz w:val="22"/>
      <w:szCs w:val="22"/>
      <w:lang w:eastAsia="en-US"/>
    </w:rPr>
  </w:style>
  <w:style w:type="table" w:styleId="Tableausimple3">
    <w:name w:val="Plain Table 3"/>
    <w:basedOn w:val="TableauNormal"/>
    <w:uiPriority w:val="43"/>
    <w:rsid w:val="002F71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enhypertexte">
    <w:name w:val="Hyperlink"/>
    <w:basedOn w:val="Policepardfaut"/>
    <w:uiPriority w:val="99"/>
    <w:unhideWhenUsed/>
    <w:rsid w:val="00BA1259"/>
    <w:rPr>
      <w:color w:val="0000FF" w:themeColor="hyperlink"/>
      <w:u w:val="single"/>
    </w:rPr>
  </w:style>
  <w:style w:type="character" w:styleId="Mentionnonrsolue">
    <w:name w:val="Unresolved Mention"/>
    <w:basedOn w:val="Policepardfaut"/>
    <w:uiPriority w:val="99"/>
    <w:semiHidden/>
    <w:unhideWhenUsed/>
    <w:rsid w:val="00BA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2790">
      <w:bodyDiv w:val="1"/>
      <w:marLeft w:val="0"/>
      <w:marRight w:val="0"/>
      <w:marTop w:val="0"/>
      <w:marBottom w:val="0"/>
      <w:divBdr>
        <w:top w:val="none" w:sz="0" w:space="0" w:color="auto"/>
        <w:left w:val="none" w:sz="0" w:space="0" w:color="auto"/>
        <w:bottom w:val="none" w:sz="0" w:space="0" w:color="auto"/>
        <w:right w:val="none" w:sz="0" w:space="0" w:color="auto"/>
      </w:divBdr>
    </w:div>
    <w:div w:id="57898172">
      <w:bodyDiv w:val="1"/>
      <w:marLeft w:val="0"/>
      <w:marRight w:val="0"/>
      <w:marTop w:val="0"/>
      <w:marBottom w:val="0"/>
      <w:divBdr>
        <w:top w:val="none" w:sz="0" w:space="0" w:color="auto"/>
        <w:left w:val="none" w:sz="0" w:space="0" w:color="auto"/>
        <w:bottom w:val="none" w:sz="0" w:space="0" w:color="auto"/>
        <w:right w:val="none" w:sz="0" w:space="0" w:color="auto"/>
      </w:divBdr>
      <w:divsChild>
        <w:div w:id="714164579">
          <w:marLeft w:val="0"/>
          <w:marRight w:val="0"/>
          <w:marTop w:val="0"/>
          <w:marBottom w:val="0"/>
          <w:divBdr>
            <w:top w:val="none" w:sz="0" w:space="0" w:color="auto"/>
            <w:left w:val="none" w:sz="0" w:space="0" w:color="auto"/>
            <w:bottom w:val="none" w:sz="0" w:space="0" w:color="auto"/>
            <w:right w:val="none" w:sz="0" w:space="0" w:color="auto"/>
          </w:divBdr>
        </w:div>
      </w:divsChild>
    </w:div>
    <w:div w:id="121001089">
      <w:bodyDiv w:val="1"/>
      <w:marLeft w:val="0"/>
      <w:marRight w:val="0"/>
      <w:marTop w:val="0"/>
      <w:marBottom w:val="0"/>
      <w:divBdr>
        <w:top w:val="none" w:sz="0" w:space="0" w:color="auto"/>
        <w:left w:val="none" w:sz="0" w:space="0" w:color="auto"/>
        <w:bottom w:val="none" w:sz="0" w:space="0" w:color="auto"/>
        <w:right w:val="none" w:sz="0" w:space="0" w:color="auto"/>
      </w:divBdr>
      <w:divsChild>
        <w:div w:id="230578626">
          <w:marLeft w:val="0"/>
          <w:marRight w:val="0"/>
          <w:marTop w:val="0"/>
          <w:marBottom w:val="0"/>
          <w:divBdr>
            <w:top w:val="none" w:sz="0" w:space="0" w:color="auto"/>
            <w:left w:val="none" w:sz="0" w:space="0" w:color="auto"/>
            <w:bottom w:val="none" w:sz="0" w:space="0" w:color="auto"/>
            <w:right w:val="none" w:sz="0" w:space="0" w:color="auto"/>
          </w:divBdr>
        </w:div>
      </w:divsChild>
    </w:div>
    <w:div w:id="126629884">
      <w:bodyDiv w:val="1"/>
      <w:marLeft w:val="0"/>
      <w:marRight w:val="0"/>
      <w:marTop w:val="0"/>
      <w:marBottom w:val="0"/>
      <w:divBdr>
        <w:top w:val="none" w:sz="0" w:space="0" w:color="auto"/>
        <w:left w:val="none" w:sz="0" w:space="0" w:color="auto"/>
        <w:bottom w:val="none" w:sz="0" w:space="0" w:color="auto"/>
        <w:right w:val="none" w:sz="0" w:space="0" w:color="auto"/>
      </w:divBdr>
    </w:div>
    <w:div w:id="367294046">
      <w:bodyDiv w:val="1"/>
      <w:marLeft w:val="0"/>
      <w:marRight w:val="0"/>
      <w:marTop w:val="0"/>
      <w:marBottom w:val="0"/>
      <w:divBdr>
        <w:top w:val="none" w:sz="0" w:space="0" w:color="auto"/>
        <w:left w:val="none" w:sz="0" w:space="0" w:color="auto"/>
        <w:bottom w:val="none" w:sz="0" w:space="0" w:color="auto"/>
        <w:right w:val="none" w:sz="0" w:space="0" w:color="auto"/>
      </w:divBdr>
    </w:div>
    <w:div w:id="463886424">
      <w:bodyDiv w:val="1"/>
      <w:marLeft w:val="0"/>
      <w:marRight w:val="0"/>
      <w:marTop w:val="0"/>
      <w:marBottom w:val="0"/>
      <w:divBdr>
        <w:top w:val="none" w:sz="0" w:space="0" w:color="auto"/>
        <w:left w:val="none" w:sz="0" w:space="0" w:color="auto"/>
        <w:bottom w:val="none" w:sz="0" w:space="0" w:color="auto"/>
        <w:right w:val="none" w:sz="0" w:space="0" w:color="auto"/>
      </w:divBdr>
    </w:div>
    <w:div w:id="549079395">
      <w:bodyDiv w:val="1"/>
      <w:marLeft w:val="0"/>
      <w:marRight w:val="0"/>
      <w:marTop w:val="0"/>
      <w:marBottom w:val="0"/>
      <w:divBdr>
        <w:top w:val="none" w:sz="0" w:space="0" w:color="auto"/>
        <w:left w:val="none" w:sz="0" w:space="0" w:color="auto"/>
        <w:bottom w:val="none" w:sz="0" w:space="0" w:color="auto"/>
        <w:right w:val="none" w:sz="0" w:space="0" w:color="auto"/>
      </w:divBdr>
    </w:div>
    <w:div w:id="695889817">
      <w:bodyDiv w:val="1"/>
      <w:marLeft w:val="0"/>
      <w:marRight w:val="0"/>
      <w:marTop w:val="0"/>
      <w:marBottom w:val="0"/>
      <w:divBdr>
        <w:top w:val="none" w:sz="0" w:space="0" w:color="auto"/>
        <w:left w:val="none" w:sz="0" w:space="0" w:color="auto"/>
        <w:bottom w:val="none" w:sz="0" w:space="0" w:color="auto"/>
        <w:right w:val="none" w:sz="0" w:space="0" w:color="auto"/>
      </w:divBdr>
      <w:divsChild>
        <w:div w:id="475490919">
          <w:marLeft w:val="0"/>
          <w:marRight w:val="0"/>
          <w:marTop w:val="0"/>
          <w:marBottom w:val="0"/>
          <w:divBdr>
            <w:top w:val="none" w:sz="0" w:space="0" w:color="auto"/>
            <w:left w:val="none" w:sz="0" w:space="0" w:color="auto"/>
            <w:bottom w:val="none" w:sz="0" w:space="0" w:color="auto"/>
            <w:right w:val="none" w:sz="0" w:space="0" w:color="auto"/>
          </w:divBdr>
        </w:div>
      </w:divsChild>
    </w:div>
    <w:div w:id="828253877">
      <w:bodyDiv w:val="1"/>
      <w:marLeft w:val="0"/>
      <w:marRight w:val="0"/>
      <w:marTop w:val="0"/>
      <w:marBottom w:val="0"/>
      <w:divBdr>
        <w:top w:val="none" w:sz="0" w:space="0" w:color="auto"/>
        <w:left w:val="none" w:sz="0" w:space="0" w:color="auto"/>
        <w:bottom w:val="none" w:sz="0" w:space="0" w:color="auto"/>
        <w:right w:val="none" w:sz="0" w:space="0" w:color="auto"/>
      </w:divBdr>
    </w:div>
    <w:div w:id="921522130">
      <w:bodyDiv w:val="1"/>
      <w:marLeft w:val="0"/>
      <w:marRight w:val="0"/>
      <w:marTop w:val="0"/>
      <w:marBottom w:val="0"/>
      <w:divBdr>
        <w:top w:val="none" w:sz="0" w:space="0" w:color="auto"/>
        <w:left w:val="none" w:sz="0" w:space="0" w:color="auto"/>
        <w:bottom w:val="none" w:sz="0" w:space="0" w:color="auto"/>
        <w:right w:val="none" w:sz="0" w:space="0" w:color="auto"/>
      </w:divBdr>
    </w:div>
    <w:div w:id="953093525">
      <w:bodyDiv w:val="1"/>
      <w:marLeft w:val="0"/>
      <w:marRight w:val="0"/>
      <w:marTop w:val="0"/>
      <w:marBottom w:val="0"/>
      <w:divBdr>
        <w:top w:val="none" w:sz="0" w:space="0" w:color="auto"/>
        <w:left w:val="none" w:sz="0" w:space="0" w:color="auto"/>
        <w:bottom w:val="none" w:sz="0" w:space="0" w:color="auto"/>
        <w:right w:val="none" w:sz="0" w:space="0" w:color="auto"/>
      </w:divBdr>
      <w:divsChild>
        <w:div w:id="874654764">
          <w:marLeft w:val="0"/>
          <w:marRight w:val="0"/>
          <w:marTop w:val="0"/>
          <w:marBottom w:val="0"/>
          <w:divBdr>
            <w:top w:val="none" w:sz="0" w:space="0" w:color="auto"/>
            <w:left w:val="none" w:sz="0" w:space="0" w:color="auto"/>
            <w:bottom w:val="none" w:sz="0" w:space="0" w:color="auto"/>
            <w:right w:val="none" w:sz="0" w:space="0" w:color="auto"/>
          </w:divBdr>
        </w:div>
      </w:divsChild>
    </w:div>
    <w:div w:id="1095588994">
      <w:bodyDiv w:val="1"/>
      <w:marLeft w:val="0"/>
      <w:marRight w:val="0"/>
      <w:marTop w:val="0"/>
      <w:marBottom w:val="0"/>
      <w:divBdr>
        <w:top w:val="none" w:sz="0" w:space="0" w:color="auto"/>
        <w:left w:val="none" w:sz="0" w:space="0" w:color="auto"/>
        <w:bottom w:val="none" w:sz="0" w:space="0" w:color="auto"/>
        <w:right w:val="none" w:sz="0" w:space="0" w:color="auto"/>
      </w:divBdr>
      <w:divsChild>
        <w:div w:id="1209420490">
          <w:marLeft w:val="0"/>
          <w:marRight w:val="0"/>
          <w:marTop w:val="0"/>
          <w:marBottom w:val="0"/>
          <w:divBdr>
            <w:top w:val="none" w:sz="0" w:space="0" w:color="auto"/>
            <w:left w:val="none" w:sz="0" w:space="0" w:color="auto"/>
            <w:bottom w:val="none" w:sz="0" w:space="0" w:color="auto"/>
            <w:right w:val="none" w:sz="0" w:space="0" w:color="auto"/>
          </w:divBdr>
        </w:div>
      </w:divsChild>
    </w:div>
    <w:div w:id="1097755856">
      <w:bodyDiv w:val="1"/>
      <w:marLeft w:val="0"/>
      <w:marRight w:val="0"/>
      <w:marTop w:val="0"/>
      <w:marBottom w:val="0"/>
      <w:divBdr>
        <w:top w:val="none" w:sz="0" w:space="0" w:color="auto"/>
        <w:left w:val="none" w:sz="0" w:space="0" w:color="auto"/>
        <w:bottom w:val="none" w:sz="0" w:space="0" w:color="auto"/>
        <w:right w:val="none" w:sz="0" w:space="0" w:color="auto"/>
      </w:divBdr>
    </w:div>
    <w:div w:id="1197545840">
      <w:bodyDiv w:val="1"/>
      <w:marLeft w:val="0"/>
      <w:marRight w:val="0"/>
      <w:marTop w:val="0"/>
      <w:marBottom w:val="0"/>
      <w:divBdr>
        <w:top w:val="none" w:sz="0" w:space="0" w:color="auto"/>
        <w:left w:val="none" w:sz="0" w:space="0" w:color="auto"/>
        <w:bottom w:val="none" w:sz="0" w:space="0" w:color="auto"/>
        <w:right w:val="none" w:sz="0" w:space="0" w:color="auto"/>
      </w:divBdr>
      <w:divsChild>
        <w:div w:id="1002850324">
          <w:marLeft w:val="0"/>
          <w:marRight w:val="0"/>
          <w:marTop w:val="0"/>
          <w:marBottom w:val="0"/>
          <w:divBdr>
            <w:top w:val="none" w:sz="0" w:space="0" w:color="auto"/>
            <w:left w:val="none" w:sz="0" w:space="0" w:color="auto"/>
            <w:bottom w:val="none" w:sz="0" w:space="0" w:color="auto"/>
            <w:right w:val="none" w:sz="0" w:space="0" w:color="auto"/>
          </w:divBdr>
        </w:div>
      </w:divsChild>
    </w:div>
    <w:div w:id="1465078553">
      <w:bodyDiv w:val="1"/>
      <w:marLeft w:val="0"/>
      <w:marRight w:val="0"/>
      <w:marTop w:val="0"/>
      <w:marBottom w:val="0"/>
      <w:divBdr>
        <w:top w:val="none" w:sz="0" w:space="0" w:color="auto"/>
        <w:left w:val="none" w:sz="0" w:space="0" w:color="auto"/>
        <w:bottom w:val="none" w:sz="0" w:space="0" w:color="auto"/>
        <w:right w:val="none" w:sz="0" w:space="0" w:color="auto"/>
      </w:divBdr>
    </w:div>
    <w:div w:id="1894076333">
      <w:bodyDiv w:val="1"/>
      <w:marLeft w:val="0"/>
      <w:marRight w:val="0"/>
      <w:marTop w:val="0"/>
      <w:marBottom w:val="0"/>
      <w:divBdr>
        <w:top w:val="none" w:sz="0" w:space="0" w:color="auto"/>
        <w:left w:val="none" w:sz="0" w:space="0" w:color="auto"/>
        <w:bottom w:val="none" w:sz="0" w:space="0" w:color="auto"/>
        <w:right w:val="none" w:sz="0" w:space="0" w:color="auto"/>
      </w:divBdr>
    </w:div>
    <w:div w:id="1952585399">
      <w:bodyDiv w:val="1"/>
      <w:marLeft w:val="0"/>
      <w:marRight w:val="0"/>
      <w:marTop w:val="0"/>
      <w:marBottom w:val="0"/>
      <w:divBdr>
        <w:top w:val="none" w:sz="0" w:space="0" w:color="auto"/>
        <w:left w:val="none" w:sz="0" w:space="0" w:color="auto"/>
        <w:bottom w:val="none" w:sz="0" w:space="0" w:color="auto"/>
        <w:right w:val="none" w:sz="0" w:space="0" w:color="auto"/>
      </w:divBdr>
    </w:div>
    <w:div w:id="207940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18/1999/oj/eng" TargetMode="External"/><Relationship Id="rId18" Type="http://schemas.openxmlformats.org/officeDocument/2006/relationships/hyperlink" Target="https://www.ipcc-nggip.iges.or.jp/public/2019rf/index.html" TargetMode="External"/><Relationship Id="rId26" Type="http://schemas.openxmlformats.org/officeDocument/2006/relationships/chart" Target="charts/chart1.xml"/><Relationship Id="rId39" Type="http://schemas.openxmlformats.org/officeDocument/2006/relationships/header" Target="header2.xml"/><Relationship Id="rId21" Type="http://schemas.openxmlformats.org/officeDocument/2006/relationships/image" Target="media/image2.png"/><Relationship Id="rId34" Type="http://schemas.openxmlformats.org/officeDocument/2006/relationships/hyperlink" Target="https://climat.be/doc/nid2026-def.pdf"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legal-content/EN/TXT/?uri=CELEX%3A02018R0841-20230511" TargetMode="External"/><Relationship Id="rId29" Type="http://schemas.openxmlformats.org/officeDocument/2006/relationships/hyperlink" Target="https://eur-lex.europa.eu/legal-content/EN/TXT/?uri=CELEX%3A02018R0841-202305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limat.be/politique-climatique/belge/nationale/repartition-des-charges" TargetMode="External"/><Relationship Id="rId32" Type="http://schemas.openxmlformats.org/officeDocument/2006/relationships/hyperlink" Target="https://climat.be/en-belgique/climat-et-emissions/emissions-des-gaz-a-effet-de-serre" TargetMode="External"/><Relationship Id="rId37" Type="http://schemas.openxmlformats.org/officeDocument/2006/relationships/hyperlink" Target="https://climate.ec.europa.eu/eu-action/effort-sharing-member-states-emission-targets/effort-sharing-2021-2030-targets-and-flexibilities_en"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EN/TXT/?uri=CELEX%3A02018R0842-20230516" TargetMode="External"/><Relationship Id="rId23" Type="http://schemas.openxmlformats.org/officeDocument/2006/relationships/hyperlink" Target="https://climat.be/politique-climatique/belge/nationale/repartition-des-charges" TargetMode="External"/><Relationship Id="rId28" Type="http://schemas.openxmlformats.org/officeDocument/2006/relationships/image" Target="media/image5.png"/><Relationship Id="rId36" Type="http://schemas.openxmlformats.org/officeDocument/2006/relationships/hyperlink" Target="https://eur-lex.europa.eu/legal-content/EN/TXT/?uri=CELEX%3A02018R0841-20230511" TargetMode="External"/><Relationship Id="rId10" Type="http://schemas.openxmlformats.org/officeDocument/2006/relationships/endnotes" Target="endnotes.xml"/><Relationship Id="rId19" Type="http://schemas.openxmlformats.org/officeDocument/2006/relationships/hyperlink" Target="https://ghgprotocol.org/sites/default/files/ghgp/Global-Warming-Potential-Values%20%28Feb%2016%202016%29_1.pdf" TargetMode="Externa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02018R0842-20230516" TargetMode="External"/><Relationship Id="rId22" Type="http://schemas.openxmlformats.org/officeDocument/2006/relationships/image" Target="media/image3.png"/><Relationship Id="rId27" Type="http://schemas.openxmlformats.org/officeDocument/2006/relationships/image" Target="media/image4.png"/><Relationship Id="rId30" Type="http://schemas.openxmlformats.org/officeDocument/2006/relationships/hyperlink" Target="https://awac.be/inventaires-demission/forestier/" TargetMode="External"/><Relationship Id="rId35" Type="http://schemas.openxmlformats.org/officeDocument/2006/relationships/hyperlink" Target="https://eur-lex.europa.eu/legal-content/EN/TXT/?uri=CELEX%3A02018R1999-20231120"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dr.eionet.europa.eu/be/eu/govreg/inventory/" TargetMode="External"/><Relationship Id="rId17" Type="http://schemas.openxmlformats.org/officeDocument/2006/relationships/hyperlink" Target="https://www.ipcc-nggip.iges.or.jp/public/2006gl/" TargetMode="External"/><Relationship Id="rId25" Type="http://schemas.openxmlformats.org/officeDocument/2006/relationships/hyperlink" Target="https://eur-lex.europa.eu/legal-content/EN/TXT/?uri=CELEX%3A02018R0841-20230511" TargetMode="External"/><Relationship Id="rId33" Type="http://schemas.openxmlformats.org/officeDocument/2006/relationships/hyperlink" Target="https://cdr.eionet.europa.eu/be/eu/govreg" TargetMode="External"/><Relationship Id="rId38" Type="http://schemas.openxmlformats.org/officeDocument/2006/relationships/header" Target="header1.xml"/><Relationship Id="rId20" Type="http://schemas.openxmlformats.org/officeDocument/2006/relationships/hyperlink" Target="https://cdr.eionet.europa.eu/be/eu/govreg/inventory/envabgkpg/" TargetMode="External"/><Relationship Id="rId4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wallonie.intra\Partages\Hierarchique\PRV-A1000000\x%20-%20Inventaire\Site%20Web\2026\AWAC-Emissions-de-GES-en-Wallonie-199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'WAL 1990-2024'!$A$58</c:f>
              <c:strCache>
                <c:ptCount val="1"/>
                <c:pt idx="0">
                  <c:v>Evolution des émissions (secteurs ETS) relative à 2005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'WAL 1990-2024'!$B$53:$U$53</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'WAL 1990-2024'!$B$58:$U$58</c:f>
              <c:numCache>
                <c:formatCode>0%</c:formatCode>
                <c:ptCount val="20"/>
                <c:pt idx="0">
                  <c:v>1</c:v>
                </c:pt>
                <c:pt idx="1">
                  <c:v>1.0006361161363948</c:v>
                </c:pt>
                <c:pt idx="2">
                  <c:v>0.94344436384331731</c:v>
                </c:pt>
                <c:pt idx="3">
                  <c:v>0.94147035807542223</c:v>
                </c:pt>
                <c:pt idx="4">
                  <c:v>0.62138525139442413</c:v>
                </c:pt>
                <c:pt idx="5">
                  <c:v>0.70471093622140923</c:v>
                </c:pt>
                <c:pt idx="6">
                  <c:v>0.67222487309008505</c:v>
                </c:pt>
                <c:pt idx="7">
                  <c:v>0.55462506450547533</c:v>
                </c:pt>
                <c:pt idx="8">
                  <c:v>0.57785714101412922</c:v>
                </c:pt>
                <c:pt idx="9">
                  <c:v>0.56559944200920909</c:v>
                </c:pt>
                <c:pt idx="10">
                  <c:v>0.55677642918330916</c:v>
                </c:pt>
                <c:pt idx="11">
                  <c:v>0.55181079770050878</c:v>
                </c:pt>
                <c:pt idx="12">
                  <c:v>0.54282896317953755</c:v>
                </c:pt>
                <c:pt idx="13">
                  <c:v>0.56421423300409734</c:v>
                </c:pt>
                <c:pt idx="14">
                  <c:v>0.58708441886833085</c:v>
                </c:pt>
                <c:pt idx="15">
                  <c:v>0.56794923824562793</c:v>
                </c:pt>
                <c:pt idx="16">
                  <c:v>0.53623922579214256</c:v>
                </c:pt>
                <c:pt idx="17">
                  <c:v>0.50027182964271777</c:v>
                </c:pt>
                <c:pt idx="18">
                  <c:v>0.43400029338634605</c:v>
                </c:pt>
                <c:pt idx="19">
                  <c:v>0.40104952136751737</c:v>
                </c:pt>
              </c:numCache>
            </c:numRef>
          </c:val>
          <c:smooth val="0"/>
          <c:extLst>
            <c:ext xmlns:c16="http://schemas.microsoft.com/office/drawing/2014/chart" uri="{C3380CC4-5D6E-409C-BE32-E72D297353CC}">
              <c16:uniqueId val="{00000000-8EE3-458B-8842-EF3C3A5A0D63}"/>
            </c:ext>
          </c:extLst>
        </c:ser>
        <c:dLbls>
          <c:showLegendKey val="0"/>
          <c:showVal val="0"/>
          <c:showCatName val="0"/>
          <c:showSerName val="0"/>
          <c:showPercent val="0"/>
          <c:showBubbleSize val="0"/>
        </c:dLbls>
        <c:marker val="1"/>
        <c:smooth val="0"/>
        <c:axId val="213907216"/>
        <c:axId val="213927376"/>
      </c:lineChart>
      <c:catAx>
        <c:axId val="21390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1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3927376"/>
        <c:crosses val="autoZero"/>
        <c:auto val="1"/>
        <c:lblAlgn val="ctr"/>
        <c:lblOffset val="100"/>
        <c:noMultiLvlLbl val="0"/>
      </c:catAx>
      <c:valAx>
        <c:axId val="213927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BE" sz="1000" b="0" i="0" u="none" strike="noStrike" kern="1200" baseline="0">
                    <a:solidFill>
                      <a:sysClr val="windowText" lastClr="000000">
                        <a:lumMod val="65000"/>
                        <a:lumOff val="35000"/>
                      </a:sysClr>
                    </a:solidFill>
                  </a:rPr>
                  <a:t>Evolution des émissions ETS en % depuis 2005</a:t>
                </a:r>
                <a:endParaRPr lang="fr-BE"/>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B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13907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128FA6667BEE4409F0B480276429A7C" ma:contentTypeVersion="21" ma:contentTypeDescription="Crée un document." ma:contentTypeScope="" ma:versionID="0b0c6802ddf8a68760839e2caeb899b4">
  <xsd:schema xmlns:xsd="http://www.w3.org/2001/XMLSchema" xmlns:xs="http://www.w3.org/2001/XMLSchema" xmlns:p="http://schemas.microsoft.com/office/2006/metadata/properties" xmlns:ns2="ccdb75ce-c0b7-4ff5-9fa7-cc4f5a87d5d8" xmlns:ns3="9dd70855-4555-4fc6-8fbc-e6f843257071" targetNamespace="http://schemas.microsoft.com/office/2006/metadata/properties" ma:root="true" ma:fieldsID="5ecab7bbb591964c57eef733364ba072" ns2:_="" ns3:_="">
    <xsd:import namespace="ccdb75ce-c0b7-4ff5-9fa7-cc4f5a87d5d8"/>
    <xsd:import namespace="9dd70855-4555-4fc6-8fbc-e6f843257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Rechercher" minOccurs="0"/>
                <xsd:element ref="ns2:Dateetheur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b75ce-c0b7-4ff5-9fa7-cc4f5a87d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Rechercher" ma:index="26" nillable="true" ma:displayName="Rechercher" ma:format="Dropdown" ma:list="2e78ed02-9dfe-44ba-8397-091f7998bdbb" ma:internalName="Rechercher" ma:showField="Title">
      <xsd:simpleType>
        <xsd:restriction base="dms:Lookup"/>
      </xsd:simpleType>
    </xsd:element>
    <xsd:element name="Dateetheure" ma:index="27" nillable="true" ma:displayName="Date et heure" ma:format="DateTime" ma:internalName="Dateetheur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70855-4555-4fc6-8fbc-e6f84325707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f8fca9a8-574b-4c9a-81d9-81483cb94953}" ma:internalName="TaxCatchAll" ma:showField="CatchAllData" ma:web="9dd70855-4555-4fc6-8fbc-e6f843257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etheure xmlns="ccdb75ce-c0b7-4ff5-9fa7-cc4f5a87d5d8" xsi:nil="true"/>
    <TaxCatchAll xmlns="9dd70855-4555-4fc6-8fbc-e6f843257071" xsi:nil="true"/>
    <lcf76f155ced4ddcb4097134ff3c332f xmlns="ccdb75ce-c0b7-4ff5-9fa7-cc4f5a87d5d8">
      <Terms xmlns="http://schemas.microsoft.com/office/infopath/2007/PartnerControls"/>
    </lcf76f155ced4ddcb4097134ff3c332f>
    <Rechercher xmlns="ccdb75ce-c0b7-4ff5-9fa7-cc4f5a87d5d8" xsi:nil="true"/>
  </documentManagement>
</p:properties>
</file>

<file path=customXml/itemProps1.xml><?xml version="1.0" encoding="utf-8"?>
<ds:datastoreItem xmlns:ds="http://schemas.openxmlformats.org/officeDocument/2006/customXml" ds:itemID="{1517E4F9-3009-47EE-A28D-4B0A6530234A}">
  <ds:schemaRefs>
    <ds:schemaRef ds:uri="http://schemas.openxmlformats.org/officeDocument/2006/bibliography"/>
  </ds:schemaRefs>
</ds:datastoreItem>
</file>

<file path=customXml/itemProps2.xml><?xml version="1.0" encoding="utf-8"?>
<ds:datastoreItem xmlns:ds="http://schemas.openxmlformats.org/officeDocument/2006/customXml" ds:itemID="{8FF11010-8BB2-46F5-9670-D9172BC9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b75ce-c0b7-4ff5-9fa7-cc4f5a87d5d8"/>
    <ds:schemaRef ds:uri="9dd70855-4555-4fc6-8fbc-e6f843257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758E9-21A0-4D55-AE17-CC2384E0AFF9}">
  <ds:schemaRefs>
    <ds:schemaRef ds:uri="http://schemas.microsoft.com/sharepoint/v3/contenttype/forms"/>
  </ds:schemaRefs>
</ds:datastoreItem>
</file>

<file path=customXml/itemProps4.xml><?xml version="1.0" encoding="utf-8"?>
<ds:datastoreItem xmlns:ds="http://schemas.openxmlformats.org/officeDocument/2006/customXml" ds:itemID="{9180C54C-0021-432B-A49D-7B3BDD9A0C61}">
  <ds:schemaRefs>
    <ds:schemaRef ds:uri="http://www.w3.org/XML/1998/namespace"/>
    <ds:schemaRef ds:uri="http://purl.org/dc/terms/"/>
    <ds:schemaRef ds:uri="http://purl.org/dc/elements/1.1/"/>
    <ds:schemaRef ds:uri="http://schemas.microsoft.com/office/2006/metadata/properties"/>
    <ds:schemaRef ds:uri="9dd70855-4555-4fc6-8fbc-e6f843257071"/>
    <ds:schemaRef ds:uri="http://schemas.microsoft.com/office/infopath/2007/PartnerControls"/>
    <ds:schemaRef ds:uri="http://schemas.microsoft.com/office/2006/documentManagement/types"/>
    <ds:schemaRef ds:uri="http://schemas.openxmlformats.org/package/2006/metadata/core-properties"/>
    <ds:schemaRef ds:uri="ccdb75ce-c0b7-4ff5-9fa7-cc4f5a87d5d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1800</Words>
  <Characters>9905</Characters>
  <Application>Microsoft Office Word</Application>
  <DocSecurity>0</DocSecurity>
  <Lines>82</Lines>
  <Paragraphs>23</Paragraphs>
  <ScaleCrop>false</ScaleCrop>
  <Company>S.P.W.</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GUNS</dc:creator>
  <cp:lastModifiedBy>DESCHAMPS Régis</cp:lastModifiedBy>
  <cp:revision>3</cp:revision>
  <cp:lastPrinted>2026-03-27T08:58:00Z</cp:lastPrinted>
  <dcterms:created xsi:type="dcterms:W3CDTF">2026-03-27T08:58:00Z</dcterms:created>
  <dcterms:modified xsi:type="dcterms:W3CDTF">2026-03-27T08:59:00Z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0x010100B128FA6667BEE4409F0B480276429A7C</vt:lpwstr>
  </property>
  <property fmtid="{D5CDD505-2E9C-101B-9397-08002B2CF9AE}" pid="3" name="MediaServiceImageTags">
    <vt:lpwstr/>
  </property>
  <property fmtid="{D5CDD505-2E9C-101B-9397-08002B2CF9AE}" pid="4" name="MSIP_Label_97a477d1-147d-4e34-b5e3-7b26d2f44870_Enabled">
    <vt:lpwstr>true</vt:lpwstr>
  </property>
  <property fmtid="{D5CDD505-2E9C-101B-9397-08002B2CF9AE}" pid="5" name="MSIP_Label_97a477d1-147d-4e34-b5e3-7b26d2f44870_SetDate">
    <vt:lpwstr>2026-03-27T08:55:37Z</vt:lpwstr>
  </property>
  <property fmtid="{D5CDD505-2E9C-101B-9397-08002B2CF9AE}" pid="6" name="MSIP_Label_97a477d1-147d-4e34-b5e3-7b26d2f44870_Method">
    <vt:lpwstr>Privileged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f7b14fb7-fcac-4dcc-b148-243ba91beaa2</vt:lpwstr>
  </property>
  <property fmtid="{D5CDD505-2E9C-101B-9397-08002B2CF9AE}" pid="10" name="MSIP_Label_97a477d1-147d-4e34-b5e3-7b26d2f44870_ContentBits">
    <vt:lpwstr>0</vt:lpwstr>
  </property>
  <property fmtid="{D5CDD505-2E9C-101B-9397-08002B2CF9AE}" pid="11" name="MSIP_Label_97a477d1-147d-4e34-b5e3-7b26d2f44870_Tag">
    <vt:lpwstr>10, 0, 1, 2</vt:lpwstr>
  </property>
</Properties>
</file>